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E188E" w14:textId="33E4AFCF" w:rsidR="00822BA0" w:rsidRPr="00B36723" w:rsidRDefault="00822BA0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7F04052B" w14:textId="77777777" w:rsidR="00822BA0" w:rsidRDefault="00822BA0" w:rsidP="00B36723">
      <w:pPr>
        <w:rPr>
          <w:b/>
          <w:sz w:val="28"/>
        </w:rPr>
      </w:pPr>
    </w:p>
    <w:p w14:paraId="427F1785" w14:textId="77777777" w:rsidR="00822BA0" w:rsidRDefault="00822BA0" w:rsidP="00B36723">
      <w:pPr>
        <w:rPr>
          <w:sz w:val="28"/>
        </w:rPr>
      </w:pPr>
    </w:p>
    <w:p w14:paraId="3E958811" w14:textId="03B55663" w:rsidR="00822BA0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Corresponding Author:</w:t>
      </w:r>
    </w:p>
    <w:p w14:paraId="0991DCA1" w14:textId="1CF45F1C" w:rsidR="00822BA0" w:rsidRPr="00B36723" w:rsidRDefault="00911274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Kevin </w:t>
      </w:r>
      <w:r w:rsidR="00654787">
        <w:rPr>
          <w:rFonts w:ascii="Times New Roman" w:hAnsi="Times New Roman" w:cs="Times New Roman"/>
        </w:rPr>
        <w:t xml:space="preserve">Christopher </w:t>
      </w:r>
      <w:r w:rsidRPr="00273283">
        <w:rPr>
          <w:rFonts w:ascii="Times New Roman" w:hAnsi="Times New Roman" w:cs="Times New Roman"/>
        </w:rPr>
        <w:t>Brosnan</w:t>
      </w:r>
    </w:p>
    <w:p w14:paraId="3BC9C7E8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4706EAB2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6F667937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494528E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7D3F9576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9" w:history="1">
        <w:r w:rsidRPr="00B36723">
          <w:rPr>
            <w:rStyle w:val="Hyperlink"/>
            <w:rFonts w:ascii="Times New Roman" w:hAnsi="Times New Roman" w:cs="Times New Roman"/>
          </w:rPr>
          <w:t>kevin.c.brosnan@ul.ie</w:t>
        </w:r>
      </w:hyperlink>
    </w:p>
    <w:p w14:paraId="0B55C4C2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32E7B4F7" w14:textId="77777777" w:rsidR="00911274" w:rsidRPr="00B36723" w:rsidRDefault="00911274" w:rsidP="00B36723">
      <w:pPr>
        <w:rPr>
          <w:rFonts w:ascii="Times New Roman" w:hAnsi="Times New Roman" w:cs="Times New Roman"/>
        </w:rPr>
      </w:pPr>
    </w:p>
    <w:p w14:paraId="5EBFCC29" w14:textId="7F082392" w:rsidR="00911274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Co-Authors:</w:t>
      </w:r>
    </w:p>
    <w:p w14:paraId="746A07BC" w14:textId="65F179A8" w:rsidR="00822BA0" w:rsidRPr="00B36723" w:rsidRDefault="00654787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r w:rsidR="00822BA0" w:rsidRPr="00B36723">
        <w:rPr>
          <w:rFonts w:ascii="Times New Roman" w:hAnsi="Times New Roman" w:cs="Times New Roman"/>
        </w:rPr>
        <w:t>Kevin Hayes</w:t>
      </w:r>
    </w:p>
    <w:p w14:paraId="22B7BF8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7E3B0D5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A7B62A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2A8556C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585FA2A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0" w:history="1">
        <w:r w:rsidRPr="00B36723">
          <w:rPr>
            <w:rStyle w:val="Hyperlink"/>
            <w:rFonts w:ascii="Times New Roman" w:hAnsi="Times New Roman" w:cs="Times New Roman"/>
          </w:rPr>
          <w:t>kevin.hayes@ul.ie</w:t>
        </w:r>
      </w:hyperlink>
    </w:p>
    <w:p w14:paraId="67F0CD7E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1C084446" w14:textId="53E480FB" w:rsidR="00822BA0" w:rsidRPr="00B36723" w:rsidRDefault="00654787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822BA0" w:rsidRPr="00B36723">
        <w:rPr>
          <w:rFonts w:ascii="Times New Roman" w:hAnsi="Times New Roman" w:cs="Times New Roman"/>
        </w:rPr>
        <w:t xml:space="preserve">rew </w:t>
      </w:r>
      <w:r>
        <w:rPr>
          <w:rFonts w:ascii="Times New Roman" w:hAnsi="Times New Roman" w:cs="Times New Roman"/>
        </w:rPr>
        <w:t xml:space="preserve">J. </w:t>
      </w:r>
      <w:r w:rsidR="00822BA0" w:rsidRPr="00B36723">
        <w:rPr>
          <w:rFonts w:ascii="Times New Roman" w:hAnsi="Times New Roman" w:cs="Times New Roman"/>
        </w:rPr>
        <w:t>Harrison</w:t>
      </w:r>
    </w:p>
    <w:p w14:paraId="043001AF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Physical Education and Sports Science,</w:t>
      </w:r>
    </w:p>
    <w:p w14:paraId="40BD384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625650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53A241F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12CA95C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1" w:history="1">
        <w:r w:rsidRPr="00B36723">
          <w:rPr>
            <w:rStyle w:val="Hyperlink"/>
            <w:rFonts w:ascii="Times New Roman" w:hAnsi="Times New Roman" w:cs="Times New Roman"/>
          </w:rPr>
          <w:t>drew.harrison@ul.ie</w:t>
        </w:r>
      </w:hyperlink>
    </w:p>
    <w:p w14:paraId="00E19BDD" w14:textId="77777777" w:rsidR="00822BA0" w:rsidRPr="00B36723" w:rsidRDefault="00822BA0" w:rsidP="00B36723">
      <w:pPr>
        <w:spacing w:line="480" w:lineRule="auto"/>
        <w:rPr>
          <w:rFonts w:ascii="Times New Roman" w:hAnsi="Times New Roman" w:cs="Times New Roman"/>
        </w:rPr>
      </w:pPr>
    </w:p>
    <w:p w14:paraId="6A251E36" w14:textId="77777777" w:rsidR="00822BA0" w:rsidRDefault="00822BA0" w:rsidP="00B36723">
      <w:pPr>
        <w:spacing w:line="480" w:lineRule="auto"/>
      </w:pPr>
    </w:p>
    <w:p w14:paraId="2D04EEE9" w14:textId="77777777" w:rsidR="00822BA0" w:rsidRDefault="00822BA0" w:rsidP="00B36723">
      <w:pPr>
        <w:spacing w:line="480" w:lineRule="auto"/>
        <w:rPr>
          <w:b/>
        </w:rPr>
      </w:pPr>
    </w:p>
    <w:p w14:paraId="6BC741BF" w14:textId="77777777" w:rsidR="000B1E0F" w:rsidRDefault="000B1E0F" w:rsidP="00B36723">
      <w:pPr>
        <w:spacing w:line="480" w:lineRule="auto"/>
        <w:rPr>
          <w:b/>
        </w:rPr>
      </w:pPr>
    </w:p>
    <w:p w14:paraId="56321E18" w14:textId="77777777" w:rsidR="000B1E0F" w:rsidRDefault="000B1E0F" w:rsidP="00B36723">
      <w:pPr>
        <w:spacing w:line="480" w:lineRule="auto"/>
        <w:rPr>
          <w:b/>
        </w:rPr>
      </w:pPr>
    </w:p>
    <w:p w14:paraId="5BB95329" w14:textId="77777777" w:rsidR="000B1E0F" w:rsidRDefault="000B1E0F" w:rsidP="00B36723">
      <w:pPr>
        <w:spacing w:line="480" w:lineRule="auto"/>
        <w:rPr>
          <w:b/>
        </w:rPr>
      </w:pPr>
    </w:p>
    <w:p w14:paraId="6FB840EE" w14:textId="77777777" w:rsidR="000B1E0F" w:rsidRDefault="000B1E0F" w:rsidP="00B36723">
      <w:pPr>
        <w:spacing w:line="480" w:lineRule="auto"/>
      </w:pPr>
    </w:p>
    <w:p w14:paraId="314E3829" w14:textId="77777777" w:rsidR="00822BA0" w:rsidRDefault="00822BA0" w:rsidP="00B36723">
      <w:pPr>
        <w:spacing w:line="480" w:lineRule="auto"/>
      </w:pPr>
    </w:p>
    <w:p w14:paraId="20CD5CBB" w14:textId="77777777" w:rsidR="00822BA0" w:rsidRDefault="00822BA0" w:rsidP="00B36723">
      <w:pPr>
        <w:spacing w:line="480" w:lineRule="auto"/>
      </w:pPr>
    </w:p>
    <w:p w14:paraId="016B31A0" w14:textId="77777777" w:rsidR="00822BA0" w:rsidRDefault="00822BA0" w:rsidP="00B36723">
      <w:pPr>
        <w:spacing w:line="480" w:lineRule="auto"/>
      </w:pPr>
    </w:p>
    <w:p w14:paraId="085B89BD" w14:textId="77777777" w:rsidR="00822BA0" w:rsidRDefault="00822BA0" w:rsidP="00B36723">
      <w:pPr>
        <w:spacing w:line="480" w:lineRule="auto"/>
      </w:pPr>
    </w:p>
    <w:p w14:paraId="0FA15CFC" w14:textId="10EDCEE1" w:rsidR="00B36723" w:rsidRDefault="00B36723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lastRenderedPageBreak/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67EAE7AA" w14:textId="77777777" w:rsidR="00B36723" w:rsidRDefault="00B36723" w:rsidP="00B36723">
      <w:pPr>
        <w:rPr>
          <w:rFonts w:ascii="Times New Roman" w:hAnsi="Times New Roman" w:cs="Times New Roman"/>
          <w:b/>
          <w:sz w:val="28"/>
        </w:rPr>
      </w:pPr>
    </w:p>
    <w:p w14:paraId="1FD27A3E" w14:textId="514E3845" w:rsidR="0021688C" w:rsidRPr="0021688C" w:rsidRDefault="0021688C" w:rsidP="00B367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332C2D96" w14:textId="21776B55" w:rsidR="00822BA0" w:rsidRPr="00B36723" w:rsidRDefault="00822BA0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B36723">
        <w:rPr>
          <w:rFonts w:ascii="Times New Roman" w:hAnsi="Times New Roman" w:cs="Times New Roman"/>
          <w:sz w:val="22"/>
          <w:lang w:val="en-IE"/>
        </w:rPr>
        <w:t>The 100</w:t>
      </w:r>
      <w:r w:rsidR="00AD29D4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ms ruling for false start disqualification at athletic competitions governed by the International Association of Athletics Federations has been in force since the early 1990's.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584904">
        <w:rPr>
          <w:rFonts w:ascii="Times New Roman" w:hAnsi="Times New Roman" w:cs="Times New Roman"/>
          <w:sz w:val="22"/>
          <w:lang w:val="en-IE"/>
        </w:rPr>
        <w:t>Throughout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this period</w:t>
      </w:r>
      <w:r w:rsidR="00584904">
        <w:rPr>
          <w:rFonts w:ascii="Times New Roman" w:hAnsi="Times New Roman" w:cs="Times New Roman"/>
          <w:sz w:val="22"/>
          <w:lang w:val="en-IE"/>
        </w:rPr>
        <w:t>,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significant changes have been made to the rules governing the disqualification of athlete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from </w:t>
      </w:r>
      <w:r w:rsidR="008126FF">
        <w:rPr>
          <w:rFonts w:ascii="Times New Roman" w:hAnsi="Times New Roman" w:cs="Times New Roman"/>
          <w:sz w:val="22"/>
          <w:lang w:val="en-IE"/>
        </w:rPr>
        <w:t>sprint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event</w:t>
      </w:r>
      <w:r w:rsidR="008126FF">
        <w:rPr>
          <w:rFonts w:ascii="Times New Roman" w:hAnsi="Times New Roman" w:cs="Times New Roman"/>
          <w:sz w:val="22"/>
          <w:lang w:val="en-IE"/>
        </w:rPr>
        <w:t>s incorporating starts from blocks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This </w:t>
      </w:r>
      <w:r w:rsidR="008126FF">
        <w:rPr>
          <w:rFonts w:ascii="Times New Roman" w:hAnsi="Times New Roman" w:cs="Times New Roman"/>
          <w:sz w:val="22"/>
          <w:lang w:val="en-IE"/>
        </w:rPr>
        <w:t>study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analysed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all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available </w:t>
      </w:r>
      <w:r w:rsidRPr="00B36723">
        <w:rPr>
          <w:rFonts w:ascii="Times New Roman" w:hAnsi="Times New Roman" w:cs="Times New Roman"/>
          <w:sz w:val="22"/>
          <w:lang w:val="en-IE"/>
        </w:rPr>
        <w:t>World and European Championship</w:t>
      </w:r>
      <w:r w:rsidR="00584904">
        <w:rPr>
          <w:rFonts w:ascii="Times New Roman" w:hAnsi="Times New Roman" w:cs="Times New Roman"/>
          <w:sz w:val="22"/>
          <w:lang w:val="en-IE"/>
        </w:rPr>
        <w:t xml:space="preserve"> reaction time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data </w:t>
      </w:r>
      <w:r w:rsidR="00584904">
        <w:rPr>
          <w:rFonts w:ascii="Times New Roman" w:hAnsi="Times New Roman" w:cs="Times New Roman"/>
          <w:sz w:val="22"/>
          <w:lang w:val="en-IE"/>
        </w:rPr>
        <w:t>from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1999 to 2014 to </w:t>
      </w:r>
      <w:r w:rsidR="00584904">
        <w:rPr>
          <w:rFonts w:ascii="Times New Roman" w:hAnsi="Times New Roman" w:cs="Times New Roman"/>
          <w:sz w:val="22"/>
          <w:lang w:val="en-IE"/>
        </w:rPr>
        <w:t>examine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the </w:t>
      </w:r>
      <w:r w:rsidR="00584904">
        <w:rPr>
          <w:rFonts w:ascii="Times New Roman" w:hAnsi="Times New Roman" w:cs="Times New Roman"/>
          <w:sz w:val="22"/>
          <w:lang w:val="en-IE"/>
        </w:rPr>
        <w:t>effect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of rule changes</w:t>
      </w:r>
      <w:r w:rsidR="00584904">
        <w:rPr>
          <w:rFonts w:ascii="Times New Roman" w:hAnsi="Times New Roman" w:cs="Times New Roman"/>
          <w:sz w:val="22"/>
          <w:lang w:val="en-IE"/>
        </w:rPr>
        <w:t xml:space="preserve"> on competition reaction times</w:t>
      </w:r>
      <w:r w:rsidR="008126FF">
        <w:rPr>
          <w:rFonts w:ascii="Times New Roman" w:hAnsi="Times New Roman" w:cs="Times New Roman"/>
          <w:sz w:val="22"/>
          <w:lang w:val="en-IE"/>
        </w:rPr>
        <w:t xml:space="preserve"> at major championships</w:t>
      </w:r>
      <w:r w:rsidRPr="00B36723">
        <w:rPr>
          <w:rFonts w:ascii="Times New Roman" w:hAnsi="Times New Roman" w:cs="Times New Roman"/>
          <w:sz w:val="22"/>
          <w:lang w:val="en-IE"/>
        </w:rPr>
        <w:t>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  </w:t>
      </w:r>
      <w:r w:rsidR="00DD6137">
        <w:rPr>
          <w:rFonts w:ascii="Times New Roman" w:hAnsi="Times New Roman" w:cs="Times New Roman"/>
          <w:sz w:val="22"/>
          <w:lang w:val="en-IE"/>
        </w:rPr>
        <w:t xml:space="preserve">The exponentially modified Gaussian distribution </w:t>
      </w:r>
      <w:r w:rsidR="008126FF">
        <w:rPr>
          <w:rFonts w:ascii="Times New Roman" w:hAnsi="Times New Roman" w:cs="Times New Roman"/>
          <w:sz w:val="22"/>
          <w:lang w:val="en-IE"/>
        </w:rPr>
        <w:t>wa</w:t>
      </w:r>
      <w:r w:rsidR="00DD6137">
        <w:rPr>
          <w:rFonts w:ascii="Times New Roman" w:hAnsi="Times New Roman" w:cs="Times New Roman"/>
          <w:sz w:val="22"/>
          <w:lang w:val="en-IE"/>
        </w:rPr>
        <w:t xml:space="preserve">s used to model the reaction times </w:t>
      </w:r>
      <w:r w:rsidR="008126FF">
        <w:rPr>
          <w:rFonts w:ascii="Times New Roman" w:hAnsi="Times New Roman" w:cs="Times New Roman"/>
          <w:sz w:val="22"/>
          <w:lang w:val="en-IE"/>
        </w:rPr>
        <w:t>and make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comparison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="00DD6137">
        <w:rPr>
          <w:rFonts w:ascii="Times New Roman" w:hAnsi="Times New Roman" w:cs="Times New Roman"/>
          <w:sz w:val="22"/>
          <w:lang w:val="en-IE"/>
        </w:rPr>
        <w:t xml:space="preserve"> relative to sex, ruling periods and competition rounds.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 xml:space="preserve">Revised reaction time thresholds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of 115 ms and 119 ms </w:t>
      </w:r>
      <w:r w:rsidR="00DD6137">
        <w:rPr>
          <w:rFonts w:ascii="Times New Roman" w:hAnsi="Times New Roman" w:cs="Times New Roman"/>
          <w:sz w:val="22"/>
          <w:lang w:val="en-IE"/>
        </w:rPr>
        <w:t xml:space="preserve">were </w:t>
      </w:r>
      <w:r w:rsidR="000F6135">
        <w:rPr>
          <w:rFonts w:ascii="Times New Roman" w:hAnsi="Times New Roman" w:cs="Times New Roman"/>
          <w:sz w:val="22"/>
          <w:lang w:val="en-IE"/>
        </w:rPr>
        <w:t>calculated</w:t>
      </w:r>
      <w:r w:rsidR="00DD6137">
        <w:rPr>
          <w:rFonts w:ascii="Times New Roman" w:hAnsi="Times New Roman" w:cs="Times New Roman"/>
          <w:sz w:val="22"/>
          <w:lang w:val="en-IE"/>
        </w:rPr>
        <w:t xml:space="preserve"> for </w:t>
      </w:r>
      <w:r w:rsidR="00835861">
        <w:rPr>
          <w:rFonts w:ascii="Times New Roman" w:hAnsi="Times New Roman" w:cs="Times New Roman"/>
          <w:sz w:val="22"/>
          <w:lang w:val="en-IE"/>
        </w:rPr>
        <w:t>men and women</w:t>
      </w:r>
      <w:r w:rsidR="008126FF">
        <w:rPr>
          <w:rFonts w:ascii="Times New Roman" w:hAnsi="Times New Roman" w:cs="Times New Roman"/>
          <w:sz w:val="22"/>
          <w:lang w:val="en-IE"/>
        </w:rPr>
        <w:t xml:space="preserve"> </w:t>
      </w:r>
      <w:r w:rsidR="00B051DC">
        <w:rPr>
          <w:rFonts w:ascii="Times New Roman" w:hAnsi="Times New Roman" w:cs="Times New Roman"/>
          <w:sz w:val="22"/>
          <w:lang w:val="en-IE"/>
        </w:rPr>
        <w:t>respectively,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indicat</w:t>
      </w:r>
      <w:r w:rsidR="000F6135">
        <w:rPr>
          <w:rFonts w:ascii="Times New Roman" w:hAnsi="Times New Roman" w:cs="Times New Roman"/>
          <w:sz w:val="22"/>
          <w:lang w:val="en-IE"/>
        </w:rPr>
        <w:t>ing that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the</w:t>
      </w:r>
      <w:r w:rsidR="008126FF">
        <w:rPr>
          <w:rFonts w:ascii="Times New Roman" w:hAnsi="Times New Roman" w:cs="Times New Roman"/>
          <w:sz w:val="22"/>
          <w:lang w:val="en-IE"/>
        </w:rPr>
        <w:t xml:space="preserve"> current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100 ms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rule </w:t>
      </w:r>
      <w:r w:rsidR="00ED265E">
        <w:rPr>
          <w:rFonts w:ascii="Times New Roman" w:hAnsi="Times New Roman" w:cs="Times New Roman"/>
          <w:sz w:val="22"/>
          <w:lang w:val="en-IE"/>
        </w:rPr>
        <w:t>results in some</w:t>
      </w:r>
      <w:r w:rsidR="000F6135">
        <w:rPr>
          <w:rFonts w:ascii="Times New Roman" w:hAnsi="Times New Roman" w:cs="Times New Roman"/>
          <w:sz w:val="22"/>
          <w:lang w:val="en-IE"/>
        </w:rPr>
        <w:t xml:space="preserve"> false starts not being detected in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competitive athletics.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>The conclusions of this study</w:t>
      </w:r>
      <w:r w:rsidR="00C7609C">
        <w:rPr>
          <w:rFonts w:ascii="Times New Roman" w:hAnsi="Times New Roman" w:cs="Times New Roman"/>
          <w:sz w:val="22"/>
          <w:lang w:val="en-IE"/>
        </w:rPr>
        <w:t>, based on the IAAF approved starting technology,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propose a revision of the false start detection threshold is carried out and that </w:t>
      </w:r>
      <w:r w:rsidR="00835861">
        <w:rPr>
          <w:rFonts w:ascii="Times New Roman" w:hAnsi="Times New Roman" w:cs="Times New Roman"/>
          <w:sz w:val="22"/>
          <w:lang w:val="en-IE"/>
        </w:rPr>
        <w:t>men and women are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governed independently due to the substantial evidence of a sex difference in reaction times</w:t>
      </w:r>
      <w:r w:rsidR="00CB7626">
        <w:rPr>
          <w:rFonts w:ascii="Times New Roman" w:hAnsi="Times New Roman" w:cs="Times New Roman"/>
          <w:sz w:val="22"/>
          <w:lang w:val="en-IE"/>
        </w:rPr>
        <w:t xml:space="preserve"> of elite athletes</w:t>
      </w:r>
      <w:r w:rsidR="00DD6137">
        <w:rPr>
          <w:rFonts w:ascii="Times New Roman" w:hAnsi="Times New Roman" w:cs="Times New Roman"/>
          <w:sz w:val="22"/>
          <w:lang w:val="en-IE"/>
        </w:rPr>
        <w:t>.</w:t>
      </w:r>
    </w:p>
    <w:p w14:paraId="40DDB3DA" w14:textId="0DB0B259" w:rsidR="00822BA0" w:rsidRDefault="00B36723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3E7577">
        <w:rPr>
          <w:rFonts w:ascii="Times New Roman" w:hAnsi="Times New Roman" w:cs="Times New Roman"/>
          <w:b/>
          <w:i/>
          <w:sz w:val="22"/>
          <w:lang w:val="en-IE"/>
        </w:rPr>
        <w:t>Keywords:</w:t>
      </w:r>
      <w:r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>e</w:t>
      </w:r>
      <w:r w:rsidR="00B3119F">
        <w:rPr>
          <w:rFonts w:ascii="Times New Roman" w:hAnsi="Times New Roman" w:cs="Times New Roman"/>
          <w:sz w:val="22"/>
          <w:lang w:val="en-IE"/>
        </w:rPr>
        <w:t xml:space="preserve">xponentially modified Gaussian distribution;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B3119F">
        <w:rPr>
          <w:rFonts w:ascii="Times New Roman" w:hAnsi="Times New Roman" w:cs="Times New Roman"/>
          <w:sz w:val="22"/>
          <w:lang w:val="en-IE"/>
        </w:rPr>
        <w:t xml:space="preserve">uditory performance;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B3119F">
        <w:rPr>
          <w:rFonts w:ascii="Times New Roman" w:hAnsi="Times New Roman" w:cs="Times New Roman"/>
          <w:sz w:val="22"/>
          <w:lang w:val="en-IE"/>
        </w:rPr>
        <w:t>thletics</w:t>
      </w:r>
    </w:p>
    <w:p w14:paraId="3566958F" w14:textId="0FB82E59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Introduction</w:t>
      </w:r>
    </w:p>
    <w:p w14:paraId="5508CD88" w14:textId="10B93707" w:rsidR="00CB7626" w:rsidRDefault="00BA6929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reaction times </w:t>
      </w:r>
      <w:r w:rsidR="00892C56">
        <w:rPr>
          <w:rFonts w:ascii="Times New Roman" w:hAnsi="Times New Roman" w:cs="Times New Roman"/>
        </w:rPr>
        <w:t xml:space="preserve">(RTs) </w:t>
      </w:r>
      <w:r w:rsidRPr="00BA6929">
        <w:rPr>
          <w:rFonts w:ascii="Times New Roman" w:hAnsi="Times New Roman" w:cs="Times New Roman"/>
        </w:rPr>
        <w:t>of elite 100</w:t>
      </w:r>
      <w:r w:rsidR="00AD29D4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m</w:t>
      </w:r>
      <w:r w:rsidR="002F72BE" w:rsidRPr="00BA6929">
        <w:rPr>
          <w:rFonts w:ascii="Times New Roman" w:hAnsi="Times New Roman" w:cs="Times New Roman"/>
        </w:rPr>
        <w:t xml:space="preserve"> sprinters has been singled out as a possible benchmark against which to gauge the absolute limits of human auditory performance</w:t>
      </w:r>
      <w:r w:rsidRPr="00BA6929">
        <w:rPr>
          <w:rFonts w:ascii="Times New Roman" w:hAnsi="Times New Roman" w:cs="Times New Roman"/>
        </w:rPr>
        <w:t xml:space="preserve"> </w:t>
      </w:r>
      <w:r w:rsidR="00242EA4">
        <w:rPr>
          <w:rFonts w:ascii="Times New Roman" w:hAnsi="Times New Roman" w:cs="Times New Roman"/>
        </w:rPr>
        <w:fldChar w:fldCharType="begin"/>
      </w:r>
      <w:r w:rsidR="00242EA4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242EA4">
        <w:rPr>
          <w:rFonts w:ascii="Times New Roman" w:hAnsi="Times New Roman" w:cs="Times New Roman"/>
        </w:rPr>
        <w:fldChar w:fldCharType="separate"/>
      </w:r>
      <w:r w:rsidR="00242EA4">
        <w:rPr>
          <w:rFonts w:ascii="Times New Roman" w:hAnsi="Times New Roman" w:cs="Times New Roman"/>
          <w:noProof/>
        </w:rPr>
        <w:t>(Lipps, Galecki et al. 2011)</w:t>
      </w:r>
      <w:r w:rsidR="00242EA4">
        <w:rPr>
          <w:rFonts w:ascii="Times New Roman" w:hAnsi="Times New Roman" w:cs="Times New Roman"/>
        </w:rPr>
        <w:fldChar w:fldCharType="end"/>
      </w:r>
      <w:r w:rsidR="002F72BE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Accurate </w:t>
      </w:r>
      <w:r w:rsidR="00ED265E" w:rsidRPr="00BA6929">
        <w:rPr>
          <w:rFonts w:ascii="Times New Roman" w:hAnsi="Times New Roman" w:cs="Times New Roman"/>
        </w:rPr>
        <w:t>identif</w:t>
      </w:r>
      <w:r w:rsidR="00ED265E">
        <w:rPr>
          <w:rFonts w:ascii="Times New Roman" w:hAnsi="Times New Roman" w:cs="Times New Roman"/>
        </w:rPr>
        <w:t>ication of</w:t>
      </w:r>
      <w:r w:rsidR="00ED265E" w:rsidRPr="00BA6929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the precise </w:t>
      </w:r>
      <w:r w:rsidR="00ED265E">
        <w:rPr>
          <w:rFonts w:ascii="Times New Roman" w:hAnsi="Times New Roman" w:cs="Times New Roman"/>
        </w:rPr>
        <w:t>RT latency period after the start signal for sprint starts at major championships is vital</w:t>
      </w:r>
      <w:r w:rsidR="00ED265E" w:rsidRPr="00BA6929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for the fair and impartial refereeing of competitive athletics. </w:t>
      </w:r>
    </w:p>
    <w:p w14:paraId="605DD46D" w14:textId="0D134A73" w:rsidR="00BA6929" w:rsidRDefault="002F72BE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lastRenderedPageBreak/>
        <w:t>The International Association of Ath</w:t>
      </w:r>
      <w:r w:rsidR="00BA6929" w:rsidRPr="00BA6929">
        <w:rPr>
          <w:rFonts w:ascii="Times New Roman" w:hAnsi="Times New Roman" w:cs="Times New Roman"/>
        </w:rPr>
        <w:t xml:space="preserve">letics Federations (IAAF) rule 161.2 </w:t>
      </w:r>
      <w:r w:rsidRPr="00BA6929">
        <w:rPr>
          <w:rFonts w:ascii="Times New Roman" w:hAnsi="Times New Roman" w:cs="Times New Roman"/>
        </w:rPr>
        <w:t>stipulates that a false start occurs when a sprinter regis</w:t>
      </w:r>
      <w:r w:rsidR="00BA6929" w:rsidRPr="00BA6929">
        <w:rPr>
          <w:rFonts w:ascii="Times New Roman" w:hAnsi="Times New Roman" w:cs="Times New Roman"/>
        </w:rPr>
        <w:t xml:space="preserve">ters a </w:t>
      </w:r>
      <w:r w:rsidR="00892C56">
        <w:rPr>
          <w:rFonts w:ascii="Times New Roman" w:hAnsi="Times New Roman" w:cs="Times New Roman"/>
        </w:rPr>
        <w:t>RT</w:t>
      </w:r>
      <w:r w:rsidR="00BA6929" w:rsidRPr="00BA6929">
        <w:rPr>
          <w:rFonts w:ascii="Times New Roman" w:hAnsi="Times New Roman" w:cs="Times New Roman"/>
        </w:rPr>
        <w:t xml:space="preserve"> less than 100</w:t>
      </w:r>
      <w:r w:rsidR="00545E0B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 xml:space="preserve">ms </w:t>
      </w:r>
      <w:r w:rsidR="00242EA4">
        <w:rPr>
          <w:rFonts w:ascii="Times New Roman" w:hAnsi="Times New Roman" w:cs="Times New Roman"/>
        </w:rPr>
        <w:fldChar w:fldCharType="begin"/>
      </w:r>
      <w:r w:rsidR="00793C5F">
        <w:rPr>
          <w:rFonts w:ascii="Times New Roman" w:hAnsi="Times New Roman" w:cs="Times New Roman"/>
        </w:rPr>
        <w:instrText xml:space="preserve"> ADDIN EN.CITE &lt;EndNote&gt;&lt;Cite&gt;&lt;Author&gt;Federations&lt;/Author&gt;&lt;Year&gt;2015&lt;/Year&gt;&lt;RecNum&gt;29&lt;/RecNum&gt;&lt;DisplayText&gt;(International Association of Athletics Federations 2015)&lt;/DisplayText&gt;&lt;record&gt;&lt;rec-number&gt;29&lt;/rec-number&gt;&lt;foreign-keys&gt;&lt;key app="EN" db-id="0zxvwf9f6xset3exsr5x2a975zwvztxseprs" timestamp="1455280372"&gt;29&lt;/key&gt;&lt;key app="ENWeb" db-id=""&gt;0&lt;/key&gt;&lt;/foreign-keys&gt;&lt;ref-type name="Web Page"&gt;12&lt;/ref-type&gt;&lt;contributors&gt;&lt;authors&gt;&lt;author&gt;International Association of Athletics Federations,&lt;/author&gt;&lt;/authors&gt;&lt;/contributors&gt;&lt;titles&gt;&lt;title&gt;Competition Rules 2016-2017&lt;/title&gt;&lt;/titles&gt;&lt;dates&gt;&lt;year&gt;2015&lt;/year&gt;&lt;/dates&gt;&lt;urls&gt;&lt;related-urls&gt;&lt;url&gt;http://www.iaff.org/about-iaaf/documents/reules-regulations&lt;/url&gt;&lt;/related-urls&gt;&lt;/urls&gt;&lt;/record&gt;&lt;/Cite&gt;&lt;/EndNote&gt;</w:instrText>
      </w:r>
      <w:r w:rsidR="00242EA4">
        <w:rPr>
          <w:rFonts w:ascii="Times New Roman" w:hAnsi="Times New Roman" w:cs="Times New Roman"/>
        </w:rPr>
        <w:fldChar w:fldCharType="separate"/>
      </w:r>
      <w:r w:rsidR="00D34102">
        <w:rPr>
          <w:rFonts w:ascii="Times New Roman" w:hAnsi="Times New Roman" w:cs="Times New Roman"/>
          <w:noProof/>
        </w:rPr>
        <w:t>(International Association of Athletics Federations 2015)</w:t>
      </w:r>
      <w:r w:rsidR="00242EA4">
        <w:rPr>
          <w:rFonts w:ascii="Times New Roman" w:hAnsi="Times New Roman" w:cs="Times New Roman"/>
        </w:rPr>
        <w:fldChar w:fldCharType="end"/>
      </w:r>
      <w:r w:rsidR="00BA6929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ED265E">
        <w:rPr>
          <w:rFonts w:ascii="Times New Roman" w:hAnsi="Times New Roman" w:cs="Times New Roman"/>
        </w:rPr>
        <w:t xml:space="preserve">Before </w:t>
      </w:r>
      <w:r w:rsidR="00BA6929" w:rsidRPr="00BA6929">
        <w:rPr>
          <w:rFonts w:ascii="Times New Roman" w:hAnsi="Times New Roman" w:cs="Times New Roman"/>
        </w:rPr>
        <w:t>January 2004</w:t>
      </w:r>
      <w:r w:rsidRPr="00BA6929">
        <w:rPr>
          <w:rFonts w:ascii="Times New Roman" w:hAnsi="Times New Roman" w:cs="Times New Roman"/>
        </w:rPr>
        <w:t>,</w:t>
      </w:r>
      <w:r w:rsidR="00AD29D4" w:rsidRPr="00BA6929">
        <w:rPr>
          <w:rFonts w:ascii="Times New Roman" w:hAnsi="Times New Roman" w:cs="Times New Roman"/>
        </w:rPr>
        <w:t xml:space="preserve"> a </w:t>
      </w:r>
      <w:r w:rsidR="00892C56">
        <w:rPr>
          <w:rFonts w:ascii="Times New Roman" w:hAnsi="Times New Roman" w:cs="Times New Roman"/>
        </w:rPr>
        <w:t>RT</w:t>
      </w:r>
      <w:r w:rsidR="00AD29D4" w:rsidRPr="00BA6929">
        <w:rPr>
          <w:rFonts w:ascii="Times New Roman" w:hAnsi="Times New Roman" w:cs="Times New Roman"/>
        </w:rPr>
        <w:t xml:space="preserve"> of less than 100</w:t>
      </w:r>
      <w:r w:rsidR="00AD29D4">
        <w:rPr>
          <w:rFonts w:ascii="Times New Roman" w:hAnsi="Times New Roman" w:cs="Times New Roman"/>
        </w:rPr>
        <w:t xml:space="preserve"> </w:t>
      </w:r>
      <w:r w:rsidR="00AD29D4" w:rsidRPr="00BA6929">
        <w:rPr>
          <w:rFonts w:ascii="Times New Roman" w:hAnsi="Times New Roman" w:cs="Times New Roman"/>
        </w:rPr>
        <w:t xml:space="preserve">ms </w:t>
      </w:r>
      <w:r w:rsidR="00AD29D4">
        <w:rPr>
          <w:rFonts w:ascii="Times New Roman" w:hAnsi="Times New Roman" w:cs="Times New Roman"/>
        </w:rPr>
        <w:t xml:space="preserve">(i.e. </w:t>
      </w:r>
      <w:r w:rsidRPr="00BA6929">
        <w:rPr>
          <w:rFonts w:ascii="Times New Roman" w:hAnsi="Times New Roman" w:cs="Times New Roman"/>
        </w:rPr>
        <w:t>a false start</w:t>
      </w:r>
      <w:r w:rsidR="00AD29D4">
        <w:rPr>
          <w:rFonts w:ascii="Times New Roman" w:hAnsi="Times New Roman" w:cs="Times New Roman"/>
        </w:rPr>
        <w:t>)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resulted in a</w:t>
      </w:r>
      <w:r w:rsidRPr="00BA6929">
        <w:rPr>
          <w:rFonts w:ascii="Times New Roman" w:hAnsi="Times New Roman" w:cs="Times New Roman"/>
        </w:rPr>
        <w:t xml:space="preserve"> warning on a competitor and</w:t>
      </w:r>
      <w:r w:rsidR="00AD29D4">
        <w:rPr>
          <w:rFonts w:ascii="Times New Roman" w:hAnsi="Times New Roman" w:cs="Times New Roman"/>
        </w:rPr>
        <w:t xml:space="preserve"> the</w:t>
      </w:r>
      <w:r w:rsidRPr="00BA6929">
        <w:rPr>
          <w:rFonts w:ascii="Times New Roman" w:hAnsi="Times New Roman" w:cs="Times New Roman"/>
        </w:rPr>
        <w:t xml:space="preserve"> competitor</w:t>
      </w:r>
      <w:r w:rsidR="00892C56">
        <w:rPr>
          <w:rFonts w:ascii="Times New Roman" w:hAnsi="Times New Roman" w:cs="Times New Roman"/>
        </w:rPr>
        <w:t xml:space="preserve"> was disqualified </w:t>
      </w:r>
      <w:r w:rsidR="00ED265E">
        <w:rPr>
          <w:rFonts w:ascii="Times New Roman" w:hAnsi="Times New Roman" w:cs="Times New Roman"/>
        </w:rPr>
        <w:t xml:space="preserve">for </w:t>
      </w:r>
      <w:r w:rsidR="00B3119F">
        <w:rPr>
          <w:rFonts w:ascii="Times New Roman" w:hAnsi="Times New Roman" w:cs="Times New Roman"/>
        </w:rPr>
        <w:t xml:space="preserve">two </w:t>
      </w:r>
      <w:r w:rsidR="00ED265E">
        <w:rPr>
          <w:rFonts w:ascii="Times New Roman" w:hAnsi="Times New Roman" w:cs="Times New Roman"/>
        </w:rPr>
        <w:t xml:space="preserve">false </w:t>
      </w:r>
      <w:r w:rsidR="00B3119F">
        <w:rPr>
          <w:rFonts w:ascii="Times New Roman" w:hAnsi="Times New Roman" w:cs="Times New Roman"/>
        </w:rPr>
        <w:t>starts</w:t>
      </w:r>
      <w:r w:rsidR="00ED265E">
        <w:rPr>
          <w:rFonts w:ascii="Times New Roman" w:hAnsi="Times New Roman" w:cs="Times New Roman"/>
        </w:rPr>
        <w:t xml:space="preserve"> in a race</w:t>
      </w:r>
      <w:r w:rsidR="00BA6929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>From January 2004</w:t>
      </w:r>
      <w:r w:rsidRPr="00BA6929">
        <w:rPr>
          <w:rFonts w:ascii="Times New Roman" w:hAnsi="Times New Roman" w:cs="Times New Roman"/>
        </w:rPr>
        <w:t xml:space="preserve">, a false start by any competitor placed all the athletes in the race on a </w:t>
      </w:r>
      <w:r w:rsidR="00B3119F">
        <w:rPr>
          <w:rFonts w:ascii="Times New Roman" w:hAnsi="Times New Roman" w:cs="Times New Roman"/>
        </w:rPr>
        <w:t xml:space="preserve">first </w:t>
      </w:r>
      <w:r w:rsidRPr="00BA6929">
        <w:rPr>
          <w:rFonts w:ascii="Times New Roman" w:hAnsi="Times New Roman" w:cs="Times New Roman"/>
        </w:rPr>
        <w:t>warning.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Subsequently</w:t>
      </w:r>
      <w:r w:rsidR="00ED265E">
        <w:rPr>
          <w:rFonts w:ascii="Times New Roman" w:hAnsi="Times New Roman" w:cs="Times New Roman"/>
        </w:rPr>
        <w:t>,</w:t>
      </w:r>
      <w:r w:rsidR="00AD29D4">
        <w:rPr>
          <w:rFonts w:ascii="Times New Roman" w:hAnsi="Times New Roman" w:cs="Times New Roman"/>
        </w:rPr>
        <w:t xml:space="preserve"> a</w:t>
      </w:r>
      <w:r w:rsidRPr="00BA6929">
        <w:rPr>
          <w:rFonts w:ascii="Times New Roman" w:hAnsi="Times New Roman" w:cs="Times New Roman"/>
        </w:rPr>
        <w:t xml:space="preserve">ny sprinter registering a false start would </w:t>
      </w:r>
      <w:r w:rsidR="00AD29D4">
        <w:rPr>
          <w:rFonts w:ascii="Times New Roman" w:hAnsi="Times New Roman" w:cs="Times New Roman"/>
        </w:rPr>
        <w:t xml:space="preserve">be </w:t>
      </w:r>
      <w:r w:rsidRPr="00BA6929">
        <w:rPr>
          <w:rFonts w:ascii="Times New Roman" w:hAnsi="Times New Roman" w:cs="Times New Roman"/>
        </w:rPr>
        <w:t>automatically disqualified regardless of whether (</w:t>
      </w:r>
      <w:proofErr w:type="gramStart"/>
      <w:r w:rsidRPr="00BA6929">
        <w:rPr>
          <w:rFonts w:ascii="Times New Roman" w:hAnsi="Times New Roman" w:cs="Times New Roman"/>
        </w:rPr>
        <w:t>s)he</w:t>
      </w:r>
      <w:proofErr w:type="gramEnd"/>
      <w:r w:rsidRPr="00BA6929">
        <w:rPr>
          <w:rFonts w:ascii="Times New Roman" w:hAnsi="Times New Roman" w:cs="Times New Roman"/>
        </w:rPr>
        <w:t xml:space="preserve"> was the original offender.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 w:rsidR="00947087">
        <w:rPr>
          <w:rFonts w:ascii="Times New Roman" w:hAnsi="Times New Roman" w:cs="Times New Roman"/>
        </w:rPr>
        <w:t xml:space="preserve">To eradicate gamesmanship </w:t>
      </w:r>
      <w:r w:rsidR="00947087">
        <w:rPr>
          <w:rFonts w:ascii="Times New Roman" w:hAnsi="Times New Roman" w:cs="Times New Roman"/>
        </w:rPr>
        <w:fldChar w:fldCharType="begin"/>
      </w:r>
      <w:r w:rsidR="00793C5F">
        <w:rPr>
          <w:rFonts w:ascii="Times New Roman" w:hAnsi="Times New Roman" w:cs="Times New Roman"/>
        </w:rPr>
        <w:instrText xml:space="preserve"> ADDIN EN.CITE &lt;EndNote&gt;&lt;Cite&gt;&lt;Author&gt;Athletics Australia&lt;/Author&gt;&lt;Year&gt;2009&lt;/Year&gt;&lt;RecNum&gt;47&lt;/RecNum&gt;&lt;DisplayText&gt;(Athletics Australia 2009)&lt;/DisplayText&gt;&lt;record&gt;&lt;rec-number&gt;47&lt;/rec-number&gt;&lt;foreign-keys&gt;&lt;key app="EN" db-id="0zxvwf9f6xset3exsr5x2a975zwvztxseprs" timestamp="1459275259"&gt;47&lt;/key&gt;&lt;/foreign-keys&gt;&lt;ref-type name="Web Page"&gt;12&lt;/ref-type&gt;&lt;contributors&gt;&lt;authors&gt;&lt;author&gt;Athletics Australia,&lt;/author&gt;&lt;/authors&gt;&lt;/contributors&gt;&lt;titles&gt;&lt;title&gt;Implementation of IAAF &amp;quot;No False Start&amp;quot; Rule&lt;/title&gt;&lt;/titles&gt;&lt;dates&gt;&lt;year&gt;2009&lt;/year&gt;&lt;/dates&gt;&lt;urls&gt;&lt;related-urls&gt;&lt;url&gt;http://www.easternsuburbs.org.au/assets/console/customitem/attachments/New_Start_Rule_Guidelines_141109.pdf&lt;/url&gt;&lt;/related-urls&gt;&lt;/urls&gt;&lt;/record&gt;&lt;/Cite&gt;&lt;/EndNote&gt;</w:instrText>
      </w:r>
      <w:r w:rsidR="00947087">
        <w:rPr>
          <w:rFonts w:ascii="Times New Roman" w:hAnsi="Times New Roman" w:cs="Times New Roman"/>
        </w:rPr>
        <w:fldChar w:fldCharType="separate"/>
      </w:r>
      <w:r w:rsidR="00947087">
        <w:rPr>
          <w:rFonts w:ascii="Times New Roman" w:hAnsi="Times New Roman" w:cs="Times New Roman"/>
          <w:noProof/>
        </w:rPr>
        <w:t>(Athletics Australia 2009)</w:t>
      </w:r>
      <w:r w:rsidR="00947087">
        <w:rPr>
          <w:rFonts w:ascii="Times New Roman" w:hAnsi="Times New Roman" w:cs="Times New Roman"/>
        </w:rPr>
        <w:fldChar w:fldCharType="end"/>
      </w:r>
      <w:r w:rsidR="00ED265E">
        <w:rPr>
          <w:rFonts w:ascii="Times New Roman" w:hAnsi="Times New Roman" w:cs="Times New Roman"/>
        </w:rPr>
        <w:t>,</w:t>
      </w:r>
      <w:r w:rsidRPr="00BA6929">
        <w:rPr>
          <w:rFonts w:ascii="Times New Roman" w:hAnsi="Times New Roman" w:cs="Times New Roman"/>
        </w:rPr>
        <w:t xml:space="preserve"> the IAAF made significant c</w:t>
      </w:r>
      <w:r w:rsidR="00BA6929" w:rsidRPr="00BA6929">
        <w:rPr>
          <w:rFonts w:ascii="Times New Roman" w:hAnsi="Times New Roman" w:cs="Times New Roman"/>
        </w:rPr>
        <w:t xml:space="preserve">hanges to the </w:t>
      </w:r>
      <w:r w:rsidR="00947087">
        <w:rPr>
          <w:rFonts w:ascii="Times New Roman" w:hAnsi="Times New Roman" w:cs="Times New Roman"/>
        </w:rPr>
        <w:t>false start disqualification rule</w:t>
      </w:r>
      <w:r w:rsidR="00BA6929" w:rsidRPr="00BA6929">
        <w:rPr>
          <w:rFonts w:ascii="Times New Roman" w:hAnsi="Times New Roman" w:cs="Times New Roman"/>
        </w:rPr>
        <w:t xml:space="preserve"> in January </w:t>
      </w:r>
      <w:r w:rsidR="00947087">
        <w:rPr>
          <w:rFonts w:ascii="Times New Roman" w:hAnsi="Times New Roman" w:cs="Times New Roman"/>
        </w:rPr>
        <w:t>2010</w:t>
      </w:r>
      <w:r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Under the revised</w:t>
      </w:r>
      <w:r w:rsidR="00CB7626">
        <w:rPr>
          <w:rFonts w:ascii="Times New Roman" w:hAnsi="Times New Roman" w:cs="Times New Roman"/>
        </w:rPr>
        <w:t xml:space="preserve"> “No False Start”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rule</w:t>
      </w:r>
      <w:r w:rsidR="00AD29D4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no warnings are issued and a competitor who false starts is automatically disqualified and removed from the race. </w:t>
      </w:r>
    </w:p>
    <w:p w14:paraId="5E0C93F1" w14:textId="194E00A0" w:rsidR="00473635" w:rsidRDefault="002F3D15" w:rsidP="002F7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100 ms limit used to detect a false start is measured as the time taken by an athlete to produce a predefined force</w:t>
      </w:r>
      <w:r w:rsidR="004625D0">
        <w:rPr>
          <w:rFonts w:ascii="Times New Roman" w:hAnsi="Times New Roman" w:cs="Times New Roman"/>
        </w:rPr>
        <w:t xml:space="preserve"> or acceleration threshold</w:t>
      </w:r>
      <w:r>
        <w:rPr>
          <w:rFonts w:ascii="Times New Roman" w:hAnsi="Times New Roman" w:cs="Times New Roman"/>
        </w:rPr>
        <w:t xml:space="preserve"> on the starting blocks.</w:t>
      </w:r>
      <w:r w:rsidR="00F32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5796A">
        <w:rPr>
          <w:rFonts w:ascii="Times New Roman" w:hAnsi="Times New Roman" w:cs="Times New Roman"/>
        </w:rPr>
        <w:fldChar w:fldCharType="begin"/>
      </w:r>
      <w:r w:rsidR="00C5796A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C5796A">
        <w:rPr>
          <w:rFonts w:ascii="Times New Roman" w:hAnsi="Times New Roman" w:cs="Times New Roman"/>
        </w:rPr>
        <w:fldChar w:fldCharType="separate"/>
      </w:r>
      <w:r w:rsidR="00C5796A">
        <w:rPr>
          <w:rFonts w:ascii="Times New Roman" w:hAnsi="Times New Roman" w:cs="Times New Roman"/>
          <w:noProof/>
        </w:rPr>
        <w:t>Lipps, Galecki et al. (2011)</w:t>
      </w:r>
      <w:r w:rsidR="00C5796A">
        <w:rPr>
          <w:rFonts w:ascii="Times New Roman" w:hAnsi="Times New Roman" w:cs="Times New Roman"/>
        </w:rPr>
        <w:fldChar w:fldCharType="end"/>
      </w:r>
      <w:r w:rsidR="00C5796A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</w:t>
      </w:r>
      <w:r w:rsidR="004625D0">
        <w:rPr>
          <w:rFonts w:ascii="Times New Roman" w:hAnsi="Times New Roman" w:cs="Times New Roman"/>
        </w:rPr>
        <w:t>d</w:t>
      </w:r>
      <w:r w:rsidR="00C5796A" w:rsidRPr="00BA6929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the IAAF justification for this</w:t>
      </w:r>
      <w:r w:rsidR="00C5796A" w:rsidRPr="00BA6929">
        <w:rPr>
          <w:rFonts w:ascii="Times New Roman" w:hAnsi="Times New Roman" w:cs="Times New Roman"/>
        </w:rPr>
        <w:t xml:space="preserve"> 100</w:t>
      </w:r>
      <w:r w:rsidR="00C5796A">
        <w:rPr>
          <w:rFonts w:ascii="Times New Roman" w:hAnsi="Times New Roman" w:cs="Times New Roman"/>
        </w:rPr>
        <w:t xml:space="preserve"> </w:t>
      </w:r>
      <w:r w:rsidR="00C5796A" w:rsidRPr="00BA6929">
        <w:rPr>
          <w:rFonts w:ascii="Times New Roman" w:hAnsi="Times New Roman" w:cs="Times New Roman"/>
        </w:rPr>
        <w:t xml:space="preserve">ms threshold is based on a considerably dated study involving eight non-elite Finish male sprinters </w:t>
      </w:r>
      <w:r w:rsidR="00C5796A">
        <w:rPr>
          <w:rFonts w:ascii="Times New Roman" w:hAnsi="Times New Roman" w:cs="Times New Roman"/>
        </w:rPr>
        <w:fldChar w:fldCharType="begin"/>
      </w:r>
      <w:r w:rsidR="00C5796A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5796A">
        <w:rPr>
          <w:rFonts w:ascii="Times New Roman" w:hAnsi="Times New Roman" w:cs="Times New Roman"/>
        </w:rPr>
        <w:fldChar w:fldCharType="separate"/>
      </w:r>
      <w:r w:rsidR="00C5796A">
        <w:rPr>
          <w:rFonts w:ascii="Times New Roman" w:hAnsi="Times New Roman" w:cs="Times New Roman"/>
          <w:noProof/>
        </w:rPr>
        <w:t>(Mero and Komi 1990)</w:t>
      </w:r>
      <w:r w:rsidR="00C5796A">
        <w:rPr>
          <w:rFonts w:ascii="Times New Roman" w:hAnsi="Times New Roman" w:cs="Times New Roman"/>
        </w:rPr>
        <w:fldChar w:fldCharType="end"/>
      </w:r>
      <w:r w:rsidR="00C5796A" w:rsidRPr="00BA69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</w:t>
      </w:r>
      <w:r w:rsidR="004625D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that </w:t>
      </w:r>
      <w:r w:rsidR="004625D0">
        <w:rPr>
          <w:rFonts w:ascii="Times New Roman" w:hAnsi="Times New Roman" w:cs="Times New Roman"/>
        </w:rPr>
        <w:t xml:space="preserve">valid </w:t>
      </w:r>
      <w:r w:rsidR="001F23B4">
        <w:rPr>
          <w:rFonts w:ascii="Times New Roman" w:hAnsi="Times New Roman" w:cs="Times New Roman"/>
        </w:rPr>
        <w:t xml:space="preserve">RTs of 85 ms are possible and </w:t>
      </w:r>
      <w:r w:rsidR="001F23B4">
        <w:rPr>
          <w:rFonts w:ascii="Times New Roman" w:hAnsi="Times New Roman" w:cs="Times New Roman"/>
        </w:rPr>
        <w:fldChar w:fldCharType="begin"/>
      </w:r>
      <w:r w:rsidR="001F23B4">
        <w:rPr>
          <w:rFonts w:ascii="Times New Roman" w:hAnsi="Times New Roman" w:cs="Times New Roman"/>
        </w:rPr>
        <w:instrText xml:space="preserve"> ADDIN EN.CITE &lt;EndNote&gt;&lt;Cite AuthorYear="1"&gt;&lt;Author&gt;Brown&lt;/Author&gt;&lt;Year&gt;2008&lt;/Year&gt;&lt;RecNum&gt;33&lt;/RecNum&gt;&lt;DisplayText&gt;Brown, Kenwell et al. (2008)&lt;/DisplayText&gt;&lt;record&gt;&lt;rec-number&gt;33&lt;/rec-number&gt;&lt;foreign-keys&gt;&lt;key app="EN" db-id="0zxvwf9f6xset3exsr5x2a975zwvztxseprs" timestamp="1455294671"&gt;33&lt;/key&gt;&lt;/foreign-keys&gt;&lt;ref-type name="Journal Article"&gt;17&lt;/ref-type&gt;&lt;contributors&gt;&lt;authors&gt;&lt;author&gt;Brown, A. M.&lt;/author&gt;&lt;author&gt;Kenwell, Z. R.&lt;/author&gt;&lt;author&gt;Maraj, B. K. V.&lt;/author&gt;&lt;author&gt;Collins, D. F.&lt;/author&gt;&lt;/authors&gt;&lt;/contributors&gt;&lt;titles&gt;&lt;title&gt;&amp;quot;Go&amp;quot; signal intensity influences the sprint start&lt;/title&gt;&lt;secondary-title&gt;Medicine and Science in Sports and Exercise&lt;/secondary-title&gt;&lt;/titles&gt;&lt;periodical&gt;&lt;full-title&gt;Medicine and Science in Sports and Exercise&lt;/full-title&gt;&lt;/periodical&gt;&lt;pages&gt;1142-1148&lt;/pages&gt;&lt;volume&gt;40&lt;/volume&gt;&lt;number&gt;6&lt;/number&gt;&lt;dates&gt;&lt;year&gt;2008&lt;/year&gt;&lt;/dates&gt;&lt;work-type&gt;Article&lt;/work-type&gt;&lt;urls&gt;&lt;related-urls&gt;&lt;url&gt;http://www.scopus.com/inward/record.url?eid=2-s2.0-54049147803&amp;amp;partnerID=40&amp;amp;md5=3391cffec0ff4d91c64fb1c89ae3203c&lt;/url&gt;&lt;url&gt;http://graphics.tx.ovid.com/ovftpdfs/FPDDNCJCLBHDBP00/fs046/ovft/live/gv023/00005768/00005768-200806000-00021.pdf&lt;/url&gt;&lt;/related-urls&gt;&lt;/urls&gt;&lt;electronic-resource-num&gt;10.1249/MSS.0b013e31816770e1&lt;/electronic-resource-num&gt;&lt;remote-database-name&gt;Scopus&lt;/remote-database-name&gt;&lt;/record&gt;&lt;/Cite&gt;&lt;/EndNote&gt;</w:instrText>
      </w:r>
      <w:r w:rsidR="001F23B4">
        <w:rPr>
          <w:rFonts w:ascii="Times New Roman" w:hAnsi="Times New Roman" w:cs="Times New Roman"/>
        </w:rPr>
        <w:fldChar w:fldCharType="separate"/>
      </w:r>
      <w:r w:rsidR="001F23B4">
        <w:rPr>
          <w:rFonts w:ascii="Times New Roman" w:hAnsi="Times New Roman" w:cs="Times New Roman"/>
          <w:noProof/>
        </w:rPr>
        <w:t>Brown, Kenwell et al. (2008)</w:t>
      </w:r>
      <w:r w:rsidR="001F23B4">
        <w:rPr>
          <w:rFonts w:ascii="Times New Roman" w:hAnsi="Times New Roman" w:cs="Times New Roman"/>
        </w:rPr>
        <w:fldChar w:fldCharType="end"/>
      </w:r>
      <w:r w:rsidR="001F23B4">
        <w:rPr>
          <w:rFonts w:ascii="Times New Roman" w:hAnsi="Times New Roman" w:cs="Times New Roman"/>
        </w:rPr>
        <w:t xml:space="preserve"> present similar results observing 21% of recorded </w:t>
      </w:r>
      <w:r w:rsidR="00361847">
        <w:rPr>
          <w:rFonts w:ascii="Times New Roman" w:hAnsi="Times New Roman" w:cs="Times New Roman"/>
        </w:rPr>
        <w:t>RTs</w:t>
      </w:r>
      <w:r w:rsidR="001F23B4">
        <w:rPr>
          <w:rFonts w:ascii="Times New Roman" w:hAnsi="Times New Roman" w:cs="Times New Roman"/>
        </w:rPr>
        <w:t xml:space="preserve"> being below the 100 ms threshold. </w:t>
      </w:r>
      <w:r w:rsidR="00F32CA6">
        <w:rPr>
          <w:rFonts w:ascii="Times New Roman" w:hAnsi="Times New Roman" w:cs="Times New Roman"/>
        </w:rPr>
        <w:t xml:space="preserve"> </w:t>
      </w:r>
      <w:r w:rsidR="004625D0">
        <w:rPr>
          <w:rFonts w:ascii="Times New Roman" w:hAnsi="Times New Roman" w:cs="Times New Roman"/>
        </w:rPr>
        <w:t xml:space="preserve">While </w:t>
      </w:r>
      <w:r w:rsidR="001F23B4">
        <w:rPr>
          <w:rFonts w:ascii="Times New Roman" w:hAnsi="Times New Roman" w:cs="Times New Roman"/>
        </w:rPr>
        <w:t>such RTs are possible</w:t>
      </w:r>
      <w:r w:rsidR="004625D0">
        <w:rPr>
          <w:rFonts w:ascii="Times New Roman" w:hAnsi="Times New Roman" w:cs="Times New Roman"/>
        </w:rPr>
        <w:t>,</w:t>
      </w:r>
      <w:r w:rsidR="001F23B4">
        <w:rPr>
          <w:rFonts w:ascii="Times New Roman" w:hAnsi="Times New Roman" w:cs="Times New Roman"/>
        </w:rPr>
        <w:t xml:space="preserve"> the </w:t>
      </w:r>
      <w:r w:rsidR="00B051DC">
        <w:rPr>
          <w:rFonts w:ascii="Times New Roman" w:hAnsi="Times New Roman" w:cs="Times New Roman"/>
        </w:rPr>
        <w:t>recording</w:t>
      </w:r>
      <w:r w:rsidR="001F23B4">
        <w:rPr>
          <w:rFonts w:ascii="Times New Roman" w:hAnsi="Times New Roman" w:cs="Times New Roman"/>
        </w:rPr>
        <w:t xml:space="preserve"> system</w:t>
      </w:r>
      <w:r w:rsidR="004625D0">
        <w:rPr>
          <w:rFonts w:ascii="Times New Roman" w:hAnsi="Times New Roman" w:cs="Times New Roman"/>
        </w:rPr>
        <w:t>s</w:t>
      </w:r>
      <w:r w:rsidR="001F23B4"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used </w:t>
      </w:r>
      <w:r w:rsidR="001F23B4">
        <w:rPr>
          <w:rFonts w:ascii="Times New Roman" w:hAnsi="Times New Roman" w:cs="Times New Roman"/>
        </w:rPr>
        <w:t xml:space="preserve">in both studies </w:t>
      </w:r>
      <w:r w:rsidR="004625D0">
        <w:rPr>
          <w:rFonts w:ascii="Times New Roman" w:hAnsi="Times New Roman" w:cs="Times New Roman"/>
        </w:rPr>
        <w:t xml:space="preserve">measured </w:t>
      </w:r>
      <w:r w:rsidR="001F23B4">
        <w:rPr>
          <w:rFonts w:ascii="Times New Roman" w:hAnsi="Times New Roman" w:cs="Times New Roman"/>
        </w:rPr>
        <w:t xml:space="preserve">the time to the first </w:t>
      </w:r>
      <w:r w:rsidR="004625D0">
        <w:rPr>
          <w:rFonts w:ascii="Times New Roman" w:hAnsi="Times New Roman" w:cs="Times New Roman"/>
        </w:rPr>
        <w:t xml:space="preserve">change in force on the blocks produced by </w:t>
      </w:r>
      <w:r w:rsidR="001F23B4">
        <w:rPr>
          <w:rFonts w:ascii="Times New Roman" w:hAnsi="Times New Roman" w:cs="Times New Roman"/>
        </w:rPr>
        <w:t xml:space="preserve">the athlete </w:t>
      </w:r>
      <w:r w:rsidR="004625D0">
        <w:rPr>
          <w:rFonts w:ascii="Times New Roman" w:hAnsi="Times New Roman" w:cs="Times New Roman"/>
        </w:rPr>
        <w:t>rather than</w:t>
      </w:r>
      <w:r w:rsidR="001F23B4">
        <w:rPr>
          <w:rFonts w:ascii="Times New Roman" w:hAnsi="Times New Roman" w:cs="Times New Roman"/>
        </w:rPr>
        <w:t xml:space="preserve"> the time taken to produce a </w:t>
      </w:r>
      <w:r w:rsidR="00B051DC">
        <w:rPr>
          <w:rFonts w:ascii="Times New Roman" w:hAnsi="Times New Roman" w:cs="Times New Roman"/>
        </w:rPr>
        <w:t xml:space="preserve">predefined </w:t>
      </w:r>
      <w:r w:rsidR="001F23B4">
        <w:rPr>
          <w:rFonts w:ascii="Times New Roman" w:hAnsi="Times New Roman" w:cs="Times New Roman"/>
        </w:rPr>
        <w:t>force. In contrast</w:t>
      </w:r>
      <w:r w:rsidR="004625D0">
        <w:rPr>
          <w:rFonts w:ascii="Times New Roman" w:hAnsi="Times New Roman" w:cs="Times New Roman"/>
        </w:rPr>
        <w:t>,</w:t>
      </w:r>
      <w:r w:rsidR="001F23B4">
        <w:rPr>
          <w:rFonts w:ascii="Times New Roman" w:hAnsi="Times New Roman" w:cs="Times New Roman"/>
        </w:rPr>
        <w:t xml:space="preserve"> </w:t>
      </w:r>
      <w:r w:rsidR="001F23B4">
        <w:rPr>
          <w:rFonts w:ascii="Times New Roman" w:hAnsi="Times New Roman" w:cs="Times New Roman"/>
        </w:rPr>
        <w:fldChar w:fldCharType="begin"/>
      </w:r>
      <w:r w:rsidR="001F23B4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1F23B4">
        <w:rPr>
          <w:rFonts w:ascii="Times New Roman" w:hAnsi="Times New Roman" w:cs="Times New Roman"/>
        </w:rPr>
        <w:fldChar w:fldCharType="separate"/>
      </w:r>
      <w:r w:rsidR="001F23B4">
        <w:rPr>
          <w:rFonts w:ascii="Times New Roman" w:hAnsi="Times New Roman" w:cs="Times New Roman"/>
          <w:noProof/>
        </w:rPr>
        <w:t>Komi, Ishikawa et al. (2009)</w:t>
      </w:r>
      <w:r w:rsidR="001F23B4">
        <w:rPr>
          <w:rFonts w:ascii="Times New Roman" w:hAnsi="Times New Roman" w:cs="Times New Roman"/>
        </w:rPr>
        <w:fldChar w:fldCharType="end"/>
      </w:r>
      <w:r w:rsidR="001F23B4">
        <w:rPr>
          <w:rFonts w:ascii="Times New Roman" w:hAnsi="Times New Roman" w:cs="Times New Roman"/>
        </w:rPr>
        <w:t xml:space="preserve"> </w:t>
      </w:r>
      <w:r w:rsidR="004625D0">
        <w:rPr>
          <w:rFonts w:ascii="Times New Roman" w:hAnsi="Times New Roman" w:cs="Times New Roman"/>
        </w:rPr>
        <w:t xml:space="preserve">used IAAF approved blocks together with additional sensor technologies and recommended </w:t>
      </w:r>
      <w:r w:rsidR="003A6496">
        <w:rPr>
          <w:rFonts w:ascii="Times New Roman" w:hAnsi="Times New Roman" w:cs="Times New Roman"/>
        </w:rPr>
        <w:t xml:space="preserve">that the IAAF </w:t>
      </w:r>
      <w:r w:rsidR="004625D0">
        <w:rPr>
          <w:rFonts w:ascii="Times New Roman" w:hAnsi="Times New Roman" w:cs="Times New Roman"/>
        </w:rPr>
        <w:t xml:space="preserve">should </w:t>
      </w:r>
      <w:r w:rsidR="003A6496">
        <w:rPr>
          <w:rFonts w:ascii="Times New Roman" w:hAnsi="Times New Roman" w:cs="Times New Roman"/>
        </w:rPr>
        <w:t xml:space="preserve">abandon the 100 ms threshold and the </w:t>
      </w:r>
      <w:r w:rsidR="00B051DC">
        <w:rPr>
          <w:rFonts w:ascii="Times New Roman" w:hAnsi="Times New Roman" w:cs="Times New Roman"/>
        </w:rPr>
        <w:t>measurement technology currently employed</w:t>
      </w:r>
      <w:r w:rsidR="003A6496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3A6496">
        <w:rPr>
          <w:rFonts w:ascii="Times New Roman" w:hAnsi="Times New Roman" w:cs="Times New Roman"/>
        </w:rPr>
        <w:lastRenderedPageBreak/>
        <w:t>Notwithstanding the</w:t>
      </w:r>
      <w:r w:rsidR="00B051DC">
        <w:rPr>
          <w:rFonts w:ascii="Times New Roman" w:hAnsi="Times New Roman" w:cs="Times New Roman"/>
        </w:rPr>
        <w:t xml:space="preserve"> results of the </w:t>
      </w:r>
      <w:r w:rsidR="003204EA">
        <w:rPr>
          <w:rFonts w:ascii="Times New Roman" w:hAnsi="Times New Roman" w:cs="Times New Roman"/>
        </w:rPr>
        <w:t xml:space="preserve">previous </w:t>
      </w:r>
      <w:r w:rsidR="003A6496">
        <w:rPr>
          <w:rFonts w:ascii="Times New Roman" w:hAnsi="Times New Roman" w:cs="Times New Roman"/>
        </w:rPr>
        <w:t>studies</w:t>
      </w:r>
      <w:r w:rsidR="003204EA">
        <w:rPr>
          <w:rFonts w:ascii="Times New Roman" w:hAnsi="Times New Roman" w:cs="Times New Roman"/>
        </w:rPr>
        <w:t>,</w:t>
      </w:r>
      <w:r w:rsidR="003A6496">
        <w:rPr>
          <w:rFonts w:ascii="Times New Roman" w:hAnsi="Times New Roman" w:cs="Times New Roman"/>
        </w:rPr>
        <w:t xml:space="preserve"> a</w:t>
      </w:r>
      <w:r w:rsidR="00255383">
        <w:rPr>
          <w:rFonts w:ascii="Times New Roman" w:hAnsi="Times New Roman" w:cs="Times New Roman"/>
        </w:rPr>
        <w:t>n</w:t>
      </w:r>
      <w:r w:rsidR="003A6496">
        <w:rPr>
          <w:rFonts w:ascii="Times New Roman" w:hAnsi="Times New Roman" w:cs="Times New Roman"/>
        </w:rPr>
        <w:t xml:space="preserve"> </w:t>
      </w:r>
      <w:r w:rsidR="00255383">
        <w:rPr>
          <w:rFonts w:ascii="Times New Roman" w:hAnsi="Times New Roman" w:cs="Times New Roman"/>
        </w:rPr>
        <w:t xml:space="preserve">effective </w:t>
      </w:r>
      <w:r w:rsidR="003A6496">
        <w:rPr>
          <w:rFonts w:ascii="Times New Roman" w:hAnsi="Times New Roman" w:cs="Times New Roman"/>
        </w:rPr>
        <w:t xml:space="preserve">review of the 100 ms threshold </w:t>
      </w:r>
      <w:r w:rsidR="00B051DC">
        <w:rPr>
          <w:rFonts w:ascii="Times New Roman" w:hAnsi="Times New Roman" w:cs="Times New Roman"/>
        </w:rPr>
        <w:t xml:space="preserve">requires </w:t>
      </w:r>
      <w:r w:rsidR="00255383">
        <w:rPr>
          <w:rFonts w:ascii="Times New Roman" w:hAnsi="Times New Roman" w:cs="Times New Roman"/>
        </w:rPr>
        <w:t xml:space="preserve">analysis of </w:t>
      </w:r>
      <w:r w:rsidR="00B051DC">
        <w:rPr>
          <w:rFonts w:ascii="Times New Roman" w:hAnsi="Times New Roman" w:cs="Times New Roman"/>
        </w:rPr>
        <w:t>data</w:t>
      </w:r>
      <w:r w:rsidR="003A6496"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recorded </w:t>
      </w:r>
      <w:r w:rsidR="00255383">
        <w:rPr>
          <w:rFonts w:ascii="Times New Roman" w:hAnsi="Times New Roman" w:cs="Times New Roman"/>
        </w:rPr>
        <w:t xml:space="preserve">using </w:t>
      </w:r>
      <w:r w:rsidR="003A6496">
        <w:rPr>
          <w:rFonts w:ascii="Times New Roman" w:hAnsi="Times New Roman" w:cs="Times New Roman"/>
        </w:rPr>
        <w:t>IAAF</w:t>
      </w:r>
      <w:r w:rsidR="00255383">
        <w:rPr>
          <w:rFonts w:ascii="Times New Roman" w:hAnsi="Times New Roman" w:cs="Times New Roman"/>
        </w:rPr>
        <w:t xml:space="preserve"> approved starting technologies</w:t>
      </w:r>
      <w:r w:rsidR="003A6496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255383">
        <w:rPr>
          <w:rFonts w:ascii="Times New Roman" w:hAnsi="Times New Roman" w:cs="Times New Roman"/>
        </w:rPr>
        <w:t xml:space="preserve">All </w:t>
      </w:r>
      <w:r w:rsidR="003A6496">
        <w:rPr>
          <w:rFonts w:ascii="Times New Roman" w:hAnsi="Times New Roman" w:cs="Times New Roman"/>
        </w:rPr>
        <w:t xml:space="preserve">of the </w:t>
      </w:r>
      <w:r w:rsidR="00255383">
        <w:rPr>
          <w:rFonts w:ascii="Times New Roman" w:hAnsi="Times New Roman" w:cs="Times New Roman"/>
        </w:rPr>
        <w:t xml:space="preserve">previous </w:t>
      </w:r>
      <w:r w:rsidR="003A6496">
        <w:rPr>
          <w:rFonts w:ascii="Times New Roman" w:hAnsi="Times New Roman" w:cs="Times New Roman"/>
        </w:rPr>
        <w:t xml:space="preserve">studies </w:t>
      </w:r>
      <w:r w:rsidR="00255383">
        <w:rPr>
          <w:rFonts w:ascii="Times New Roman" w:hAnsi="Times New Roman" w:cs="Times New Roman"/>
        </w:rPr>
        <w:t xml:space="preserve">have been based on </w:t>
      </w:r>
      <w:r w:rsidR="003A6496">
        <w:rPr>
          <w:rFonts w:ascii="Times New Roman" w:hAnsi="Times New Roman" w:cs="Times New Roman"/>
        </w:rPr>
        <w:t>restricted sample size</w:t>
      </w:r>
      <w:r w:rsidR="00255383">
        <w:rPr>
          <w:rFonts w:ascii="Times New Roman" w:hAnsi="Times New Roman" w:cs="Times New Roman"/>
        </w:rPr>
        <w:t>s</w:t>
      </w:r>
      <w:r w:rsidR="003A6496">
        <w:rPr>
          <w:rFonts w:ascii="Times New Roman" w:hAnsi="Times New Roman" w:cs="Times New Roman"/>
        </w:rPr>
        <w:t xml:space="preserve"> and many do not include </w:t>
      </w:r>
      <w:r w:rsidR="00255383">
        <w:rPr>
          <w:rFonts w:ascii="Times New Roman" w:hAnsi="Times New Roman" w:cs="Times New Roman"/>
        </w:rPr>
        <w:t xml:space="preserve">data from </w:t>
      </w:r>
      <w:r w:rsidR="003A6496">
        <w:rPr>
          <w:rFonts w:ascii="Times New Roman" w:hAnsi="Times New Roman" w:cs="Times New Roman"/>
        </w:rPr>
        <w:t xml:space="preserve">athletes of international </w:t>
      </w:r>
      <w:r w:rsidR="00255383">
        <w:rPr>
          <w:rFonts w:ascii="Times New Roman" w:hAnsi="Times New Roman" w:cs="Times New Roman"/>
        </w:rPr>
        <w:t xml:space="preserve">major championship </w:t>
      </w:r>
      <w:r w:rsidR="003A6496">
        <w:rPr>
          <w:rFonts w:ascii="Times New Roman" w:hAnsi="Times New Roman" w:cs="Times New Roman"/>
        </w:rPr>
        <w:t>status.</w:t>
      </w:r>
      <w:r w:rsidR="00B051DC">
        <w:rPr>
          <w:rFonts w:ascii="Times New Roman" w:hAnsi="Times New Roman" w:cs="Times New Roman"/>
        </w:rPr>
        <w:t xml:space="preserve"> A</w:t>
      </w:r>
      <w:r w:rsidR="00255383">
        <w:rPr>
          <w:rFonts w:ascii="Times New Roman" w:hAnsi="Times New Roman" w:cs="Times New Roman"/>
        </w:rPr>
        <w:t>ppropriate statistical analysis of a</w:t>
      </w:r>
      <w:r w:rsidR="00B051DC">
        <w:rPr>
          <w:rFonts w:ascii="Times New Roman" w:hAnsi="Times New Roman" w:cs="Times New Roman"/>
        </w:rPr>
        <w:t xml:space="preserve"> large sample </w:t>
      </w:r>
      <w:r w:rsidR="00835861">
        <w:rPr>
          <w:rFonts w:ascii="Times New Roman" w:hAnsi="Times New Roman" w:cs="Times New Roman"/>
        </w:rPr>
        <w:t>RT</w:t>
      </w:r>
      <w:r w:rsidR="00054CCA">
        <w:rPr>
          <w:rFonts w:ascii="Times New Roman" w:hAnsi="Times New Roman" w:cs="Times New Roman"/>
        </w:rPr>
        <w:t>s</w:t>
      </w:r>
      <w:r w:rsidR="00835861">
        <w:rPr>
          <w:rFonts w:ascii="Times New Roman" w:hAnsi="Times New Roman" w:cs="Times New Roman"/>
        </w:rPr>
        <w:t xml:space="preserve"> of men and women</w:t>
      </w:r>
      <w:r w:rsidR="00054CCA">
        <w:rPr>
          <w:rFonts w:ascii="Times New Roman" w:hAnsi="Times New Roman" w:cs="Times New Roman"/>
        </w:rPr>
        <w:t xml:space="preserve"> at</w:t>
      </w:r>
      <w:r w:rsidR="00255383">
        <w:rPr>
          <w:rFonts w:ascii="Times New Roman" w:hAnsi="Times New Roman" w:cs="Times New Roman"/>
        </w:rPr>
        <w:t xml:space="preserve"> major international championships could </w:t>
      </w:r>
      <w:r w:rsidR="003204EA">
        <w:rPr>
          <w:rFonts w:ascii="Times New Roman" w:hAnsi="Times New Roman" w:cs="Times New Roman"/>
        </w:rPr>
        <w:t xml:space="preserve">be used to derive </w:t>
      </w:r>
      <w:r w:rsidR="00B051DC">
        <w:rPr>
          <w:rFonts w:ascii="Times New Roman" w:hAnsi="Times New Roman" w:cs="Times New Roman"/>
        </w:rPr>
        <w:t xml:space="preserve">an appropriate </w:t>
      </w:r>
      <w:r w:rsidR="003204EA">
        <w:rPr>
          <w:rFonts w:ascii="Times New Roman" w:hAnsi="Times New Roman" w:cs="Times New Roman"/>
        </w:rPr>
        <w:t xml:space="preserve">temporal </w:t>
      </w:r>
      <w:r w:rsidR="00B051DC">
        <w:rPr>
          <w:rFonts w:ascii="Times New Roman" w:hAnsi="Times New Roman" w:cs="Times New Roman"/>
        </w:rPr>
        <w:t xml:space="preserve">threshold </w:t>
      </w:r>
      <w:r w:rsidR="00835861">
        <w:rPr>
          <w:rFonts w:ascii="Times New Roman" w:hAnsi="Times New Roman" w:cs="Times New Roman"/>
        </w:rPr>
        <w:t>for sprint start RT</w:t>
      </w:r>
      <w:r w:rsidR="003204EA">
        <w:rPr>
          <w:rFonts w:ascii="Times New Roman" w:hAnsi="Times New Roman" w:cs="Times New Roman"/>
        </w:rPr>
        <w:t>s in</w:t>
      </w:r>
      <w:r w:rsidR="00B051DC">
        <w:rPr>
          <w:rFonts w:ascii="Times New Roman" w:hAnsi="Times New Roman" w:cs="Times New Roman"/>
        </w:rPr>
        <w:t xml:space="preserve"> competitive athletics.</w:t>
      </w:r>
    </w:p>
    <w:p w14:paraId="24F6C584" w14:textId="1DDDDA43" w:rsidR="001902C3" w:rsidRDefault="00F1033D" w:rsidP="002F7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 studies have </w:t>
      </w:r>
      <w:r w:rsidR="003204EA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</w:t>
      </w:r>
      <w:r w:rsidR="0098106B" w:rsidRPr="00BA6929">
        <w:rPr>
          <w:rFonts w:ascii="Times New Roman" w:hAnsi="Times New Roman" w:cs="Times New Roman"/>
        </w:rPr>
        <w:t>empirical evidence of a sex difference</w:t>
      </w:r>
      <w:r>
        <w:rPr>
          <w:rFonts w:ascii="Times New Roman" w:hAnsi="Times New Roman" w:cs="Times New Roman"/>
        </w:rPr>
        <w:t xml:space="preserve"> in the strength</w:t>
      </w:r>
      <w:r w:rsidR="0098106B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8106B" w:rsidRPr="00BA6929">
        <w:rPr>
          <w:rFonts w:ascii="Times New Roman" w:hAnsi="Times New Roman" w:cs="Times New Roman"/>
        </w:rPr>
        <w:t xml:space="preserve"> elite athletes </w:t>
      </w:r>
      <w:r w:rsidR="0098106B">
        <w:rPr>
          <w:rFonts w:ascii="Times New Roman" w:hAnsi="Times New Roman" w:cs="Times New Roman"/>
        </w:rPr>
        <w:fldChar w:fldCharType="begin"/>
      </w:r>
      <w:r w:rsidR="0098106B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98106B">
        <w:rPr>
          <w:rFonts w:ascii="Times New Roman" w:hAnsi="Times New Roman" w:cs="Times New Roman"/>
        </w:rPr>
        <w:fldChar w:fldCharType="separate"/>
      </w:r>
      <w:r w:rsidR="0098106B">
        <w:rPr>
          <w:rFonts w:ascii="Times New Roman" w:hAnsi="Times New Roman" w:cs="Times New Roman"/>
          <w:noProof/>
        </w:rPr>
        <w:t>(Lipps, Galecki et al. 2011)</w:t>
      </w:r>
      <w:r w:rsidR="0098106B">
        <w:rPr>
          <w:rFonts w:ascii="Times New Roman" w:hAnsi="Times New Roman" w:cs="Times New Roman"/>
        </w:rPr>
        <w:fldChar w:fldCharType="end"/>
      </w:r>
      <w:r w:rsidR="0098106B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of</w:t>
      </w:r>
      <w:r w:rsidR="0098106B" w:rsidRPr="00BA6929">
        <w:rPr>
          <w:rFonts w:ascii="Times New Roman" w:hAnsi="Times New Roman" w:cs="Times New Roman"/>
        </w:rPr>
        <w:t xml:space="preserve"> the general population </w:t>
      </w:r>
      <w:r w:rsidR="0098106B">
        <w:rPr>
          <w:rFonts w:ascii="Times New Roman" w:hAnsi="Times New Roman" w:cs="Times New Roman"/>
        </w:rPr>
        <w:fldChar w:fldCharType="begin"/>
      </w:r>
      <w:r w:rsidR="0098106B">
        <w:rPr>
          <w:rFonts w:ascii="Times New Roman" w:hAnsi="Times New Roman" w:cs="Times New Roman"/>
        </w:rPr>
        <w:instrText xml:space="preserve"> ADDIN EN.CITE &lt;EndNote&gt;&lt;Cite&gt;&lt;Author&gt;Der&lt;/Author&gt;&lt;Year&gt;2006&lt;/Year&gt;&lt;RecNum&gt;32&lt;/RecNum&gt;&lt;DisplayText&gt;(Der and Deary 2006)&lt;/DisplayText&gt;&lt;record&gt;&lt;rec-number&gt;32&lt;/rec-number&gt;&lt;foreign-keys&gt;&lt;key app="EN" db-id="0zxvwf9f6xset3exsr5x2a975zwvztxseprs" timestamp="1455294467"&gt;32&lt;/key&gt;&lt;/foreign-keys&gt;&lt;ref-type name="Journal Article"&gt;17&lt;/ref-type&gt;&lt;contributors&gt;&lt;authors&gt;&lt;author&gt;Der, G.&lt;/author&gt;&lt;author&gt;Deary, I. J.&lt;/author&gt;&lt;/authors&gt;&lt;/contributors&gt;&lt;titles&gt;&lt;title&gt;Age and sex differences in reaction time in adulthood: Results from the United Kingdom health and lifestyle survey&lt;/title&gt;&lt;secondary-title&gt;Psychology and Aging&lt;/secondary-title&gt;&lt;/titles&gt;&lt;periodical&gt;&lt;full-title&gt;Psychology and Aging&lt;/full-title&gt;&lt;/periodical&gt;&lt;pages&gt;62-73&lt;/pages&gt;&lt;volume&gt;21&lt;/volume&gt;&lt;number&gt;1&lt;/number&gt;&lt;dates&gt;&lt;year&gt;2006&lt;/year&gt;&lt;/dates&gt;&lt;work-type&gt;Article&lt;/work-type&gt;&lt;urls&gt;&lt;related-urls&gt;&lt;url&gt;http://www.scopus.com/inward/record.url?eid=2-s2.0-33747057109&amp;amp;partnerID=40&amp;amp;md5=caa8adb23eeae4b4ddfd4f87e2612954&lt;/url&gt;&lt;url&gt;http://psycnet.apa.org/journals/pag/21/1/62/&lt;/url&gt;&lt;/related-urls&gt;&lt;/urls&gt;&lt;electronic-resource-num&gt;10.1037/0882-7974.21.1.62&lt;/electronic-resource-num&gt;&lt;remote-database-name&gt;Scopus&lt;/remote-database-name&gt;&lt;/record&gt;&lt;/Cite&gt;&lt;/EndNote&gt;</w:instrText>
      </w:r>
      <w:r w:rsidR="0098106B">
        <w:rPr>
          <w:rFonts w:ascii="Times New Roman" w:hAnsi="Times New Roman" w:cs="Times New Roman"/>
        </w:rPr>
        <w:fldChar w:fldCharType="separate"/>
      </w:r>
      <w:r w:rsidR="0098106B">
        <w:rPr>
          <w:rFonts w:ascii="Times New Roman" w:hAnsi="Times New Roman" w:cs="Times New Roman"/>
          <w:noProof/>
        </w:rPr>
        <w:t>(Der and Deary 2006)</w:t>
      </w:r>
      <w:r w:rsidR="0098106B">
        <w:rPr>
          <w:rFonts w:ascii="Times New Roman" w:hAnsi="Times New Roman" w:cs="Times New Roman"/>
        </w:rPr>
        <w:fldChar w:fldCharType="end"/>
      </w:r>
      <w:r w:rsidR="0098106B" w:rsidRPr="00BA6929">
        <w:rPr>
          <w:rFonts w:ascii="Times New Roman" w:hAnsi="Times New Roman" w:cs="Times New Roman"/>
        </w:rPr>
        <w:t xml:space="preserve">, </w:t>
      </w:r>
      <w:r w:rsidR="003204EA">
        <w:rPr>
          <w:rFonts w:ascii="Times New Roman" w:hAnsi="Times New Roman" w:cs="Times New Roman"/>
        </w:rPr>
        <w:t xml:space="preserve">but </w:t>
      </w:r>
      <w:r w:rsidR="0098106B" w:rsidRPr="00BA6929">
        <w:rPr>
          <w:rFonts w:ascii="Times New Roman" w:hAnsi="Times New Roman" w:cs="Times New Roman"/>
        </w:rPr>
        <w:t xml:space="preserve">IAAF rule 161.2 continues to govern </w:t>
      </w:r>
      <w:r w:rsidR="00835861">
        <w:rPr>
          <w:rFonts w:ascii="Times New Roman" w:hAnsi="Times New Roman" w:cs="Times New Roman"/>
        </w:rPr>
        <w:t>competitions for men and women</w:t>
      </w:r>
      <w:r w:rsidR="0098106B" w:rsidRPr="00BA6929">
        <w:rPr>
          <w:rFonts w:ascii="Times New Roman" w:hAnsi="Times New Roman" w:cs="Times New Roman"/>
        </w:rPr>
        <w:t xml:space="preserve"> </w:t>
      </w:r>
      <w:r w:rsidR="003204EA">
        <w:rPr>
          <w:rFonts w:ascii="Times New Roman" w:hAnsi="Times New Roman" w:cs="Times New Roman"/>
        </w:rPr>
        <w:t>alike</w:t>
      </w:r>
      <w:r w:rsidR="0098106B"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Given </w:t>
      </w:r>
      <w:r w:rsidR="003C303A">
        <w:rPr>
          <w:rFonts w:ascii="Times New Roman" w:hAnsi="Times New Roman" w:cs="Times New Roman"/>
        </w:rPr>
        <w:t xml:space="preserve">the physiological differences in strength </w:t>
      </w:r>
      <w:r w:rsidR="003204EA">
        <w:rPr>
          <w:rFonts w:ascii="Times New Roman" w:hAnsi="Times New Roman" w:cs="Times New Roman"/>
        </w:rPr>
        <w:t xml:space="preserve">in </w:t>
      </w:r>
      <w:r w:rsidR="003C303A">
        <w:rPr>
          <w:rFonts w:ascii="Times New Roman" w:hAnsi="Times New Roman" w:cs="Times New Roman"/>
        </w:rPr>
        <w:t>men and women</w:t>
      </w:r>
      <w:r w:rsidR="003204EA">
        <w:rPr>
          <w:rFonts w:ascii="Times New Roman" w:hAnsi="Times New Roman" w:cs="Times New Roman"/>
        </w:rPr>
        <w:t>,</w:t>
      </w:r>
      <w:r w:rsidR="003C303A">
        <w:rPr>
          <w:rFonts w:ascii="Times New Roman" w:hAnsi="Times New Roman" w:cs="Times New Roman"/>
        </w:rPr>
        <w:t xml:space="preserve"> it is </w:t>
      </w:r>
      <w:r w:rsidR="003204EA">
        <w:rPr>
          <w:rFonts w:ascii="Times New Roman" w:hAnsi="Times New Roman" w:cs="Times New Roman"/>
        </w:rPr>
        <w:t xml:space="preserve">possible </w:t>
      </w:r>
      <w:r w:rsidR="003C303A">
        <w:rPr>
          <w:rFonts w:ascii="Times New Roman" w:hAnsi="Times New Roman" w:cs="Times New Roman"/>
        </w:rPr>
        <w:t xml:space="preserve">that a sex difference </w:t>
      </w:r>
      <w:r w:rsidR="003204EA">
        <w:rPr>
          <w:rFonts w:ascii="Times New Roman" w:hAnsi="Times New Roman" w:cs="Times New Roman"/>
        </w:rPr>
        <w:t>in RT’s c</w:t>
      </w:r>
      <w:r w:rsidR="003C303A">
        <w:rPr>
          <w:rFonts w:ascii="Times New Roman" w:hAnsi="Times New Roman" w:cs="Times New Roman"/>
        </w:rPr>
        <w:t xml:space="preserve">ould exist and that the </w:t>
      </w:r>
      <w:r w:rsidR="003204EA">
        <w:rPr>
          <w:rFonts w:ascii="Times New Roman" w:hAnsi="Times New Roman" w:cs="Times New Roman"/>
        </w:rPr>
        <w:t xml:space="preserve">rules </w:t>
      </w:r>
      <w:r w:rsidR="003C303A">
        <w:rPr>
          <w:rFonts w:ascii="Times New Roman" w:hAnsi="Times New Roman" w:cs="Times New Roman"/>
        </w:rPr>
        <w:t xml:space="preserve">for </w:t>
      </w:r>
      <w:r w:rsidR="00835861">
        <w:rPr>
          <w:rFonts w:ascii="Times New Roman" w:hAnsi="Times New Roman" w:cs="Times New Roman"/>
        </w:rPr>
        <w:t>men and women</w:t>
      </w:r>
      <w:r w:rsidR="003C303A">
        <w:rPr>
          <w:rFonts w:ascii="Times New Roman" w:hAnsi="Times New Roman" w:cs="Times New Roman"/>
        </w:rPr>
        <w:t xml:space="preserve"> should be derived independently.</w:t>
      </w:r>
    </w:p>
    <w:p w14:paraId="7F29A091" w14:textId="79AB4F79" w:rsidR="00F1033D" w:rsidRDefault="004B4AAC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>A revision of the</w:t>
      </w:r>
      <w:r w:rsidR="006213FB">
        <w:rPr>
          <w:rFonts w:ascii="Times New Roman" w:hAnsi="Times New Roman" w:cs="Times New Roman"/>
        </w:rPr>
        <w:t xml:space="preserve"> false start detection</w:t>
      </w:r>
      <w:r w:rsidRPr="00BA6929">
        <w:rPr>
          <w:rFonts w:ascii="Times New Roman" w:hAnsi="Times New Roman" w:cs="Times New Roman"/>
        </w:rPr>
        <w:t xml:space="preserve"> threshold was suggested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Komi, Ishikawa et al. (2009)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, where seven Finnish national-level sprinters, four </w:t>
      </w:r>
      <w:r w:rsidR="00835861">
        <w:rPr>
          <w:rFonts w:ascii="Times New Roman" w:hAnsi="Times New Roman" w:cs="Times New Roman"/>
        </w:rPr>
        <w:t>men</w:t>
      </w:r>
      <w:r w:rsidRPr="00BA6929">
        <w:rPr>
          <w:rFonts w:ascii="Times New Roman" w:hAnsi="Times New Roman" w:cs="Times New Roman"/>
        </w:rPr>
        <w:t xml:space="preserve"> and three </w:t>
      </w:r>
      <w:r w:rsidR="00835861">
        <w:rPr>
          <w:rFonts w:ascii="Times New Roman" w:hAnsi="Times New Roman" w:cs="Times New Roman"/>
        </w:rPr>
        <w:t>women</w:t>
      </w:r>
      <w:r w:rsidRPr="00BA6929">
        <w:rPr>
          <w:rFonts w:ascii="Times New Roman" w:hAnsi="Times New Roman" w:cs="Times New Roman"/>
        </w:rPr>
        <w:t>, were studied</w:t>
      </w:r>
      <w:r w:rsidR="006213FB">
        <w:rPr>
          <w:rFonts w:ascii="Times New Roman" w:hAnsi="Times New Roman" w:cs="Times New Roman"/>
        </w:rPr>
        <w:t>.</w:t>
      </w:r>
      <w:r w:rsidR="00F32CA6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 xml:space="preserve"> Of interest here is the common authorship of Komi in establishing the original study </w:t>
      </w:r>
      <w:r w:rsidR="006213FB">
        <w:rPr>
          <w:rFonts w:ascii="Times New Roman" w:hAnsi="Times New Roman" w:cs="Times New Roman"/>
        </w:rPr>
        <w:fldChar w:fldCharType="begin"/>
      </w:r>
      <w:r w:rsidR="006213FB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6213FB">
        <w:rPr>
          <w:rFonts w:ascii="Times New Roman" w:hAnsi="Times New Roman" w:cs="Times New Roman"/>
        </w:rPr>
        <w:fldChar w:fldCharType="separate"/>
      </w:r>
      <w:r w:rsidR="006213FB">
        <w:rPr>
          <w:rFonts w:ascii="Times New Roman" w:hAnsi="Times New Roman" w:cs="Times New Roman"/>
          <w:noProof/>
        </w:rPr>
        <w:t>(Mero and Komi 1990)</w:t>
      </w:r>
      <w:r w:rsidR="006213FB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 and </w:t>
      </w:r>
      <w:r w:rsidR="006213FB">
        <w:rPr>
          <w:rFonts w:ascii="Times New Roman" w:hAnsi="Times New Roman" w:cs="Times New Roman"/>
        </w:rPr>
        <w:fldChar w:fldCharType="begin"/>
      </w:r>
      <w:r w:rsidR="006213FB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6213FB">
        <w:rPr>
          <w:rFonts w:ascii="Times New Roman" w:hAnsi="Times New Roman" w:cs="Times New Roman"/>
        </w:rPr>
        <w:fldChar w:fldCharType="separate"/>
      </w:r>
      <w:r w:rsidR="006213FB">
        <w:rPr>
          <w:rFonts w:ascii="Times New Roman" w:hAnsi="Times New Roman" w:cs="Times New Roman"/>
          <w:noProof/>
        </w:rPr>
        <w:t>Komi, Ishikawa et al. (2009)</w:t>
      </w:r>
      <w:r w:rsidR="006213FB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 who have suggested a review of the 100 ms threshold. </w:t>
      </w:r>
      <w:r w:rsidR="00F32CA6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>This raises questions over the validity of the current threshold, but the 2009 study is weakened by a lack of data and the fact that the data are based on subject</w:t>
      </w:r>
      <w:r w:rsidR="003C303A">
        <w:rPr>
          <w:rFonts w:ascii="Times New Roman" w:hAnsi="Times New Roman" w:cs="Times New Roman"/>
        </w:rPr>
        <w:t>s</w:t>
      </w:r>
      <w:r w:rsidR="006213FB">
        <w:rPr>
          <w:rFonts w:ascii="Times New Roman" w:hAnsi="Times New Roman" w:cs="Times New Roman"/>
        </w:rPr>
        <w:t xml:space="preserve"> of limited international status.</w:t>
      </w:r>
      <w:r w:rsidR="00B83A84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 xml:space="preserve"> </w:t>
      </w:r>
      <w:r w:rsidR="00F1033D">
        <w:rPr>
          <w:rFonts w:ascii="Times New Roman" w:hAnsi="Times New Roman" w:cs="Times New Roman"/>
        </w:rPr>
        <w:t xml:space="preserve">A re-evaluation of the 100 ms threshold </w:t>
      </w:r>
      <w:r w:rsidR="003C303A">
        <w:rPr>
          <w:rFonts w:ascii="Times New Roman" w:hAnsi="Times New Roman" w:cs="Times New Roman"/>
        </w:rPr>
        <w:t>will</w:t>
      </w:r>
      <w:r w:rsidR="00F1033D">
        <w:rPr>
          <w:rFonts w:ascii="Times New Roman" w:hAnsi="Times New Roman" w:cs="Times New Roman"/>
        </w:rPr>
        <w:t xml:space="preserve"> only </w:t>
      </w:r>
      <w:r w:rsidR="003C303A">
        <w:rPr>
          <w:rFonts w:ascii="Times New Roman" w:hAnsi="Times New Roman" w:cs="Times New Roman"/>
        </w:rPr>
        <w:t>be effective</w:t>
      </w:r>
      <w:r w:rsidR="00F1033D">
        <w:rPr>
          <w:rFonts w:ascii="Times New Roman" w:hAnsi="Times New Roman" w:cs="Times New Roman"/>
        </w:rPr>
        <w:t xml:space="preserve"> if the data utilised </w:t>
      </w:r>
      <w:r w:rsidR="003C303A">
        <w:rPr>
          <w:rFonts w:ascii="Times New Roman" w:hAnsi="Times New Roman" w:cs="Times New Roman"/>
        </w:rPr>
        <w:t>was</w:t>
      </w:r>
      <w:r w:rsidR="00F1033D">
        <w:rPr>
          <w:rFonts w:ascii="Times New Roman" w:hAnsi="Times New Roman" w:cs="Times New Roman"/>
        </w:rPr>
        <w:t xml:space="preserve"> recorded at competitions </w:t>
      </w:r>
      <w:r w:rsidR="003C303A">
        <w:rPr>
          <w:rFonts w:ascii="Times New Roman" w:hAnsi="Times New Roman" w:cs="Times New Roman"/>
        </w:rPr>
        <w:t>in which international athletes performed</w:t>
      </w:r>
      <w:r w:rsidR="00F1033D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F1033D">
        <w:rPr>
          <w:rFonts w:ascii="Times New Roman" w:hAnsi="Times New Roman" w:cs="Times New Roman"/>
        </w:rPr>
        <w:t>This study</w:t>
      </w:r>
      <w:r w:rsidR="006213FB">
        <w:rPr>
          <w:rFonts w:ascii="Times New Roman" w:hAnsi="Times New Roman" w:cs="Times New Roman"/>
        </w:rPr>
        <w:t xml:space="preserve"> utili</w:t>
      </w:r>
      <w:r w:rsidR="00F1033D">
        <w:rPr>
          <w:rFonts w:ascii="Times New Roman" w:hAnsi="Times New Roman" w:cs="Times New Roman"/>
        </w:rPr>
        <w:t>sed</w:t>
      </w:r>
      <w:r w:rsidR="006213FB">
        <w:rPr>
          <w:rFonts w:ascii="Times New Roman" w:hAnsi="Times New Roman" w:cs="Times New Roman"/>
        </w:rPr>
        <w:t xml:space="preserve"> the large data set of RTs available from international competitions</w:t>
      </w:r>
      <w:r w:rsidR="00F1033D">
        <w:rPr>
          <w:rFonts w:ascii="Times New Roman" w:hAnsi="Times New Roman" w:cs="Times New Roman"/>
        </w:rPr>
        <w:t xml:space="preserve"> allowing the revision to be governed by performances </w:t>
      </w:r>
      <w:r w:rsidR="00F1033D">
        <w:rPr>
          <w:rFonts w:ascii="Times New Roman" w:hAnsi="Times New Roman" w:cs="Times New Roman"/>
        </w:rPr>
        <w:lastRenderedPageBreak/>
        <w:t>of athletes of substantial international status</w:t>
      </w:r>
      <w:r w:rsidR="003C303A">
        <w:rPr>
          <w:rFonts w:ascii="Times New Roman" w:hAnsi="Times New Roman" w:cs="Times New Roman"/>
        </w:rPr>
        <w:t xml:space="preserve">, while also providing RTs </w:t>
      </w:r>
      <w:r w:rsidR="00835861">
        <w:rPr>
          <w:rFonts w:ascii="Times New Roman" w:hAnsi="Times New Roman" w:cs="Times New Roman"/>
        </w:rPr>
        <w:t>for</w:t>
      </w:r>
      <w:r w:rsidR="003C303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3C303A">
        <w:rPr>
          <w:rFonts w:ascii="Times New Roman" w:hAnsi="Times New Roman" w:cs="Times New Roman"/>
        </w:rPr>
        <w:t xml:space="preserve"> in comparison with the study by </w:t>
      </w:r>
      <w:r w:rsidR="003C303A">
        <w:rPr>
          <w:rFonts w:ascii="Times New Roman" w:hAnsi="Times New Roman" w:cs="Times New Roman"/>
        </w:rPr>
        <w:fldChar w:fldCharType="begin"/>
      </w:r>
      <w:r w:rsidR="003C303A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3C303A">
        <w:rPr>
          <w:rFonts w:ascii="Times New Roman" w:hAnsi="Times New Roman" w:cs="Times New Roman"/>
        </w:rPr>
        <w:fldChar w:fldCharType="separate"/>
      </w:r>
      <w:r w:rsidR="003C303A">
        <w:rPr>
          <w:rFonts w:ascii="Times New Roman" w:hAnsi="Times New Roman" w:cs="Times New Roman"/>
          <w:noProof/>
        </w:rPr>
        <w:t>Mero and Komi (1990)</w:t>
      </w:r>
      <w:r w:rsidR="003C303A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.  </w:t>
      </w:r>
    </w:p>
    <w:p w14:paraId="1590B042" w14:textId="512C8D03" w:rsidR="00C610E3" w:rsidRPr="00BA6929" w:rsidRDefault="002F72BE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</w:t>
      </w:r>
      <w:r w:rsidR="00473635">
        <w:rPr>
          <w:rFonts w:ascii="Times New Roman" w:hAnsi="Times New Roman" w:cs="Times New Roman"/>
        </w:rPr>
        <w:t>initial</w:t>
      </w:r>
      <w:r w:rsidR="00473635" w:rsidRPr="00BA6929">
        <w:rPr>
          <w:rFonts w:ascii="Times New Roman" w:hAnsi="Times New Roman" w:cs="Times New Roman"/>
        </w:rPr>
        <w:t xml:space="preserve"> </w:t>
      </w:r>
      <w:r w:rsidR="004B4AAC">
        <w:rPr>
          <w:rFonts w:ascii="Times New Roman" w:hAnsi="Times New Roman" w:cs="Times New Roman"/>
        </w:rPr>
        <w:t xml:space="preserve">aim of this study was </w:t>
      </w:r>
      <w:r w:rsidRPr="00BA6929">
        <w:rPr>
          <w:rFonts w:ascii="Times New Roman" w:hAnsi="Times New Roman" w:cs="Times New Roman"/>
        </w:rPr>
        <w:t xml:space="preserve">to characterise how, if at all, the IAAF rule changes </w:t>
      </w:r>
      <w:r w:rsidR="004B4AAC" w:rsidRPr="00BA6929">
        <w:rPr>
          <w:rFonts w:ascii="Times New Roman" w:hAnsi="Times New Roman" w:cs="Times New Roman"/>
        </w:rPr>
        <w:t>ha</w:t>
      </w:r>
      <w:r w:rsidR="004B4AAC">
        <w:rPr>
          <w:rFonts w:ascii="Times New Roman" w:hAnsi="Times New Roman" w:cs="Times New Roman"/>
        </w:rPr>
        <w:t>s</w:t>
      </w:r>
      <w:r w:rsidR="004B4AAC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influenced the </w:t>
      </w:r>
      <w:r w:rsidR="00835861">
        <w:rPr>
          <w:rFonts w:ascii="Times New Roman" w:hAnsi="Times New Roman" w:cs="Times New Roman"/>
        </w:rPr>
        <w:t>RTs</w:t>
      </w:r>
      <w:r w:rsidRPr="00BA6929">
        <w:rPr>
          <w:rFonts w:ascii="Times New Roman" w:hAnsi="Times New Roman" w:cs="Times New Roman"/>
        </w:rPr>
        <w:t xml:space="preserve"> of elite sprinters in top-tier competitions.</w:t>
      </w:r>
      <w:r w:rsidR="00B83A84">
        <w:rPr>
          <w:rFonts w:ascii="Times New Roman" w:hAnsi="Times New Roman" w:cs="Times New Roman"/>
        </w:rPr>
        <w:t xml:space="preserve"> </w:t>
      </w:r>
      <w:r w:rsidR="004B4AAC">
        <w:rPr>
          <w:rFonts w:ascii="Times New Roman" w:hAnsi="Times New Roman" w:cs="Times New Roman"/>
        </w:rPr>
        <w:t xml:space="preserve"> It focused on statistically </w:t>
      </w:r>
      <w:r w:rsidR="003C303A">
        <w:rPr>
          <w:rFonts w:ascii="Times New Roman" w:hAnsi="Times New Roman" w:cs="Times New Roman"/>
        </w:rPr>
        <w:t xml:space="preserve">modelling </w:t>
      </w:r>
      <w:r w:rsidR="004B4AAC">
        <w:rPr>
          <w:rFonts w:ascii="Times New Roman" w:hAnsi="Times New Roman" w:cs="Times New Roman"/>
        </w:rPr>
        <w:t xml:space="preserve">the historical RT data </w:t>
      </w:r>
      <w:r w:rsidR="003C303A">
        <w:rPr>
          <w:rFonts w:ascii="Times New Roman" w:hAnsi="Times New Roman" w:cs="Times New Roman"/>
        </w:rPr>
        <w:t xml:space="preserve">and validating </w:t>
      </w:r>
      <w:r w:rsidR="004B4AAC">
        <w:rPr>
          <w:rFonts w:ascii="Times New Roman" w:hAnsi="Times New Roman" w:cs="Times New Roman"/>
        </w:rPr>
        <w:t>that a difference across ruling periods, sex and round of competition exists.</w:t>
      </w:r>
      <w:r w:rsidR="00B83A84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The </w:t>
      </w:r>
      <w:r w:rsidR="00473635">
        <w:rPr>
          <w:rFonts w:ascii="Times New Roman" w:hAnsi="Times New Roman" w:cs="Times New Roman"/>
        </w:rPr>
        <w:t>subsequent aim</w:t>
      </w:r>
      <w:r w:rsidRPr="00BA6929">
        <w:rPr>
          <w:rFonts w:ascii="Times New Roman" w:hAnsi="Times New Roman" w:cs="Times New Roman"/>
        </w:rPr>
        <w:t xml:space="preserve"> </w:t>
      </w:r>
      <w:r w:rsidR="00473635">
        <w:rPr>
          <w:rFonts w:ascii="Times New Roman" w:hAnsi="Times New Roman" w:cs="Times New Roman"/>
        </w:rPr>
        <w:t xml:space="preserve">was to establish </w:t>
      </w:r>
      <w:r w:rsidRPr="00BA6929">
        <w:rPr>
          <w:rFonts w:ascii="Times New Roman" w:hAnsi="Times New Roman" w:cs="Times New Roman"/>
        </w:rPr>
        <w:t xml:space="preserve">whether the data collected across multiple top-tier competitions </w:t>
      </w:r>
      <w:r w:rsidR="00473635" w:rsidRPr="00BA6929">
        <w:rPr>
          <w:rFonts w:ascii="Times New Roman" w:hAnsi="Times New Roman" w:cs="Times New Roman"/>
        </w:rPr>
        <w:t>c</w:t>
      </w:r>
      <w:r w:rsidR="00473635">
        <w:rPr>
          <w:rFonts w:ascii="Times New Roman" w:hAnsi="Times New Roman" w:cs="Times New Roman"/>
        </w:rPr>
        <w:t>ould</w:t>
      </w:r>
      <w:r w:rsidR="00473635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be combined and used to</w:t>
      </w:r>
      <w:r w:rsidR="00BA6929" w:rsidRPr="00BA6929">
        <w:rPr>
          <w:rFonts w:ascii="Times New Roman" w:hAnsi="Times New Roman" w:cs="Times New Roman"/>
        </w:rPr>
        <w:t xml:space="preserve"> revise the IAAF 100</w:t>
      </w:r>
      <w:r w:rsidR="00A303D9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>ms</w:t>
      </w:r>
      <w:r w:rsidRPr="00BA6929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threshold for </w:t>
      </w:r>
      <w:r w:rsidR="00835861">
        <w:rPr>
          <w:rFonts w:ascii="Times New Roman" w:hAnsi="Times New Roman" w:cs="Times New Roman"/>
        </w:rPr>
        <w:t>men and women</w:t>
      </w:r>
      <w:r w:rsidRPr="00BA6929">
        <w:rPr>
          <w:rFonts w:ascii="Times New Roman" w:hAnsi="Times New Roman" w:cs="Times New Roman"/>
        </w:rPr>
        <w:t xml:space="preserve"> accordingly. </w:t>
      </w:r>
    </w:p>
    <w:p w14:paraId="2936235A" w14:textId="50D925C0" w:rsidR="00FD3775" w:rsidRPr="00FD3775" w:rsidRDefault="00242EA4" w:rsidP="002F72BE">
      <w:pPr>
        <w:spacing w:line="480" w:lineRule="auto"/>
        <w:rPr>
          <w:rFonts w:ascii="Times New Roman" w:hAnsi="Times New Roman" w:cs="Times New Roman"/>
        </w:rPr>
      </w:pPr>
      <w:r w:rsidRPr="00FD3775">
        <w:rPr>
          <w:rFonts w:ascii="Times New Roman" w:hAnsi="Times New Roman" w:cs="Times New Roman"/>
        </w:rPr>
        <w:t xml:space="preserve">The remainder of this paper provides an in-depth analysis of fifteen years of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The methods section provides an overview of the collected data followed by an introduction to the statistical methods utilised in the analysis.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The results section provides tables and figures which correspond to the application of the methodology discussed in the </w:t>
      </w:r>
      <w:r w:rsidR="00B051DC">
        <w:rPr>
          <w:rFonts w:ascii="Times New Roman" w:hAnsi="Times New Roman" w:cs="Times New Roman"/>
        </w:rPr>
        <w:t>methods</w:t>
      </w:r>
      <w:r w:rsidRPr="00FD3775">
        <w:rPr>
          <w:rFonts w:ascii="Times New Roman" w:hAnsi="Times New Roman" w:cs="Times New Roman"/>
        </w:rPr>
        <w:t xml:space="preserve"> section to the sprint starts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A discussion of these results follows providing an insight into the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 across ruling periods</w:t>
      </w:r>
      <w:r w:rsidR="004B4AAC">
        <w:rPr>
          <w:rFonts w:ascii="Times New Roman" w:hAnsi="Times New Roman" w:cs="Times New Roman"/>
        </w:rPr>
        <w:t>, sex and competition rounds</w:t>
      </w:r>
      <w:r w:rsidRPr="00FD3775">
        <w:rPr>
          <w:rFonts w:ascii="Times New Roman" w:hAnsi="Times New Roman" w:cs="Times New Roman"/>
        </w:rPr>
        <w:t xml:space="preserve">. </w:t>
      </w:r>
      <w:r w:rsidR="00B051DC">
        <w:rPr>
          <w:rFonts w:ascii="Times New Roman" w:hAnsi="Times New Roman" w:cs="Times New Roman"/>
        </w:rPr>
        <w:t xml:space="preserve"> </w:t>
      </w:r>
    </w:p>
    <w:p w14:paraId="18D3974C" w14:textId="5444949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Methods</w:t>
      </w:r>
    </w:p>
    <w:p w14:paraId="6605F0DF" w14:textId="3F4080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Data</w:t>
      </w:r>
      <w:r w:rsidR="00835861">
        <w:rPr>
          <w:rFonts w:ascii="Times New Roman" w:hAnsi="Times New Roman" w:cs="Times New Roman"/>
          <w:b/>
          <w:i/>
        </w:rPr>
        <w:t xml:space="preserve"> A</w:t>
      </w:r>
      <w:r w:rsidR="003204EA">
        <w:rPr>
          <w:rFonts w:ascii="Times New Roman" w:hAnsi="Times New Roman" w:cs="Times New Roman"/>
          <w:b/>
          <w:i/>
        </w:rPr>
        <w:t>cquisition</w:t>
      </w:r>
    </w:p>
    <w:p w14:paraId="2B697428" w14:textId="03B816A7" w:rsidR="00E21350" w:rsidRPr="00EE513E" w:rsidRDefault="00892C56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data </w:t>
      </w:r>
      <w:r w:rsidR="003204EA">
        <w:rPr>
          <w:rFonts w:ascii="Times New Roman" w:hAnsi="Times New Roman" w:cs="Times New Roman"/>
        </w:rPr>
        <w:t xml:space="preserve">was </w:t>
      </w:r>
      <w:r w:rsidR="001E0E4B" w:rsidRPr="001E0E4B">
        <w:rPr>
          <w:rFonts w:ascii="Times New Roman" w:hAnsi="Times New Roman" w:cs="Times New Roman"/>
        </w:rPr>
        <w:t>collated from t</w:t>
      </w:r>
      <w:r w:rsidR="001E0E4B">
        <w:rPr>
          <w:rFonts w:ascii="Times New Roman" w:hAnsi="Times New Roman" w:cs="Times New Roman"/>
        </w:rPr>
        <w:t>he IAAF results (http://www.iaaf.org/results</w:t>
      </w:r>
      <w:r w:rsidR="001E0E4B" w:rsidRPr="001E0E4B">
        <w:rPr>
          <w:rFonts w:ascii="Times New Roman" w:hAnsi="Times New Roman" w:cs="Times New Roman"/>
        </w:rPr>
        <w:t xml:space="preserve">) and the </w:t>
      </w:r>
      <w:r w:rsidR="001E0E4B">
        <w:rPr>
          <w:rFonts w:ascii="Times New Roman" w:hAnsi="Times New Roman" w:cs="Times New Roman"/>
        </w:rPr>
        <w:t>European Athletics website</w:t>
      </w:r>
      <w:r w:rsidR="003204EA">
        <w:rPr>
          <w:rFonts w:ascii="Times New Roman" w:hAnsi="Times New Roman" w:cs="Times New Roman"/>
        </w:rPr>
        <w:t>s</w:t>
      </w:r>
      <w:r w:rsidR="001E0E4B">
        <w:rPr>
          <w:rFonts w:ascii="Times New Roman" w:hAnsi="Times New Roman" w:cs="Times New Roman"/>
        </w:rPr>
        <w:t xml:space="preserve"> (</w:t>
      </w:r>
      <w:r w:rsidR="001E0E4B" w:rsidRPr="001E0E4B">
        <w:rPr>
          <w:rFonts w:ascii="Times New Roman" w:hAnsi="Times New Roman" w:cs="Times New Roman"/>
        </w:rPr>
        <w:t>http://www.</w:t>
      </w:r>
      <w:r w:rsidR="001E0E4B">
        <w:rPr>
          <w:rFonts w:ascii="Times New Roman" w:hAnsi="Times New Roman" w:cs="Times New Roman"/>
        </w:rPr>
        <w:t>european-athletics.org/results/</w:t>
      </w:r>
      <w:r w:rsidR="001E0E4B" w:rsidRPr="001E0E4B">
        <w:rPr>
          <w:rFonts w:ascii="Times New Roman" w:hAnsi="Times New Roman" w:cs="Times New Roman"/>
        </w:rPr>
        <w:t xml:space="preserve">) </w:t>
      </w:r>
      <w:r w:rsidR="003204EA">
        <w:rPr>
          <w:rFonts w:ascii="Times New Roman" w:hAnsi="Times New Roman" w:cs="Times New Roman"/>
        </w:rPr>
        <w:t xml:space="preserve">and </w:t>
      </w:r>
      <w:r w:rsidR="001E0E4B" w:rsidRPr="001E0E4B">
        <w:rPr>
          <w:rFonts w:ascii="Times New Roman" w:hAnsi="Times New Roman" w:cs="Times New Roman"/>
        </w:rPr>
        <w:t>includ</w:t>
      </w:r>
      <w:r w:rsidR="001E0E4B">
        <w:rPr>
          <w:rFonts w:ascii="Times New Roman" w:hAnsi="Times New Roman" w:cs="Times New Roman"/>
        </w:rPr>
        <w:t xml:space="preserve">es complete </w:t>
      </w:r>
      <w:r w:rsidR="00C25038">
        <w:rPr>
          <w:rFonts w:ascii="Times New Roman" w:hAnsi="Times New Roman" w:cs="Times New Roman"/>
        </w:rPr>
        <w:t xml:space="preserve">Championship </w:t>
      </w:r>
      <w:r w:rsidR="001E0E4B">
        <w:rPr>
          <w:rFonts w:ascii="Times New Roman" w:hAnsi="Times New Roman" w:cs="Times New Roman"/>
        </w:rPr>
        <w:t>event data for</w:t>
      </w:r>
      <w:r w:rsidR="00694FF1">
        <w:rPr>
          <w:rFonts w:ascii="Times New Roman" w:hAnsi="Times New Roman" w:cs="Times New Roman"/>
        </w:rPr>
        <w:t>:</w:t>
      </w:r>
      <w:r w:rsidR="001E0E4B">
        <w:rPr>
          <w:rFonts w:ascii="Times New Roman" w:hAnsi="Times New Roman" w:cs="Times New Roman"/>
        </w:rPr>
        <w:t xml:space="preserve"> the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 and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hurdles indoor</w:t>
      </w:r>
      <w:r w:rsidR="001E0E4B">
        <w:rPr>
          <w:rFonts w:ascii="Times New Roman" w:hAnsi="Times New Roman" w:cs="Times New Roman"/>
        </w:rPr>
        <w:t xml:space="preserve"> championships</w:t>
      </w:r>
      <w:r w:rsidR="00694FF1">
        <w:rPr>
          <w:rFonts w:ascii="Times New Roman" w:hAnsi="Times New Roman" w:cs="Times New Roman"/>
        </w:rPr>
        <w:t>;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100</w:t>
      </w:r>
      <w:r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>, 110</w:t>
      </w:r>
      <w:r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m</w:t>
      </w:r>
      <w:r w:rsidR="001E0E4B">
        <w:rPr>
          <w:rFonts w:ascii="Times New Roman" w:hAnsi="Times New Roman" w:cs="Times New Roman"/>
        </w:rPr>
        <w:t xml:space="preserve"> hurdles and the 200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outdoor cham</w:t>
      </w:r>
      <w:r w:rsidR="001E0E4B">
        <w:rPr>
          <w:rFonts w:ascii="Times New Roman" w:hAnsi="Times New Roman" w:cs="Times New Roman"/>
        </w:rPr>
        <w:t>pionships over the period from 1999 to 2014</w:t>
      </w:r>
      <w:r w:rsidR="001E0E4B" w:rsidRPr="001E0E4B">
        <w:rPr>
          <w:rFonts w:ascii="Times New Roman" w:hAnsi="Times New Roman" w:cs="Times New Roman"/>
        </w:rPr>
        <w:t xml:space="preserve"> inclusive.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Even</w:t>
      </w:r>
      <w:r w:rsidR="001E0E4B">
        <w:rPr>
          <w:rFonts w:ascii="Times New Roman" w:hAnsi="Times New Roman" w:cs="Times New Roman"/>
        </w:rPr>
        <w:t>ts over distances greater than 200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were excluded </w:t>
      </w:r>
      <w:r w:rsidR="00C25038">
        <w:rPr>
          <w:rFonts w:ascii="Times New Roman" w:hAnsi="Times New Roman" w:cs="Times New Roman"/>
        </w:rPr>
        <w:t>since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has </w:t>
      </w:r>
      <w:r w:rsidR="00C25038">
        <w:rPr>
          <w:rFonts w:ascii="Times New Roman" w:hAnsi="Times New Roman" w:cs="Times New Roman"/>
        </w:rPr>
        <w:t>less</w:t>
      </w:r>
      <w:r w:rsidR="001E0E4B" w:rsidRPr="001E0E4B">
        <w:rPr>
          <w:rFonts w:ascii="Times New Roman" w:hAnsi="Times New Roman" w:cs="Times New Roman"/>
        </w:rPr>
        <w:t xml:space="preserve"> influence on the </w:t>
      </w:r>
      <w:r w:rsidR="00C25038">
        <w:rPr>
          <w:rFonts w:ascii="Times New Roman" w:hAnsi="Times New Roman" w:cs="Times New Roman"/>
        </w:rPr>
        <w:t>performance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and </w:t>
      </w:r>
      <w:r w:rsidR="00C25038">
        <w:rPr>
          <w:rFonts w:ascii="Times New Roman" w:hAnsi="Times New Roman" w:cs="Times New Roman"/>
        </w:rPr>
        <w:t>therefore</w:t>
      </w:r>
      <w:r w:rsidR="001E0E4B" w:rsidRPr="001E0E4B">
        <w:rPr>
          <w:rFonts w:ascii="Times New Roman" w:hAnsi="Times New Roman" w:cs="Times New Roman"/>
        </w:rPr>
        <w:t xml:space="preserve"> would not provide </w:t>
      </w:r>
      <w:r w:rsidR="00C25038">
        <w:rPr>
          <w:rFonts w:ascii="Times New Roman" w:hAnsi="Times New Roman" w:cs="Times New Roman"/>
        </w:rPr>
        <w:t>valid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information on the </w:t>
      </w:r>
      <w:r w:rsidR="001E0E4B" w:rsidRPr="001E0E4B">
        <w:rPr>
          <w:rFonts w:ascii="Times New Roman" w:hAnsi="Times New Roman" w:cs="Times New Roman"/>
        </w:rPr>
        <w:lastRenderedPageBreak/>
        <w:t xml:space="preserve">quickest possible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of an elite athlete.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data </w:t>
      </w:r>
      <w:r w:rsidR="001E0E4B">
        <w:rPr>
          <w:rFonts w:ascii="Times New Roman" w:hAnsi="Times New Roman" w:cs="Times New Roman"/>
        </w:rPr>
        <w:t xml:space="preserve">contained race </w:t>
      </w:r>
      <w:r w:rsidR="00C25038">
        <w:rPr>
          <w:rFonts w:ascii="Times New Roman" w:hAnsi="Times New Roman" w:cs="Times New Roman"/>
        </w:rPr>
        <w:t xml:space="preserve">RTs </w:t>
      </w:r>
      <w:r w:rsidR="001E0E4B">
        <w:rPr>
          <w:rFonts w:ascii="Times New Roman" w:hAnsi="Times New Roman" w:cs="Times New Roman"/>
        </w:rPr>
        <w:t>for 1303 and 1007</w:t>
      </w:r>
      <w:r w:rsidR="001E0E4B" w:rsidRPr="001E0E4B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1E0E4B" w:rsidRPr="001E0E4B">
        <w:rPr>
          <w:rFonts w:ascii="Times New Roman" w:hAnsi="Times New Roman" w:cs="Times New Roman"/>
        </w:rPr>
        <w:t>,</w:t>
      </w:r>
      <w:r w:rsidR="001E0E4B">
        <w:rPr>
          <w:rFonts w:ascii="Times New Roman" w:hAnsi="Times New Roman" w:cs="Times New Roman"/>
        </w:rPr>
        <w:t xml:space="preserve"> respectively, with a total of 4560 and </w:t>
      </w:r>
      <w:r w:rsidR="001E0E4B" w:rsidRPr="001E0E4B">
        <w:rPr>
          <w:rFonts w:ascii="Times New Roman" w:hAnsi="Times New Roman" w:cs="Times New Roman"/>
        </w:rPr>
        <w:t>3</w:t>
      </w:r>
      <w:r w:rsidR="001E0E4B">
        <w:rPr>
          <w:rFonts w:ascii="Times New Roman" w:hAnsi="Times New Roman" w:cs="Times New Roman"/>
        </w:rPr>
        <w:t>999</w:t>
      </w:r>
      <w:r w:rsidR="001E0E4B" w:rsidRPr="001E0E4B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 xml:space="preserve">RT </w:t>
      </w:r>
      <w:r w:rsidR="001E0E4B" w:rsidRPr="001E0E4B">
        <w:rPr>
          <w:rFonts w:ascii="Times New Roman" w:hAnsi="Times New Roman" w:cs="Times New Roman"/>
        </w:rPr>
        <w:t xml:space="preserve">records for </w:t>
      </w:r>
      <w:r w:rsidR="00835861">
        <w:rPr>
          <w:rFonts w:ascii="Times New Roman" w:hAnsi="Times New Roman" w:cs="Times New Roman"/>
        </w:rPr>
        <w:t>performance of men and women</w:t>
      </w:r>
      <w:r w:rsidR="00C25038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respectively.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While the </w:t>
      </w:r>
      <w:r w:rsidR="00694FF1">
        <w:rPr>
          <w:rFonts w:ascii="Times New Roman" w:hAnsi="Times New Roman" w:cs="Times New Roman"/>
        </w:rPr>
        <w:t xml:space="preserve">available </w:t>
      </w:r>
      <w:r w:rsidR="001E0E4B" w:rsidRPr="001E0E4B">
        <w:rPr>
          <w:rFonts w:ascii="Times New Roman" w:hAnsi="Times New Roman" w:cs="Times New Roman"/>
        </w:rPr>
        <w:t xml:space="preserve">data </w:t>
      </w:r>
      <w:r w:rsidR="00694FF1" w:rsidRPr="001E0E4B">
        <w:rPr>
          <w:rFonts w:ascii="Times New Roman" w:hAnsi="Times New Roman" w:cs="Times New Roman"/>
        </w:rPr>
        <w:t>contain</w:t>
      </w:r>
      <w:r w:rsidR="00694FF1">
        <w:rPr>
          <w:rFonts w:ascii="Times New Roman" w:hAnsi="Times New Roman" w:cs="Times New Roman"/>
        </w:rPr>
        <w:t>ed</w:t>
      </w:r>
      <w:r w:rsidR="00694FF1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additional information on the finish time, wind speed and name of the sprinter, the only variables of interest in this study </w:t>
      </w:r>
      <w:r w:rsidR="00C25038">
        <w:rPr>
          <w:rFonts w:ascii="Times New Roman" w:hAnsi="Times New Roman" w:cs="Times New Roman"/>
        </w:rPr>
        <w:t>were</w:t>
      </w:r>
      <w:r w:rsidR="00694FF1">
        <w:rPr>
          <w:rFonts w:ascii="Times New Roman" w:hAnsi="Times New Roman" w:cs="Times New Roman"/>
        </w:rPr>
        <w:t>:</w:t>
      </w:r>
      <w:r w:rsidR="00C25038">
        <w:rPr>
          <w:rFonts w:ascii="Times New Roman" w:hAnsi="Times New Roman" w:cs="Times New Roman"/>
        </w:rPr>
        <w:t xml:space="preserve"> the RT</w:t>
      </w:r>
      <w:r w:rsidR="001E0E4B" w:rsidRPr="001E0E4B">
        <w:rPr>
          <w:rFonts w:ascii="Times New Roman" w:hAnsi="Times New Roman" w:cs="Times New Roman"/>
        </w:rPr>
        <w:t xml:space="preserve"> of the sprinter, the year of the event and the round of the competition.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Based on an</w:t>
      </w:r>
      <w:r w:rsidR="000046C7">
        <w:rPr>
          <w:rFonts w:ascii="Times New Roman" w:hAnsi="Times New Roman" w:cs="Times New Roman"/>
        </w:rPr>
        <w:t xml:space="preserve"> extensive literature search</w:t>
      </w:r>
      <w:r w:rsidR="00694FF1">
        <w:rPr>
          <w:rFonts w:ascii="Times New Roman" w:hAnsi="Times New Roman" w:cs="Times New Roman"/>
        </w:rPr>
        <w:t>,</w:t>
      </w:r>
      <w:r w:rsidR="000046C7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this </w:t>
      </w:r>
      <w:r w:rsidR="003C303A">
        <w:rPr>
          <w:rFonts w:ascii="Times New Roman" w:hAnsi="Times New Roman" w:cs="Times New Roman"/>
        </w:rPr>
        <w:t>study constitutes</w:t>
      </w:r>
      <w:r w:rsidR="001E0E4B" w:rsidRPr="001E0E4B">
        <w:rPr>
          <w:rFonts w:ascii="Times New Roman" w:hAnsi="Times New Roman" w:cs="Times New Roman"/>
        </w:rPr>
        <w:t xml:space="preserve"> the largest exploration of </w:t>
      </w:r>
      <w:r>
        <w:rPr>
          <w:rFonts w:ascii="Times New Roman" w:hAnsi="Times New Roman" w:cs="Times New Roman"/>
        </w:rPr>
        <w:t>RTs</w:t>
      </w:r>
      <w:r w:rsidR="001E0E4B" w:rsidRPr="001E0E4B">
        <w:rPr>
          <w:rFonts w:ascii="Times New Roman" w:hAnsi="Times New Roman" w:cs="Times New Roman"/>
        </w:rPr>
        <w:t xml:space="preserve"> of elite sprinters to date and far exceeds the work of</w:t>
      </w:r>
      <w:r w:rsidR="00C15DB8">
        <w:rPr>
          <w:rFonts w:ascii="Times New Roman" w:hAnsi="Times New Roman" w:cs="Times New Roman"/>
        </w:rPr>
        <w:t xml:space="preserve"> </w:t>
      </w:r>
      <w:r w:rsidR="00C15DB8">
        <w:rPr>
          <w:rFonts w:ascii="Times New Roman" w:hAnsi="Times New Roman" w:cs="Times New Roman"/>
        </w:rPr>
        <w:fldChar w:fldCharType="begin"/>
      </w:r>
      <w:r w:rsidR="00C15DB8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15DB8">
        <w:rPr>
          <w:rFonts w:ascii="Times New Roman" w:hAnsi="Times New Roman" w:cs="Times New Roman"/>
        </w:rPr>
        <w:fldChar w:fldCharType="separate"/>
      </w:r>
      <w:r w:rsidR="00C15DB8">
        <w:rPr>
          <w:rFonts w:ascii="Times New Roman" w:hAnsi="Times New Roman" w:cs="Times New Roman"/>
          <w:noProof/>
        </w:rPr>
        <w:t>Mero and Komi (1990)</w:t>
      </w:r>
      <w:r w:rsidR="00C15DB8">
        <w:rPr>
          <w:rFonts w:ascii="Times New Roman" w:hAnsi="Times New Roman" w:cs="Times New Roman"/>
        </w:rPr>
        <w:fldChar w:fldCharType="end"/>
      </w:r>
      <w:r w:rsidR="001E0E4B" w:rsidRPr="001E0E4B">
        <w:rPr>
          <w:rFonts w:ascii="Times New Roman" w:hAnsi="Times New Roman" w:cs="Times New Roman"/>
        </w:rPr>
        <w:t xml:space="preserve"> which is the basis for the</w:t>
      </w:r>
      <w:r w:rsid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 xml:space="preserve">current </w:t>
      </w:r>
      <w:r w:rsidR="001E0E4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ms</w:t>
      </w:r>
      <w:r w:rsidR="000046C7">
        <w:rPr>
          <w:rFonts w:ascii="Times New Roman" w:hAnsi="Times New Roman" w:cs="Times New Roman"/>
        </w:rPr>
        <w:t xml:space="preserve"> threshold</w:t>
      </w:r>
      <w:r w:rsidR="001E0E4B">
        <w:rPr>
          <w:rFonts w:ascii="Times New Roman" w:hAnsi="Times New Roman" w:cs="Times New Roman"/>
        </w:rPr>
        <w:t>.</w:t>
      </w:r>
    </w:p>
    <w:p w14:paraId="1E81B6EE" w14:textId="4A7B0F85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Exploratory Analysis</w:t>
      </w:r>
    </w:p>
    <w:p w14:paraId="0799FABA" w14:textId="59D170A8" w:rsidR="00E21350" w:rsidRPr="00EE513E" w:rsidRDefault="00C7609C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for the centre and variability of RTs relative to sex and ruling periods were calculated.</w:t>
      </w:r>
      <w:r w:rsidR="0072453D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C13D21">
        <w:rPr>
          <w:rFonts w:ascii="Times New Roman" w:hAnsi="Times New Roman" w:cs="Times New Roman"/>
        </w:rPr>
        <w:t>Box</w:t>
      </w:r>
      <w:r w:rsidR="0072453D">
        <w:rPr>
          <w:rFonts w:ascii="Times New Roman" w:hAnsi="Times New Roman" w:cs="Times New Roman"/>
        </w:rPr>
        <w:t>-and-whiskers plot</w:t>
      </w:r>
      <w:r w:rsidR="00C13D21">
        <w:rPr>
          <w:rFonts w:ascii="Times New Roman" w:hAnsi="Times New Roman" w:cs="Times New Roman"/>
        </w:rPr>
        <w:t>s</w:t>
      </w:r>
      <w:r w:rsidR="0072453D">
        <w:rPr>
          <w:rFonts w:ascii="Times New Roman" w:hAnsi="Times New Roman" w:cs="Times New Roman"/>
        </w:rPr>
        <w:t xml:space="preserve"> provide visualisation of the </w:t>
      </w:r>
      <w:r w:rsidR="001F182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men </w:t>
      </w:r>
      <w:r w:rsidR="007245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women </w:t>
      </w:r>
      <w:r w:rsidR="0072453D">
        <w:rPr>
          <w:rFonts w:ascii="Times New Roman" w:hAnsi="Times New Roman" w:cs="Times New Roman"/>
        </w:rPr>
        <w:t xml:space="preserve">across ruling periods.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exploratory analysis also </w:t>
      </w:r>
      <w:r w:rsidR="00C13D21">
        <w:rPr>
          <w:rFonts w:ascii="Times New Roman" w:hAnsi="Times New Roman" w:cs="Times New Roman"/>
        </w:rPr>
        <w:t xml:space="preserve">examined </w:t>
      </w:r>
      <w:r w:rsidR="0072453D">
        <w:rPr>
          <w:rFonts w:ascii="Times New Roman" w:hAnsi="Times New Roman" w:cs="Times New Roman"/>
        </w:rPr>
        <w:t xml:space="preserve">the number of false starts </w:t>
      </w:r>
      <w:r w:rsidR="00F80818">
        <w:rPr>
          <w:rFonts w:ascii="Times New Roman" w:hAnsi="Times New Roman" w:cs="Times New Roman"/>
        </w:rPr>
        <w:t>recorded</w:t>
      </w:r>
      <w:r w:rsidR="0072453D">
        <w:rPr>
          <w:rFonts w:ascii="Times New Roman" w:hAnsi="Times New Roman" w:cs="Times New Roman"/>
        </w:rPr>
        <w:t xml:space="preserve"> in each ruling period.   </w:t>
      </w:r>
    </w:p>
    <w:p w14:paraId="0CF690CD" w14:textId="07BC210F" w:rsidR="00904989" w:rsidRDefault="001F182D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Statistical Modelling</w:t>
      </w:r>
    </w:p>
    <w:p w14:paraId="729BAF2B" w14:textId="4DCE64C3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w:r w:rsidRPr="00784F30">
        <w:rPr>
          <w:rFonts w:ascii="Times New Roman" w:hAnsi="Times New Roman" w:cs="Times New Roman"/>
        </w:rPr>
        <w:t xml:space="preserve">The </w:t>
      </w:r>
      <w:r w:rsidR="00E07565">
        <w:rPr>
          <w:rFonts w:ascii="Times New Roman" w:hAnsi="Times New Roman" w:cs="Times New Roman"/>
        </w:rPr>
        <w:t xml:space="preserve">exponentially modified </w:t>
      </w:r>
      <w:r w:rsidRPr="00784F30">
        <w:rPr>
          <w:rFonts w:ascii="Times New Roman" w:hAnsi="Times New Roman" w:cs="Times New Roman"/>
        </w:rPr>
        <w:t>Gaussian distribution</w:t>
      </w:r>
      <w:r w:rsidR="001F182D">
        <w:rPr>
          <w:rFonts w:ascii="Times New Roman" w:hAnsi="Times New Roman" w:cs="Times New Roman"/>
        </w:rPr>
        <w:t xml:space="preserve"> (EMGD)</w:t>
      </w:r>
      <w:r w:rsidR="00341CA2">
        <w:rPr>
          <w:rFonts w:ascii="Times New Roman" w:hAnsi="Times New Roman" w:cs="Times New Roman"/>
        </w:rPr>
        <w:t xml:space="preserve"> has been widely used to model </w:t>
      </w:r>
      <w:r w:rsidR="0083586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&lt;EndNote&gt;&lt;Cite&gt;&lt;Author&gt;Dawson&lt;/Author&gt;&lt;Year&gt;1988&lt;/Year&gt;&lt;RecNum&gt;36&lt;/RecNum&gt;&lt;DisplayText&gt;(Dawson 1988)&lt;/DisplayText&gt;&lt;record&gt;&lt;rec-number&gt;36&lt;/rec-number&gt;&lt;foreign-keys&gt;&lt;key app="EN" db-id="0zxvwf9f6xset3exsr5x2a975zwvztxseprs" timestamp="1457971045"&gt;36&lt;/key&gt;&lt;/foreign-keys&gt;&lt;ref-type name="Journal Article"&gt;17&lt;/ref-type&gt;&lt;contributors&gt;&lt;authors&gt;&lt;author&gt;Dawson, M. R. W.&lt;/author&gt;&lt;/authors&gt;&lt;/contributors&gt;&lt;titles&gt;&lt;title&gt;Fitting the ex-Gaussian equation to reaction time distributions&lt;/title&gt;&lt;secondary-title&gt;Behavior Research Methods, Instruments, &amp;amp; Computers&lt;/secondary-title&gt;&lt;/titles&gt;&lt;periodical&gt;&lt;full-title&gt;Behavior Research Methods, Instruments, &amp;amp; Computers&lt;/full-title&gt;&lt;/periodical&gt;&lt;pages&gt;54-57&lt;/pages&gt;&lt;volume&gt;20&lt;/volume&gt;&lt;number&gt;1&lt;/number&gt;&lt;dates&gt;&lt;year&gt;1988&lt;/year&gt;&lt;/dates&gt;&lt;work-type&gt;Article&lt;/work-type&gt;&lt;urls&gt;&lt;related-urls&gt;&lt;url&gt;http://www.scopus.com/inward/record.url?eid=2-s2.0-0039242275&amp;amp;partnerID=40&amp;amp;md5=85e5ee9567ce710a6245754c14e0ee69&lt;/url&gt;&lt;url&gt;http://download.springer.com/static/pdf/409/art%253A10.3758%252FBF03202603.pdf?originUrl=http%3A%2F%2Flink.springer.com%2Farticle%2F10.3758%2FBF03202603&amp;amp;token2=exp=1457972285~acl=%2Fstatic%2Fpdf%2F409%2Fart%25253A10.3758%25252FBF03202603.pdf%3ForiginUrl%3Dhttp%253A%252F%252Flink.springer.com%252Farticle%252F10.3758%252FBF03202603*~hmac=953a209f3792060978d3a57af94e7223fca90e5f678dd4e3d683307f45bb6737&lt;/url&gt;&lt;url&gt;http://download.springer.com/static/pdf/409/art%253A10.3758%252FBF03202603.pdf?originUrl=http%3A%2F%2Flink.springer.com%2Farticle%2F10.3758%2FBF03202603&amp;amp;token2=exp=1457972288~acl=%2Fstatic%2Fpdf%2F409%2Fart%25253A10.3758%25252FBF03202603.pdf%3ForiginUrl%3Dhttp%253A%252F%252Flink.springer.com%252Farticle%252F10.3758%252FBF03202603*~hmac=e2ba07a2558a14ee99ae55d88c355ff40d7a16d88e29cb39b060b8bab9370dea&lt;/url&gt;&lt;/related-urls&gt;&lt;/urls&gt;&lt;electronic-resource-num&gt;10.3758/BF03202603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(Dawson 1988)</w:t>
      </w:r>
      <w:r>
        <w:rPr>
          <w:rFonts w:ascii="Times New Roman" w:hAnsi="Times New Roman" w:cs="Times New Roman"/>
        </w:rPr>
        <w:fldChar w:fldCharType="end"/>
      </w:r>
      <w:r w:rsidR="00341CA2">
        <w:rPr>
          <w:rFonts w:ascii="Times New Roman" w:hAnsi="Times New Roman" w:cs="Times New Roman"/>
        </w:rPr>
        <w:t>.</w:t>
      </w:r>
      <w:r w:rsidRPr="00784F30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The EMGD is a convolution of an exponential distribution, </w:t>
      </w:r>
      <w:r w:rsidRPr="00784F30">
        <w:rPr>
          <w:rFonts w:ascii="Times New Roman" w:hAnsi="Times New Roman" w:cs="Times New Roman"/>
        </w:rPr>
        <w:t>controlling the tail of the distribution, and a Gaussian distribution to represent the group of quickest reactions.</w:t>
      </w:r>
      <w:r w:rsidR="00341CA2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Its </w:t>
      </w:r>
      <w:r w:rsidRPr="00784F30">
        <w:rPr>
          <w:rFonts w:ascii="Times New Roman" w:hAnsi="Times New Roman" w:cs="Times New Roman"/>
        </w:rPr>
        <w:t>probability density function</w:t>
      </w:r>
      <w:r w:rsidR="003C303A">
        <w:rPr>
          <w:rFonts w:ascii="Times New Roman" w:hAnsi="Times New Roman" w:cs="Times New Roman"/>
        </w:rPr>
        <w:t xml:space="preserve"> is</w:t>
      </w:r>
      <w:r w:rsidR="001F182D">
        <w:rPr>
          <w:rFonts w:ascii="Times New Roman" w:hAnsi="Times New Roman" w:cs="Times New Roman"/>
        </w:rPr>
        <w:t>:</w:t>
      </w:r>
    </w:p>
    <w:p w14:paraId="626D3D8F" w14:textId="18229C4F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RT</m:t>
              </m:r>
            </m:e>
          </m:d>
          <m:r>
            <w:rPr>
              <w:rFonts w:ascii="Cambria Math" w:hAnsi="Cambria Math" w:cs="Times New Roman"/>
            </w:rPr>
            <m:t xml:space="preserve">μ, σ, τ)=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RT-μ-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71D61DE8" w14:textId="356B8605" w:rsidR="00784F30" w:rsidRDefault="001F182D" w:rsidP="00784F30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784F30" w:rsidRPr="00784F30">
        <w:rPr>
          <w:rFonts w:ascii="Times New Roman" w:hAnsi="Times New Roman" w:cs="Times New Roman"/>
        </w:rPr>
        <w:t>here</w:t>
      </w:r>
      <w:proofErr w:type="gramEnd"/>
      <w:r w:rsidR="00C13D21">
        <w:rPr>
          <w:rFonts w:ascii="Times New Roman" w:hAnsi="Times New Roman" w:cs="Times New Roman"/>
        </w:rPr>
        <w:t>,</w:t>
      </w:r>
      <w:r w:rsidR="00054E41">
        <w:rPr>
          <w:rFonts w:ascii="Times New Roman" w:hAnsi="Times New Roman" w:cs="Times New Roman"/>
        </w:rPr>
        <w:t xml:space="preserve"> µ</w:t>
      </w:r>
      <w:r w:rsidR="00C70903">
        <w:rPr>
          <w:rFonts w:ascii="Times New Roman" w:hAnsi="Times New Roman" w:cs="Times New Roman"/>
        </w:rPr>
        <w:t xml:space="preserve"> and</w:t>
      </w:r>
      <w:r w:rsidR="00784F30" w:rsidRPr="00784F30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>σ</w:t>
      </w:r>
      <w:r w:rsidR="00C70903">
        <w:rPr>
          <w:rFonts w:ascii="Times New Roman" w:hAnsi="Times New Roman" w:cs="Times New Roman"/>
        </w:rPr>
        <w:t xml:space="preserve"> represent the mean and standard deviation of the Gaussian component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 xml:space="preserve">and </w:t>
      </w:r>
      <w:r w:rsidR="00054E41">
        <w:rPr>
          <w:rFonts w:ascii="Times New Roman" w:hAnsi="Times New Roman" w:cs="Times New Roman"/>
        </w:rPr>
        <w:t xml:space="preserve">τ </w:t>
      </w:r>
      <w:r w:rsidR="00C70903">
        <w:rPr>
          <w:rFonts w:ascii="Times New Roman" w:hAnsi="Times New Roman" w:cs="Times New Roman"/>
        </w:rPr>
        <w:t>is the rate parameter of the exponential distribution,</w:t>
      </w:r>
      <w:r w:rsidR="00C70903" w:rsidRPr="00C70903">
        <w:rPr>
          <w:rFonts w:ascii="Times New Roman" w:hAnsi="Times New Roman" w:cs="Times New Roman"/>
        </w:rPr>
        <w:t xml:space="preserve"> </w:t>
      </w:r>
      <w:r w:rsidR="00C70903">
        <w:rPr>
          <w:rFonts w:ascii="Times New Roman" w:hAnsi="Times New Roman" w:cs="Times New Roman"/>
        </w:rPr>
        <w:t>while Φ(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>
        <w:rPr>
          <w:rFonts w:ascii="Times New Roman" w:hAnsi="Times New Roman" w:cs="Times New Roman"/>
        </w:rPr>
        <w:t>)</w:t>
      </w:r>
      <w:r w:rsidR="00C70903" w:rsidRPr="00784F30">
        <w:rPr>
          <w:rFonts w:ascii="Times New Roman" w:hAnsi="Times New Roman" w:cs="Times New Roman"/>
        </w:rPr>
        <w:t xml:space="preserve"> is the cumulative standard normal dist</w:t>
      </w:r>
      <w:r w:rsidR="00C70903">
        <w:rPr>
          <w:rFonts w:ascii="Times New Roman" w:hAnsi="Times New Roman" w:cs="Times New Roman"/>
        </w:rPr>
        <w:t xml:space="preserve">ribution function evaluated at 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 w:rsidRPr="00784F30">
        <w:rPr>
          <w:rFonts w:ascii="Times New Roman" w:hAnsi="Times New Roman" w:cs="Times New Roman"/>
        </w:rPr>
        <w:t xml:space="preserve">. </w:t>
      </w:r>
      <w:r w:rsidR="00C70903">
        <w:rPr>
          <w:rFonts w:ascii="Times New Roman" w:hAnsi="Times New Roman" w:cs="Times New Roman"/>
        </w:rPr>
        <w:t xml:space="preserve"> The parameters are </w:t>
      </w:r>
      <w:r w:rsidR="00054E41">
        <w:rPr>
          <w:rFonts w:ascii="Times New Roman" w:hAnsi="Times New Roman" w:cs="Times New Roman"/>
        </w:rPr>
        <w:t xml:space="preserve">constrained such that </w:t>
      </w:r>
      <m:oMath>
        <m:r>
          <m:rPr>
            <m:nor/>
          </m:rPr>
          <w:rPr>
            <w:rFonts w:ascii="Cambria Math" w:hAnsi="Cambria Math" w:cs="Times New Roman"/>
          </w:rPr>
          <m:t>min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RT</m:t>
            </m:r>
          </m:e>
        </m:d>
        <m:r>
          <w:rPr>
            <w:rFonts w:ascii="Cambria Math" w:hAnsi="Cambria Math" w:cs="Times New Roman"/>
          </w:rPr>
          <m:t>≤μ≤</m:t>
        </m:r>
        <m:r>
          <m:rPr>
            <m:nor/>
          </m:rP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/>
          </w:rPr>
          <m:t xml:space="preserve">(RT), </m:t>
        </m:r>
      </m:oMath>
      <w:r w:rsidR="00054E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0≤σ≤</m:t>
        </m:r>
        <m:r>
          <m:rPr>
            <m:nor/>
          </m:rPr>
          <w:rPr>
            <w:rFonts w:ascii="Cambria Math" w:hAnsi="Cambria Math" w:cs="Times New Roman"/>
          </w:rPr>
          <w:lastRenderedPageBreak/>
          <m:t>range</m:t>
        </m:r>
        <m:r>
          <w:rPr>
            <w:rFonts w:ascii="Cambria Math" w:hAnsi="Cambria Math" w:cs="Times New Roman"/>
          </w:rPr>
          <m:t>(RT)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0≤τ≤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C70903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>I</w:t>
      </w:r>
      <w:r w:rsidR="00784F30">
        <w:rPr>
          <w:rFonts w:ascii="Times New Roman" w:hAnsi="Times New Roman" w:cs="Times New Roman"/>
        </w:rPr>
        <w:t xml:space="preserve">f </w:t>
      </w:r>
      <w:r w:rsidR="00C70903">
        <w:rPr>
          <w:rFonts w:ascii="Times New Roman" w:hAnsi="Times New Roman" w:cs="Times New Roman"/>
        </w:rPr>
        <w:t>the RTs</w:t>
      </w:r>
      <w:r w:rsidR="00784F30" w:rsidRPr="00784F30">
        <w:rPr>
          <w:rFonts w:ascii="Times New Roman" w:hAnsi="Times New Roman" w:cs="Times New Roman"/>
        </w:rPr>
        <w:t xml:space="preserve"> follow an </w:t>
      </w:r>
      <w:r w:rsidR="00DB5ADC">
        <w:rPr>
          <w:rFonts w:ascii="Times New Roman" w:hAnsi="Times New Roman" w:cs="Times New Roman"/>
        </w:rPr>
        <w:t>EMG</w:t>
      </w:r>
      <w:r w:rsidR="00C70903">
        <w:rPr>
          <w:rFonts w:ascii="Times New Roman" w:hAnsi="Times New Roman" w:cs="Times New Roman"/>
        </w:rPr>
        <w:t>D</w:t>
      </w:r>
      <w:r w:rsidR="00784F30" w:rsidRPr="00784F30">
        <w:rPr>
          <w:rFonts w:ascii="Times New Roman" w:hAnsi="Times New Roman" w:cs="Times New Roman"/>
        </w:rPr>
        <w:t xml:space="preserve"> with the above parameters its measure of location a</w:t>
      </w:r>
      <w:r w:rsidR="00054E41">
        <w:rPr>
          <w:rFonts w:ascii="Times New Roman" w:hAnsi="Times New Roman" w:cs="Times New Roman"/>
        </w:rPr>
        <w:t xml:space="preserve">nd scale can be represented as </w:t>
      </w:r>
      <m:oMath>
        <m:r>
          <m:rPr>
            <m:scr m:val="double-struck"/>
          </m:rPr>
          <w:rPr>
            <w:rFonts w:ascii="Cambria Math" w:hAnsi="Cambria Math" w:cs="Times New Roman"/>
          </w:rPr>
          <m:t>E(</m:t>
        </m:r>
        <m:r>
          <w:rPr>
            <w:rFonts w:ascii="Cambria Math" w:hAnsi="Cambria Math" w:cs="Times New Roman"/>
          </w:rPr>
          <m:t>X) =μ +τ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m:rPr>
            <m:nor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(X) 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520D7">
        <w:rPr>
          <w:rFonts w:ascii="Times New Roman" w:hAnsi="Times New Roman" w:cs="Times New Roman"/>
        </w:rPr>
        <w:t xml:space="preserve">, respectively. </w:t>
      </w:r>
    </w:p>
    <w:p w14:paraId="72C1DEAA" w14:textId="5516BBC2" w:rsidR="00341CA2" w:rsidRPr="00341CA2" w:rsidRDefault="00341CA2" w:rsidP="00784F30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Estimation:</w:t>
      </w:r>
    </w:p>
    <w:p w14:paraId="484BEB26" w14:textId="74EAE4C7" w:rsidR="003B05AE" w:rsidRPr="003B05AE" w:rsidRDefault="0055310D" w:rsidP="00B36723">
      <w:pPr>
        <w:spacing w:line="480" w:lineRule="auto"/>
        <w:rPr>
          <w:rFonts w:ascii="Times New Roman" w:hAnsi="Times New Roman" w:cs="Times New Roman"/>
        </w:rPr>
      </w:pPr>
      <w:r w:rsidRPr="0055310D">
        <w:rPr>
          <w:rFonts w:ascii="Times New Roman" w:hAnsi="Times New Roman" w:cs="Times New Roman"/>
        </w:rPr>
        <w:t xml:space="preserve">The parameters for each of the </w:t>
      </w:r>
      <w:r w:rsidR="003B09A9">
        <w:rPr>
          <w:rFonts w:ascii="Times New Roman" w:hAnsi="Times New Roman" w:cs="Times New Roman"/>
        </w:rPr>
        <w:t>EMG</w:t>
      </w:r>
      <w:r w:rsidR="00786B98">
        <w:rPr>
          <w:rFonts w:ascii="Times New Roman" w:hAnsi="Times New Roman" w:cs="Times New Roman"/>
        </w:rPr>
        <w:t>D’</w:t>
      </w:r>
      <w:r w:rsidRPr="0055310D">
        <w:rPr>
          <w:rFonts w:ascii="Times New Roman" w:hAnsi="Times New Roman" w:cs="Times New Roman"/>
        </w:rPr>
        <w:t xml:space="preserve">s </w:t>
      </w:r>
      <w:r w:rsidR="00694FF1">
        <w:rPr>
          <w:rFonts w:ascii="Times New Roman" w:hAnsi="Times New Roman" w:cs="Times New Roman"/>
        </w:rPr>
        <w:t>we</w:t>
      </w:r>
      <w:r w:rsidR="00694FF1" w:rsidRPr="0055310D">
        <w:rPr>
          <w:rFonts w:ascii="Times New Roman" w:hAnsi="Times New Roman" w:cs="Times New Roman"/>
        </w:rPr>
        <w:t xml:space="preserve">re </w:t>
      </w:r>
      <w:r w:rsidRPr="0055310D">
        <w:rPr>
          <w:rFonts w:ascii="Times New Roman" w:hAnsi="Times New Roman" w:cs="Times New Roman"/>
        </w:rPr>
        <w:t xml:space="preserve">estimated using the maximum likelihood approach provided in the </w:t>
      </w:r>
      <w:r w:rsidRPr="00786B98">
        <w:rPr>
          <w:rFonts w:ascii="Times New Roman" w:eastAsia="Batang" w:hAnsi="Times New Roman" w:cs="Times New Roman"/>
        </w:rPr>
        <w:t>retimes</w:t>
      </w:r>
      <w:r w:rsidRPr="0055310D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&lt;EndNote&gt;&lt;Cite&gt;&lt;Author&gt;Massidda&lt;/Author&gt;&lt;Year&gt;2013&lt;/Year&gt;&lt;RecNum&gt;41&lt;/RecNum&gt;&lt;DisplayText&gt;(Massidda 2013)&lt;/DisplayText&gt;&lt;record&gt;&lt;rec-number&gt;41&lt;/rec-number&gt;&lt;foreign-keys&gt;&lt;key app="EN" db-id="0zxvwf9f6xset3exsr5x2a975zwvztxseprs" timestamp="1457974822"&gt;41&lt;/key&gt;&lt;/foreign-keys&gt;&lt;ref-type name="Journal Article"&gt;17&lt;/ref-type&gt;&lt;contributors&gt;&lt;authors&gt;&lt;author&gt;Massidda, D&lt;/author&gt;&lt;/authors&gt;&lt;/contributors&gt;&lt;titles&gt;&lt;title&gt;Retimes: Reaction Time Analysis&lt;/title&gt;&lt;secondary-title&gt;R package version 0.1-2&lt;/secondary-title&gt;&lt;/titles&gt;&lt;periodical&gt;&lt;full-title&gt;R package version 0.1-2&lt;/full-title&gt;&lt;/periodical&gt;&lt;dates&gt;&lt;year&gt;2013&lt;/year&gt;&lt;/dates&gt;&lt;urls&gt;&lt;/urls&gt;&lt;/record&gt;&lt;/Cite&gt;&lt;/EndNote&gt;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(Massidda 2013)</w:t>
      </w:r>
      <w:r>
        <w:rPr>
          <w:rFonts w:ascii="Times New Roman" w:hAnsi="Times New Roman" w:cs="Times New Roman"/>
        </w:rPr>
        <w:fldChar w:fldCharType="end"/>
      </w:r>
      <w:r w:rsidRPr="0055310D">
        <w:rPr>
          <w:rFonts w:ascii="Times New Roman" w:hAnsi="Times New Roman" w:cs="Times New Roman"/>
        </w:rPr>
        <w:t xml:space="preserve"> based in the R </w:t>
      </w:r>
      <w:r>
        <w:rPr>
          <w:rFonts w:ascii="Times New Roman" w:hAnsi="Times New Roman" w:cs="Times New Roman"/>
        </w:rPr>
        <w:t xml:space="preserve">statistical computing environment </w:t>
      </w:r>
      <w:r>
        <w:rPr>
          <w:rFonts w:ascii="Times New Roman" w:hAnsi="Times New Roman" w:cs="Times New Roman"/>
        </w:rPr>
        <w:fldChar w:fldCharType="begin"/>
      </w:r>
      <w:r w:rsidR="00341CA2">
        <w:rPr>
          <w:rFonts w:ascii="Times New Roman" w:hAnsi="Times New Roman" w:cs="Times New Roman"/>
        </w:rPr>
        <w:instrText xml:space="preserve"> ADDIN EN.CITE &lt;EndNote&gt;&lt;Cite&gt;&lt;Author&gt;Team&lt;/Author&gt;&lt;Year&gt;2015&lt;/Year&gt;&lt;RecNum&gt;42&lt;/RecNum&gt;&lt;DisplayText&gt;(R Core Team 2015)&lt;/DisplayText&gt;&lt;record&gt;&lt;rec-number&gt;42&lt;/rec-number&gt;&lt;foreign-keys&gt;&lt;key app="EN" db-id="0zxvwf9f6xset3exsr5x2a975zwvztxseprs" timestamp="1457974946"&gt;42&lt;/key&gt;&lt;/foreign-keys&gt;&lt;ref-type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 (R Foundation for Statistical Computing, Vienna, 2012)&lt;/title&gt;&lt;secondary-title&gt;URL: http://www.R-project.org &lt;/secondary-title&gt;&lt;/titles&gt;&lt;periodical&gt;&lt;full-title&gt;URL: http://www.R-project.org&lt;/full-title&gt;&lt;/periodical&gt;&lt;dates&gt;&lt;year&gt;2015&lt;/year&gt;&lt;/dates&gt;&lt;urls&gt;&lt;/urls&gt;&lt;/record&gt;&lt;/Cite&gt;&lt;/EndNote&gt;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341CA2">
        <w:rPr>
          <w:rFonts w:ascii="Times New Roman" w:hAnsi="Times New Roman" w:cs="Times New Roman"/>
          <w:noProof/>
        </w:rPr>
        <w:t>(R Core Team 2015)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3B09A9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B09A9">
        <w:rPr>
          <w:rFonts w:ascii="Times New Roman" w:hAnsi="Times New Roman" w:cs="Times New Roman"/>
        </w:rPr>
        <w:t>The maximum likelihood estimates of the parameters for the EMG</w:t>
      </w:r>
      <w:r w:rsidR="00694FF1">
        <w:rPr>
          <w:rFonts w:ascii="Times New Roman" w:hAnsi="Times New Roman" w:cs="Times New Roman"/>
        </w:rPr>
        <w:t>D</w:t>
      </w:r>
      <w:r w:rsidR="003B09A9">
        <w:rPr>
          <w:rFonts w:ascii="Times New Roman" w:hAnsi="Times New Roman" w:cs="Times New Roman"/>
        </w:rPr>
        <w:t xml:space="preserve"> are described in detail in</w:t>
      </w:r>
      <w:r w:rsidR="00C52B7A">
        <w:rPr>
          <w:rFonts w:ascii="Times New Roman" w:hAnsi="Times New Roman" w:cs="Times New Roman"/>
          <w:b/>
          <w:color w:val="FF0000"/>
        </w:rPr>
        <w:t xml:space="preserve"> </w:t>
      </w:r>
      <w:r w:rsidR="00C52B7A" w:rsidRPr="00C52B7A">
        <w:rPr>
          <w:rFonts w:ascii="Times New Roman" w:hAnsi="Times New Roman" w:cs="Times New Roman"/>
        </w:rPr>
        <w:fldChar w:fldCharType="begin"/>
      </w:r>
      <w:r w:rsidR="00C52B7A" w:rsidRPr="00C52B7A">
        <w:rPr>
          <w:rFonts w:ascii="Times New Roman" w:hAnsi="Times New Roman" w:cs="Times New Roman"/>
        </w:rPr>
        <w:instrText xml:space="preserve"> ADDIN EN.CITE &lt;EndNote&gt;&lt;Cite AuthorYear="1"&gt;&lt;Author&gt;Silver&lt;/Author&gt;&lt;Year&gt;2009&lt;/Year&gt;&lt;RecNum&gt;45&lt;/RecNum&gt;&lt;DisplayText&gt;Silver, Ritchie et al. (2009)&lt;/DisplayText&gt;&lt;record&gt;&lt;rec-number&gt;45&lt;/rec-number&gt;&lt;foreign-keys&gt;&lt;key app="EN" db-id="0zxvwf9f6xset3exsr5x2a975zwvztxseprs" timestamp="1458040878"&gt;45&lt;/key&gt;&lt;/foreign-keys&gt;&lt;ref-type name="Journal Article"&gt;17&lt;/ref-type&gt;&lt;contributors&gt;&lt;authors&gt;&lt;author&gt;Silver, Jeremy D&lt;/author&gt;&lt;author&gt;Ritchie, Matthew E&lt;/author&gt;&lt;author&gt;Smyth, Gordon K&lt;/author&gt;&lt;/authors&gt;&lt;/contributors&gt;&lt;titles&gt;&lt;title&gt;Microarray background correction: maximum likelihood estimation for the normal–exponential convolution&lt;/title&gt;&lt;secondary-title&gt;Biostatistics&lt;/secondary-title&gt;&lt;/titles&gt;&lt;periodical&gt;&lt;full-title&gt;Biostatistics&lt;/full-title&gt;&lt;/periodical&gt;&lt;pages&gt;kxn042&lt;/pages&gt;&lt;dates&gt;&lt;year&gt;2009&lt;/year&gt;&lt;/dates&gt;&lt;isbn&gt;1465-4644&lt;/isbn&gt;&lt;urls&gt;&lt;/urls&gt;&lt;/record&gt;&lt;/Cite&gt;&lt;/EndNote&gt;</w:instrText>
      </w:r>
      <w:r w:rsidR="00C52B7A" w:rsidRPr="00C52B7A">
        <w:rPr>
          <w:rFonts w:ascii="Times New Roman" w:hAnsi="Times New Roman" w:cs="Times New Roman"/>
        </w:rPr>
        <w:fldChar w:fldCharType="separate"/>
      </w:r>
      <w:r w:rsidR="00C52B7A" w:rsidRPr="00C52B7A">
        <w:rPr>
          <w:rFonts w:ascii="Times New Roman" w:hAnsi="Times New Roman" w:cs="Times New Roman"/>
          <w:noProof/>
        </w:rPr>
        <w:t>Silver, Ritchie et al. (2009)</w:t>
      </w:r>
      <w:r w:rsidR="00C52B7A" w:rsidRPr="00C52B7A">
        <w:rPr>
          <w:rFonts w:ascii="Times New Roman" w:hAnsi="Times New Roman" w:cs="Times New Roman"/>
        </w:rPr>
        <w:fldChar w:fldCharType="end"/>
      </w:r>
      <w:r w:rsidR="003B09A9" w:rsidRPr="00C52B7A">
        <w:rPr>
          <w:rFonts w:ascii="Times New Roman" w:hAnsi="Times New Roman" w:cs="Times New Roman"/>
        </w:rPr>
        <w:t>.</w:t>
      </w:r>
    </w:p>
    <w:p w14:paraId="0D29FD5C" w14:textId="63A2A9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Goodness-of-fit Statistics</w:t>
      </w:r>
    </w:p>
    <w:p w14:paraId="39345D08" w14:textId="01FC6629" w:rsidR="00E21350" w:rsidRPr="00A54FED" w:rsidRDefault="000C27D3" w:rsidP="00A54FED">
      <w:pPr>
        <w:spacing w:line="480" w:lineRule="auto"/>
        <w:rPr>
          <w:rFonts w:ascii="Times New Roman" w:hAnsi="Times New Roman" w:cs="Times New Roman"/>
        </w:rPr>
      </w:pPr>
      <w:r w:rsidRPr="003B05AE">
        <w:rPr>
          <w:rFonts w:ascii="Times New Roman" w:hAnsi="Times New Roman" w:cs="Times New Roman"/>
        </w:rPr>
        <w:t xml:space="preserve">Pearson’s Chi-Squared goodness-of-fit </w:t>
      </w:r>
      <w:r w:rsidR="00A54FED">
        <w:rPr>
          <w:rFonts w:ascii="Times New Roman" w:hAnsi="Times New Roman" w:cs="Times New Roman"/>
        </w:rPr>
        <w:t>was used to</w:t>
      </w:r>
      <w:r w:rsidR="003B05AE" w:rsidRPr="003B05AE">
        <w:rPr>
          <w:rFonts w:ascii="Times New Roman" w:hAnsi="Times New Roman" w:cs="Times New Roman"/>
        </w:rPr>
        <w:t xml:space="preserve"> evaluate if the observed </w:t>
      </w:r>
      <w:r w:rsidR="00835861">
        <w:rPr>
          <w:rFonts w:ascii="Times New Roman" w:hAnsi="Times New Roman" w:cs="Times New Roman"/>
        </w:rPr>
        <w:t xml:space="preserve">RT </w:t>
      </w:r>
      <w:r w:rsidR="003B05AE" w:rsidRPr="003B05AE">
        <w:rPr>
          <w:rFonts w:ascii="Times New Roman" w:hAnsi="Times New Roman" w:cs="Times New Roman"/>
        </w:rPr>
        <w:t xml:space="preserve">data </w:t>
      </w:r>
      <w:r w:rsidR="00A54FED" w:rsidRPr="003B05AE">
        <w:rPr>
          <w:rFonts w:ascii="Times New Roman" w:hAnsi="Times New Roman" w:cs="Times New Roman"/>
        </w:rPr>
        <w:t>c</w:t>
      </w:r>
      <w:r w:rsidR="00A54FED">
        <w:rPr>
          <w:rFonts w:ascii="Times New Roman" w:hAnsi="Times New Roman" w:cs="Times New Roman"/>
        </w:rPr>
        <w:t>ame</w:t>
      </w:r>
      <w:r w:rsidR="00A54FED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from an underlying </w:t>
      </w:r>
      <w:r w:rsidR="00A54FED">
        <w:rPr>
          <w:rFonts w:ascii="Times New Roman" w:hAnsi="Times New Roman" w:cs="Times New Roman"/>
        </w:rPr>
        <w:t>EMGD</w:t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null hypothesis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data </w:t>
      </w:r>
      <w:r w:rsidR="00694FF1" w:rsidRPr="003B05AE">
        <w:rPr>
          <w:rFonts w:ascii="Times New Roman" w:hAnsi="Times New Roman" w:cs="Times New Roman"/>
        </w:rPr>
        <w:t>fit</w:t>
      </w:r>
      <w:r w:rsidR="00694FF1">
        <w:rPr>
          <w:rFonts w:ascii="Times New Roman" w:hAnsi="Times New Roman" w:cs="Times New Roman"/>
        </w:rPr>
        <w:t>ted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distribution well, while the alternative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distribution </w:t>
      </w:r>
      <w:r w:rsidR="00694FF1">
        <w:rPr>
          <w:rFonts w:ascii="Times New Roman" w:hAnsi="Times New Roman" w:cs="Times New Roman"/>
        </w:rPr>
        <w:t>wa</w:t>
      </w:r>
      <w:r w:rsidR="00694FF1" w:rsidRPr="003B05AE">
        <w:rPr>
          <w:rFonts w:ascii="Times New Roman" w:hAnsi="Times New Roman" w:cs="Times New Roman"/>
        </w:rPr>
        <w:t xml:space="preserve">s </w:t>
      </w:r>
      <w:r w:rsidR="003B05AE" w:rsidRPr="003B05AE">
        <w:rPr>
          <w:rFonts w:ascii="Times New Roman" w:hAnsi="Times New Roman" w:cs="Times New Roman"/>
        </w:rPr>
        <w:t xml:space="preserve">not a true reflection of the observed data, more detail </w:t>
      </w:r>
      <w:r w:rsidR="00A54FED">
        <w:rPr>
          <w:rFonts w:ascii="Times New Roman" w:hAnsi="Times New Roman" w:cs="Times New Roman"/>
        </w:rPr>
        <w:t xml:space="preserve">of this goodness-of-fit test </w:t>
      </w:r>
      <w:r w:rsidR="003B05AE" w:rsidRPr="003B05AE">
        <w:rPr>
          <w:rFonts w:ascii="Times New Roman" w:hAnsi="Times New Roman" w:cs="Times New Roman"/>
        </w:rPr>
        <w:t xml:space="preserve">can be found in </w:t>
      </w:r>
      <w:r w:rsidR="003B05AE" w:rsidRPr="003B05AE">
        <w:rPr>
          <w:rFonts w:ascii="Times New Roman" w:hAnsi="Times New Roman" w:cs="Times New Roman"/>
        </w:rPr>
        <w:fldChar w:fldCharType="begin"/>
      </w:r>
      <w:r w:rsidR="003B05AE" w:rsidRPr="003B05AE">
        <w:rPr>
          <w:rFonts w:ascii="Times New Roman" w:hAnsi="Times New Roman" w:cs="Times New Roman"/>
        </w:rPr>
        <w:instrText xml:space="preserve"> ADDIN EN.CITE &lt;EndNote&gt;&lt;Cite AuthorYear="1"&gt;&lt;Author&gt;Greenwood&lt;/Author&gt;&lt;Year&gt;1996&lt;/Year&gt;&lt;RecNum&gt;46&lt;/RecNum&gt;&lt;DisplayText&gt;Greenwood and Nikulin (1996)&lt;/DisplayText&gt;&lt;record&gt;&lt;rec-number&gt;46&lt;/rec-number&gt;&lt;foreign-keys&gt;&lt;key app="EN" db-id="0zxvwf9f6xset3exsr5x2a975zwvztxseprs" timestamp="1458645291"&gt;46&lt;/key&gt;&lt;/foreign-keys&gt;&lt;ref-type name="Book"&gt;6&lt;/ref-type&gt;&lt;contributors&gt;&lt;authors&gt;&lt;author&gt;Greenwood, Priscilla E&lt;/author&gt;&lt;author&gt;Nikulin, Michael S&lt;/author&gt;&lt;/authors&gt;&lt;/contributors&gt;&lt;titles&gt;&lt;title&gt;A guide to chi-squared testing&lt;/title&gt;&lt;/titles&gt;&lt;volume&gt;280&lt;/volume&gt;&lt;dates&gt;&lt;year&gt;1996&lt;/year&gt;&lt;/dates&gt;&lt;publisher&gt;John Wiley &amp;amp; Sons&lt;/publisher&gt;&lt;isbn&gt;047155779X&lt;/isbn&gt;&lt;urls&gt;&lt;/urls&gt;&lt;/record&gt;&lt;/Cite&gt;&lt;/EndNote&gt;</w:instrText>
      </w:r>
      <w:r w:rsidR="003B05AE" w:rsidRPr="003B05AE">
        <w:rPr>
          <w:rFonts w:ascii="Times New Roman" w:hAnsi="Times New Roman" w:cs="Times New Roman"/>
        </w:rPr>
        <w:fldChar w:fldCharType="separate"/>
      </w:r>
      <w:r w:rsidR="003B05AE" w:rsidRPr="003B05AE">
        <w:rPr>
          <w:rFonts w:ascii="Times New Roman" w:hAnsi="Times New Roman" w:cs="Times New Roman"/>
          <w:noProof/>
        </w:rPr>
        <w:t>Greenwood and Nikulin (1996)</w:t>
      </w:r>
      <w:r w:rsidR="003B05AE" w:rsidRPr="003B05AE">
        <w:rPr>
          <w:rFonts w:ascii="Times New Roman" w:hAnsi="Times New Roman" w:cs="Times New Roman"/>
        </w:rPr>
        <w:fldChar w:fldCharType="end"/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A54FED">
        <w:rPr>
          <w:rFonts w:ascii="Times New Roman" w:hAnsi="Times New Roman" w:cs="Times New Roman"/>
        </w:rPr>
        <w:t xml:space="preserve">For this </w:t>
      </w:r>
      <w:r w:rsidR="00694FF1">
        <w:rPr>
          <w:rFonts w:ascii="Times New Roman" w:hAnsi="Times New Roman" w:cs="Times New Roman"/>
        </w:rPr>
        <w:t xml:space="preserve">study </w:t>
      </w:r>
      <w:r w:rsidR="00A54FED">
        <w:rPr>
          <w:rFonts w:ascii="Times New Roman" w:hAnsi="Times New Roman" w:cs="Times New Roman"/>
        </w:rPr>
        <w:t xml:space="preserve">a significance level of </w:t>
      </w:r>
      <m:oMath>
        <m:r>
          <w:rPr>
            <w:rFonts w:ascii="Cambria Math" w:hAnsi="Cambria Math" w:cs="Times New Roman"/>
          </w:rPr>
          <m:t>α=0.05</m:t>
        </m:r>
      </m:oMath>
      <w:r w:rsidR="00A54FED">
        <w:rPr>
          <w:rFonts w:ascii="Times New Roman" w:hAnsi="Times New Roman" w:cs="Times New Roman"/>
        </w:rPr>
        <w:t xml:space="preserve"> was used, with </w:t>
      </w:r>
      <m:oMath>
        <m:r>
          <w:rPr>
            <w:rFonts w:ascii="Cambria Math" w:hAnsi="Cambria Math" w:cs="Times New Roman"/>
          </w:rPr>
          <m:t>r-p-1</m:t>
        </m:r>
      </m:oMath>
      <w:r w:rsidR="00A54FED">
        <w:rPr>
          <w:rFonts w:ascii="Times New Roman" w:hAnsi="Times New Roman" w:cs="Times New Roman"/>
        </w:rPr>
        <w:t xml:space="preserve"> degrees of freedom, where </w:t>
      </w:r>
      <w:r w:rsidR="00A54FED" w:rsidRPr="00A54FED">
        <w:rPr>
          <w:rFonts w:ascii="Times New Roman" w:hAnsi="Times New Roman" w:cs="Times New Roman"/>
          <w:i/>
        </w:rPr>
        <w:t>r</w:t>
      </w:r>
      <w:r w:rsidR="00A54FED">
        <w:rPr>
          <w:rFonts w:ascii="Times New Roman" w:hAnsi="Times New Roman" w:cs="Times New Roman"/>
          <w:i/>
        </w:rPr>
        <w:t xml:space="preserve"> </w:t>
      </w:r>
      <w:r w:rsidR="00A54FED">
        <w:rPr>
          <w:rFonts w:ascii="Times New Roman" w:hAnsi="Times New Roman" w:cs="Times New Roman"/>
        </w:rPr>
        <w:t>is the number of quantiles at which the fit is compared</w:t>
      </w:r>
      <w:r w:rsidR="003C303A">
        <w:rPr>
          <w:rFonts w:ascii="Times New Roman" w:hAnsi="Times New Roman" w:cs="Times New Roman"/>
        </w:rPr>
        <w:t>, 10 is used in all calculations in this study,</w:t>
      </w:r>
      <w:r w:rsidR="00A54FED">
        <w:rPr>
          <w:rFonts w:ascii="Times New Roman" w:hAnsi="Times New Roman" w:cs="Times New Roman"/>
        </w:rPr>
        <w:t xml:space="preserve"> and </w:t>
      </w:r>
      <w:r w:rsidR="00A54FED" w:rsidRPr="00A54FED">
        <w:rPr>
          <w:rFonts w:ascii="Times New Roman" w:hAnsi="Times New Roman" w:cs="Times New Roman"/>
          <w:i/>
        </w:rPr>
        <w:t>p</w:t>
      </w:r>
      <w:r w:rsidR="00A54FED">
        <w:rPr>
          <w:rFonts w:ascii="Times New Roman" w:hAnsi="Times New Roman" w:cs="Times New Roman"/>
        </w:rPr>
        <w:t xml:space="preserve"> is the number of estimated parameters which is 3 for all cases when using the EMGD.</w:t>
      </w:r>
      <w:r w:rsidR="00B83A84">
        <w:rPr>
          <w:rFonts w:ascii="Times New Roman" w:hAnsi="Times New Roman" w:cs="Times New Roman"/>
        </w:rPr>
        <w:t xml:space="preserve"> </w:t>
      </w:r>
      <w:r w:rsidR="003C303A">
        <w:rPr>
          <w:rFonts w:ascii="Times New Roman" w:hAnsi="Times New Roman" w:cs="Times New Roman"/>
        </w:rPr>
        <w:t xml:space="preserve"> The </w:t>
      </w:r>
      <w:r w:rsidR="001F1A26">
        <w:rPr>
          <w:rFonts w:ascii="Times New Roman" w:hAnsi="Times New Roman" w:cs="Times New Roman"/>
        </w:rPr>
        <w:t>critical value is taken from the Chi-squared tables with 6 degrees of freedom at a significance level of 0.05 which corresponds to a critical value of 12.592.</w:t>
      </w:r>
      <w:r w:rsidR="003C303A">
        <w:rPr>
          <w:rFonts w:ascii="Times New Roman" w:hAnsi="Times New Roman" w:cs="Times New Roman"/>
        </w:rPr>
        <w:t xml:space="preserve"> </w:t>
      </w:r>
    </w:p>
    <w:p w14:paraId="082C4B05" w14:textId="190D1916" w:rsidR="00F9686F" w:rsidRDefault="00F9686F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Comparison across ruling periods and rounds</w:t>
      </w:r>
    </w:p>
    <w:p w14:paraId="268826D4" w14:textId="653EA12C" w:rsidR="00F9686F" w:rsidRDefault="00F9686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compare differences across ruling periods and rounds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="00A54FED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probabilistic approach </w:t>
      </w:r>
      <w:r w:rsidR="001F1A26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taken.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probability of a </w:t>
      </w:r>
      <w:r w:rsidR="00A54FED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above a given threshold</w:t>
      </w:r>
      <w:r w:rsidR="00A54FED">
        <w:rPr>
          <w:rFonts w:ascii="Times New Roman" w:hAnsi="Times New Roman" w:cs="Times New Roman"/>
        </w:rPr>
        <w:t xml:space="preserve">, </w:t>
      </w:r>
      <w:r w:rsidR="00A4035F" w:rsidRPr="00D63629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F1A26">
        <w:rPr>
          <w:rFonts w:ascii="Times New Roman" w:hAnsi="Times New Roman" w:cs="Times New Roman"/>
        </w:rPr>
        <w:t>being observed</w:t>
      </w:r>
      <w:r>
        <w:rPr>
          <w:rFonts w:ascii="Times New Roman" w:hAnsi="Times New Roman" w:cs="Times New Roman"/>
        </w:rPr>
        <w:t xml:space="preserve"> can be expressed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RT≥T</m:t>
                </m:r>
              </m:e>
            </m:d>
          </m:e>
        </m:func>
        <m:r>
          <w:rPr>
            <w:rFonts w:ascii="Cambria Math" w:hAnsi="Cambria Math" w:cs="Times New Roman"/>
          </w:rPr>
          <m:t>=1-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 by the total law of </w:t>
      </w:r>
      <w:r>
        <w:rPr>
          <w:rFonts w:ascii="Times New Roman" w:hAnsi="Times New Roman" w:cs="Times New Roman"/>
        </w:rPr>
        <w:lastRenderedPageBreak/>
        <w:t xml:space="preserve">probability.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turn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the cumulative distribution function</w:t>
      </w:r>
      <w:r w:rsidR="00DB592D">
        <w:rPr>
          <w:rFonts w:ascii="Times New Roman" w:hAnsi="Times New Roman" w:cs="Times New Roman"/>
        </w:rPr>
        <w:t xml:space="preserve"> (CDF)</w:t>
      </w:r>
      <w:r>
        <w:rPr>
          <w:rFonts w:ascii="Times New Roman" w:hAnsi="Times New Roman" w:cs="Times New Roman"/>
        </w:rPr>
        <w:t xml:space="preserve"> of the EMG</w:t>
      </w:r>
      <w:r w:rsidR="00A403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evaluated at </w:t>
      </w:r>
      <w:r w:rsidR="00A4035F" w:rsidRPr="00A4035F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DB592D">
        <w:rPr>
          <w:rFonts w:ascii="Times New Roman" w:hAnsi="Times New Roman" w:cs="Times New Roman"/>
        </w:rPr>
        <w:t xml:space="preserve">CDF </w:t>
      </w:r>
      <w:r>
        <w:rPr>
          <w:rFonts w:ascii="Times New Roman" w:hAnsi="Times New Roman" w:cs="Times New Roman"/>
        </w:rPr>
        <w:t>is formulated by integrating the probab</w:t>
      </w:r>
      <w:r w:rsidR="00DB592D">
        <w:rPr>
          <w:rFonts w:ascii="Times New Roman" w:hAnsi="Times New Roman" w:cs="Times New Roman"/>
        </w:rPr>
        <w:t>ility density function shown above, resulting in the CDF for the EMG</w:t>
      </w:r>
      <w:r w:rsidR="00A4035F">
        <w:rPr>
          <w:rFonts w:ascii="Times New Roman" w:hAnsi="Times New Roman" w:cs="Times New Roman"/>
        </w:rPr>
        <w:t>D</w:t>
      </w:r>
      <w:r w:rsidR="00DB592D">
        <w:rPr>
          <w:rFonts w:ascii="Times New Roman" w:hAnsi="Times New Roman" w:cs="Times New Roman"/>
        </w:rPr>
        <w:t xml:space="preserve"> being</w:t>
      </w:r>
      <w:r w:rsidR="00A4035F">
        <w:rPr>
          <w:rFonts w:ascii="Times New Roman" w:hAnsi="Times New Roman" w:cs="Times New Roman"/>
        </w:rPr>
        <w:t>:</w:t>
      </w:r>
    </w:p>
    <w:p w14:paraId="5E312126" w14:textId="07C8E5DE" w:rsidR="00DB592D" w:rsidRPr="00F9686F" w:rsidRDefault="00DB592D" w:rsidP="00B36723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</m:func>
        </m:oMath>
      </m:oMathPara>
    </w:p>
    <w:p w14:paraId="2E825BD2" w14:textId="0AAAE310" w:rsidR="003B05AE" w:rsidRDefault="00DB592D" w:rsidP="00B36723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A4035F" w:rsidRPr="00A4035F">
        <w:rPr>
          <w:rFonts w:ascii="Times New Roman" w:hAnsi="Times New Roman" w:cs="Times New Roman"/>
          <w:i/>
        </w:rPr>
        <w:t xml:space="preserve">T </w:t>
      </w:r>
      <w:r w:rsidR="00A4035F">
        <w:rPr>
          <w:rFonts w:ascii="Times New Roman" w:hAnsi="Times New Roman" w:cs="Times New Roman"/>
        </w:rPr>
        <w:t xml:space="preserve">is the threshold of interest, </w:t>
      </w:r>
      <w:r>
        <w:rPr>
          <w:rFonts w:ascii="Times New Roman" w:hAnsi="Times New Roman" w:cs="Times New Roman"/>
        </w:rPr>
        <w:t>µ, σ and τ are the parameters of the EMG</w:t>
      </w:r>
      <w:r w:rsidR="00A4035F">
        <w:rPr>
          <w:rFonts w:ascii="Times New Roman" w:hAnsi="Times New Roman" w:cs="Times New Roman"/>
        </w:rPr>
        <w:t>D defined earlier</w:t>
      </w:r>
      <w:r>
        <w:rPr>
          <w:rFonts w:ascii="Times New Roman" w:hAnsi="Times New Roman" w:cs="Times New Roman"/>
        </w:rPr>
        <w:t xml:space="preserve"> and Φ is </w:t>
      </w:r>
      <w:r w:rsidR="00A4035F">
        <w:rPr>
          <w:rFonts w:ascii="Times New Roman" w:hAnsi="Times New Roman" w:cs="Times New Roman"/>
        </w:rPr>
        <w:t xml:space="preserve">again </w:t>
      </w:r>
      <w:r>
        <w:rPr>
          <w:rFonts w:ascii="Times New Roman" w:hAnsi="Times New Roman" w:cs="Times New Roman"/>
        </w:rPr>
        <w:t>the CDF of the standard normal distribution.</w:t>
      </w:r>
    </w:p>
    <w:p w14:paraId="78447D8F" w14:textId="6984DFE4" w:rsidR="003B0453" w:rsidRDefault="003B045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Revision of the False St</w:t>
      </w:r>
      <w:r w:rsidR="00FB4F3D">
        <w:rPr>
          <w:rFonts w:ascii="Times New Roman" w:hAnsi="Times New Roman" w:cs="Times New Roman"/>
          <w:b/>
          <w:i/>
        </w:rPr>
        <w:t>art Detection Threshold</w:t>
      </w:r>
    </w:p>
    <w:p w14:paraId="298E118F" w14:textId="3AB4BC42" w:rsidR="00FB4F3D" w:rsidRPr="00FB4F3D" w:rsidRDefault="00FB4F3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</w:t>
      </w:r>
      <w:r w:rsidR="00C7609C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 xml:space="preserve">and </w:t>
      </w:r>
      <w:r w:rsidR="00C7609C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 xml:space="preserve">, an EMGD was estimated to fit the </w:t>
      </w:r>
      <w:r w:rsidR="00835861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 xml:space="preserve"> specific RTs across all ruling periods.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 CDF of the EMGD presented earlier was utilised to find the threshold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which 99% of the observed RTs lay above.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identified threshold </w:t>
      </w:r>
      <w:commentRangeStart w:id="0"/>
      <w:r>
        <w:rPr>
          <w:rFonts w:ascii="Times New Roman" w:hAnsi="Times New Roman" w:cs="Times New Roman"/>
        </w:rPr>
        <w:t xml:space="preserve">is the authors’ proposal </w:t>
      </w:r>
      <w:commentRangeEnd w:id="0"/>
      <w:r w:rsidR="004A4340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of the true quickest possible RT by an elite athlete under the current technology set down by the IAAF.</w:t>
      </w:r>
    </w:p>
    <w:p w14:paraId="6AF3423C" w14:textId="1DCB5F51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Results</w:t>
      </w:r>
    </w:p>
    <w:p w14:paraId="53F8DEA1" w14:textId="2661E4A5" w:rsidR="00A56E00" w:rsidRDefault="00273283" w:rsidP="00B36723">
      <w:pPr>
        <w:spacing w:line="480" w:lineRule="auto"/>
        <w:rPr>
          <w:rFonts w:ascii="Times New Roman" w:hAnsi="Times New Roman" w:cs="Times New Roman"/>
        </w:rPr>
      </w:pPr>
      <w:r w:rsidRPr="00273283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 xml:space="preserve">1 </w:t>
      </w:r>
      <w:r w:rsidRPr="00273283">
        <w:rPr>
          <w:rFonts w:ascii="Times New Roman" w:hAnsi="Times New Roman" w:cs="Times New Roman"/>
        </w:rPr>
        <w:t xml:space="preserve">provides </w:t>
      </w:r>
      <w:r w:rsidR="005B4594">
        <w:rPr>
          <w:rFonts w:ascii="Times New Roman" w:hAnsi="Times New Roman" w:cs="Times New Roman"/>
        </w:rPr>
        <w:t xml:space="preserve">descriptive </w:t>
      </w:r>
      <w:r w:rsidRPr="00273283">
        <w:rPr>
          <w:rFonts w:ascii="Times New Roman" w:hAnsi="Times New Roman" w:cs="Times New Roman"/>
        </w:rPr>
        <w:t xml:space="preserve">statistics for the </w:t>
      </w:r>
      <w:r w:rsidR="00750BB6">
        <w:rPr>
          <w:rFonts w:ascii="Times New Roman" w:hAnsi="Times New Roman" w:cs="Times New Roman"/>
        </w:rPr>
        <w:t>RTs</w:t>
      </w:r>
      <w:r w:rsidRPr="00273283">
        <w:rPr>
          <w:rFonts w:ascii="Times New Roman" w:hAnsi="Times New Roman" w:cs="Times New Roman"/>
        </w:rPr>
        <w:t xml:space="preserve"> of elite sprinters </w:t>
      </w:r>
      <w:r w:rsidR="00750BB6">
        <w:rPr>
          <w:rFonts w:ascii="Times New Roman" w:hAnsi="Times New Roman" w:cs="Times New Roman"/>
        </w:rPr>
        <w:t>relative to</w:t>
      </w:r>
      <w:r w:rsidRPr="00273283">
        <w:rPr>
          <w:rFonts w:ascii="Times New Roman" w:hAnsi="Times New Roman" w:cs="Times New Roman"/>
        </w:rPr>
        <w:t xml:space="preserve"> rule change periods set down by the IAAF </w:t>
      </w:r>
      <w:r w:rsidR="004A4340">
        <w:rPr>
          <w:rFonts w:ascii="Times New Roman" w:hAnsi="Times New Roman" w:cs="Times New Roman"/>
        </w:rPr>
        <w:t>for men and women</w:t>
      </w:r>
      <w:r w:rsidR="00A56E00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 xml:space="preserve">The median and its confidence band are reported as a positive skew was observed in the RTs.  </w:t>
      </w:r>
      <w:r w:rsidR="00A56E00">
        <w:rPr>
          <w:rFonts w:ascii="Times New Roman" w:hAnsi="Times New Roman" w:cs="Times New Roman"/>
        </w:rPr>
        <w:t xml:space="preserve">The rows of the table represent the combination of ruling period and sex. </w:t>
      </w:r>
      <w:r w:rsidR="00B83A84">
        <w:rPr>
          <w:rFonts w:ascii="Times New Roman" w:hAnsi="Times New Roman" w:cs="Times New Roman"/>
        </w:rPr>
        <w:t xml:space="preserve"> </w:t>
      </w:r>
      <w:r w:rsidR="00A56E00">
        <w:rPr>
          <w:rFonts w:ascii="Times New Roman" w:hAnsi="Times New Roman" w:cs="Times New Roman"/>
        </w:rPr>
        <w:t xml:space="preserve">The columns provide the number of observations, the median, a 95% confidence interval around the median and the number of false starts recorded in the period. </w:t>
      </w:r>
    </w:p>
    <w:p w14:paraId="466660A9" w14:textId="083F5C69" w:rsidR="00A56E00" w:rsidRDefault="005B459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B2D3C">
        <w:rPr>
          <w:rFonts w:ascii="Times New Roman" w:hAnsi="Times New Roman" w:cs="Times New Roman"/>
        </w:rPr>
        <w:t>ox</w:t>
      </w:r>
      <w:r w:rsidR="001B2D3C" w:rsidRPr="001B2D3C">
        <w:rPr>
          <w:rFonts w:ascii="Times New Roman" w:hAnsi="Times New Roman" w:cs="Times New Roman"/>
        </w:rPr>
        <w:t>-and-whisker plot</w:t>
      </w:r>
      <w:r w:rsidR="00750BB6">
        <w:rPr>
          <w:rFonts w:ascii="Times New Roman" w:hAnsi="Times New Roman" w:cs="Times New Roman"/>
        </w:rPr>
        <w:t>s</w:t>
      </w:r>
      <w:r w:rsidR="001B2D3C" w:rsidRPr="001B2D3C">
        <w:rPr>
          <w:rFonts w:ascii="Times New Roman" w:hAnsi="Times New Roman" w:cs="Times New Roman"/>
        </w:rPr>
        <w:t xml:space="preserve"> for the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by</w:t>
      </w:r>
      <w:r w:rsidR="001B2D3C">
        <w:rPr>
          <w:rFonts w:ascii="Times New Roman" w:hAnsi="Times New Roman" w:cs="Times New Roman"/>
        </w:rPr>
        <w:t xml:space="preserve"> ruling period </w:t>
      </w:r>
      <w:r w:rsidR="00750BB6">
        <w:rPr>
          <w:rFonts w:ascii="Times New Roman" w:hAnsi="Times New Roman" w:cs="Times New Roman"/>
        </w:rPr>
        <w:t xml:space="preserve">are </w:t>
      </w:r>
      <w:r w:rsidR="001B2D3C">
        <w:rPr>
          <w:rFonts w:ascii="Times New Roman" w:hAnsi="Times New Roman" w:cs="Times New Roman"/>
        </w:rPr>
        <w:t>presented in F</w:t>
      </w:r>
      <w:r w:rsidR="001B2D3C" w:rsidRPr="001B2D3C">
        <w:rPr>
          <w:rFonts w:ascii="Times New Roman" w:hAnsi="Times New Roman" w:cs="Times New Roman"/>
        </w:rPr>
        <w:t xml:space="preserve">igure </w:t>
      </w:r>
      <w:r w:rsidR="001B2D3C">
        <w:rPr>
          <w:rFonts w:ascii="Times New Roman" w:hAnsi="Times New Roman" w:cs="Times New Roman"/>
        </w:rPr>
        <w:t>1</w:t>
      </w:r>
      <w:r w:rsidR="001B2D3C" w:rsidRPr="001B2D3C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left panel represents the </w:t>
      </w:r>
      <w:r w:rsidR="00835861">
        <w:rPr>
          <w:rFonts w:ascii="Times New Roman" w:hAnsi="Times New Roman" w:cs="Times New Roman"/>
        </w:rPr>
        <w:t>men</w:t>
      </w:r>
      <w:r w:rsidR="0072453D">
        <w:rPr>
          <w:rFonts w:ascii="Times New Roman" w:hAnsi="Times New Roman" w:cs="Times New Roman"/>
        </w:rPr>
        <w:t xml:space="preserve"> while the </w:t>
      </w:r>
      <w:r w:rsidR="00835861">
        <w:rPr>
          <w:rFonts w:ascii="Times New Roman" w:hAnsi="Times New Roman" w:cs="Times New Roman"/>
        </w:rPr>
        <w:t>women</w:t>
      </w:r>
      <w:r w:rsidR="0072453D">
        <w:rPr>
          <w:rFonts w:ascii="Times New Roman" w:hAnsi="Times New Roman" w:cs="Times New Roman"/>
        </w:rPr>
        <w:t xml:space="preserve"> are presented in the right panel.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</w:t>
      </w:r>
      <w:r w:rsidR="0072453D" w:rsidRPr="002C119D">
        <w:rPr>
          <w:rFonts w:ascii="Times New Roman" w:hAnsi="Times New Roman" w:cs="Times New Roman"/>
          <w:i/>
        </w:rPr>
        <w:t>x</w:t>
      </w:r>
      <w:r w:rsidR="0072453D">
        <w:rPr>
          <w:rFonts w:ascii="Times New Roman" w:hAnsi="Times New Roman" w:cs="Times New Roman"/>
        </w:rPr>
        <w:t xml:space="preserve">-axis for both panels corresponds to the three ruling periods with the </w:t>
      </w:r>
      <w:r w:rsidR="0072453D">
        <w:rPr>
          <w:rFonts w:ascii="Times New Roman" w:hAnsi="Times New Roman" w:cs="Times New Roman"/>
        </w:rPr>
        <w:lastRenderedPageBreak/>
        <w:t xml:space="preserve">commonly scaled </w:t>
      </w:r>
      <w:r w:rsidR="0072453D" w:rsidRPr="002C119D">
        <w:rPr>
          <w:rFonts w:ascii="Times New Roman" w:hAnsi="Times New Roman" w:cs="Times New Roman"/>
          <w:i/>
        </w:rPr>
        <w:t>y</w:t>
      </w:r>
      <w:r w:rsidR="0072453D">
        <w:rPr>
          <w:rFonts w:ascii="Times New Roman" w:hAnsi="Times New Roman" w:cs="Times New Roman"/>
        </w:rPr>
        <w:t xml:space="preserve">-axis representing </w:t>
      </w:r>
      <w:r w:rsidR="002C119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in milliseconds. </w:t>
      </w:r>
      <w:r w:rsidR="00B83A84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>The horizo</w:t>
      </w:r>
      <w:r w:rsidR="001B2D3C">
        <w:rPr>
          <w:rFonts w:ascii="Times New Roman" w:hAnsi="Times New Roman" w:cs="Times New Roman"/>
        </w:rPr>
        <w:t>ntal dashed line at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denotes the cu</w:t>
      </w:r>
      <w:r w:rsidR="001B2D3C">
        <w:rPr>
          <w:rFonts w:ascii="Times New Roman" w:hAnsi="Times New Roman" w:cs="Times New Roman"/>
        </w:rPr>
        <w:t xml:space="preserve">rrent disqualification limit – </w:t>
      </w:r>
      <w:r w:rsidR="001B2D3C" w:rsidRPr="001B2D3C">
        <w:rPr>
          <w:rFonts w:ascii="Times New Roman" w:hAnsi="Times New Roman" w:cs="Times New Roman"/>
        </w:rPr>
        <w:t xml:space="preserve">while </w:t>
      </w:r>
      <w:r w:rsidR="002C119D">
        <w:rPr>
          <w:rFonts w:ascii="Times New Roman" w:hAnsi="Times New Roman" w:cs="Times New Roman"/>
        </w:rPr>
        <w:t>RTs</w:t>
      </w:r>
      <w:r w:rsidR="001B2D3C">
        <w:rPr>
          <w:rFonts w:ascii="Times New Roman" w:hAnsi="Times New Roman" w:cs="Times New Roman"/>
        </w:rPr>
        <w:t xml:space="preserve"> are recorded below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they correspond to false starts which are not a true reflection of the </w:t>
      </w:r>
      <w:r w:rsidR="00750BB6">
        <w:rPr>
          <w:rFonts w:ascii="Times New Roman" w:hAnsi="Times New Roman" w:cs="Times New Roman"/>
        </w:rPr>
        <w:t>shortest</w:t>
      </w:r>
      <w:r w:rsidR="00750BB6" w:rsidRPr="001B2D3C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 xml:space="preserve">valid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in elite </w:t>
      </w:r>
      <w:r w:rsidR="002C119D" w:rsidRPr="001B2D3C">
        <w:rPr>
          <w:rFonts w:ascii="Times New Roman" w:hAnsi="Times New Roman" w:cs="Times New Roman"/>
        </w:rPr>
        <w:t>athlet</w:t>
      </w:r>
      <w:r w:rsidR="002C119D">
        <w:rPr>
          <w:rFonts w:ascii="Times New Roman" w:hAnsi="Times New Roman" w:cs="Times New Roman"/>
        </w:rPr>
        <w:t>ics</w:t>
      </w:r>
      <w:r w:rsidR="00B83A84">
        <w:rPr>
          <w:rFonts w:ascii="Times New Roman" w:hAnsi="Times New Roman" w:cs="Times New Roman"/>
        </w:rPr>
        <w:t xml:space="preserve">.  </w:t>
      </w:r>
      <w:r w:rsidR="00062750">
        <w:rPr>
          <w:rFonts w:ascii="Times New Roman" w:hAnsi="Times New Roman" w:cs="Times New Roman"/>
        </w:rPr>
        <w:t>The circled numbers below the threshold line provide the number of disqualifications due to false starts relative to sex and ruling period.</w:t>
      </w:r>
    </w:p>
    <w:tbl>
      <w:tblPr>
        <w:tblStyle w:val="TableGrid"/>
        <w:tblW w:w="8541" w:type="dxa"/>
        <w:tblLook w:val="04A0" w:firstRow="1" w:lastRow="0" w:firstColumn="1" w:lastColumn="0" w:noHBand="0" w:noVBand="1"/>
      </w:tblPr>
      <w:tblGrid>
        <w:gridCol w:w="1308"/>
        <w:gridCol w:w="1542"/>
        <w:gridCol w:w="943"/>
        <w:gridCol w:w="1103"/>
        <w:gridCol w:w="1844"/>
        <w:gridCol w:w="1801"/>
      </w:tblGrid>
      <w:tr w:rsidR="00F675AF" w:rsidRPr="00F675AF" w14:paraId="55655B7B" w14:textId="77777777" w:rsidTr="00F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8" w:type="dxa"/>
          </w:tcPr>
          <w:p w14:paraId="42182795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1542" w:type="dxa"/>
          </w:tcPr>
          <w:p w14:paraId="33B34410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Ruling Period</w:t>
            </w:r>
          </w:p>
        </w:tc>
        <w:tc>
          <w:tcPr>
            <w:tcW w:w="943" w:type="dxa"/>
          </w:tcPr>
          <w:p w14:paraId="7F46F7D8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1103" w:type="dxa"/>
          </w:tcPr>
          <w:p w14:paraId="609F1819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Median</w:t>
            </w:r>
          </w:p>
        </w:tc>
        <w:tc>
          <w:tcPr>
            <w:tcW w:w="1844" w:type="dxa"/>
          </w:tcPr>
          <w:p w14:paraId="526C5005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95% Median CI</w:t>
            </w:r>
          </w:p>
        </w:tc>
        <w:tc>
          <w:tcPr>
            <w:tcW w:w="1801" w:type="dxa"/>
          </w:tcPr>
          <w:p w14:paraId="2046C0F6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675AF">
              <w:rPr>
                <w:rFonts w:ascii="Times New Roman" w:hAnsi="Times New Roman" w:cs="Times New Roman"/>
                <w:b/>
              </w:rPr>
              <w:t>No. False Starts</w:t>
            </w:r>
          </w:p>
        </w:tc>
      </w:tr>
      <w:tr w:rsidR="00F675AF" w:rsidRPr="00F675AF" w14:paraId="45E46235" w14:textId="77777777" w:rsidTr="00F675AF">
        <w:tc>
          <w:tcPr>
            <w:tcW w:w="1308" w:type="dxa"/>
          </w:tcPr>
          <w:p w14:paraId="2C736DC7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Men</w:t>
            </w:r>
          </w:p>
        </w:tc>
        <w:tc>
          <w:tcPr>
            <w:tcW w:w="1542" w:type="dxa"/>
          </w:tcPr>
          <w:p w14:paraId="63473AF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1999-2003</w:t>
            </w:r>
          </w:p>
        </w:tc>
        <w:tc>
          <w:tcPr>
            <w:tcW w:w="943" w:type="dxa"/>
          </w:tcPr>
          <w:p w14:paraId="3EAD0C9D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1407</w:t>
            </w:r>
          </w:p>
        </w:tc>
        <w:tc>
          <w:tcPr>
            <w:tcW w:w="1103" w:type="dxa"/>
          </w:tcPr>
          <w:p w14:paraId="0FC9AD7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151.0</w:t>
            </w:r>
          </w:p>
        </w:tc>
        <w:tc>
          <w:tcPr>
            <w:tcW w:w="1844" w:type="dxa"/>
          </w:tcPr>
          <w:p w14:paraId="470F89B0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(116.0, 230.0)</w:t>
            </w:r>
          </w:p>
        </w:tc>
        <w:tc>
          <w:tcPr>
            <w:tcW w:w="1801" w:type="dxa"/>
          </w:tcPr>
          <w:p w14:paraId="3A220346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</w:t>
            </w:r>
          </w:p>
        </w:tc>
      </w:tr>
      <w:tr w:rsidR="00F675AF" w:rsidRPr="00F675AF" w14:paraId="0E58C373" w14:textId="77777777" w:rsidTr="00F675AF">
        <w:tc>
          <w:tcPr>
            <w:tcW w:w="1308" w:type="dxa"/>
          </w:tcPr>
          <w:p w14:paraId="6598538F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1FCA79A8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2004-2009</w:t>
            </w:r>
          </w:p>
        </w:tc>
        <w:tc>
          <w:tcPr>
            <w:tcW w:w="943" w:type="dxa"/>
          </w:tcPr>
          <w:p w14:paraId="35A9DA4E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1545</w:t>
            </w:r>
          </w:p>
        </w:tc>
        <w:tc>
          <w:tcPr>
            <w:tcW w:w="1103" w:type="dxa"/>
          </w:tcPr>
          <w:p w14:paraId="5028A59F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155.0</w:t>
            </w:r>
          </w:p>
        </w:tc>
        <w:tc>
          <w:tcPr>
            <w:tcW w:w="1844" w:type="dxa"/>
          </w:tcPr>
          <w:p w14:paraId="4266A2F2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(121.0, 250.0)</w:t>
            </w:r>
          </w:p>
        </w:tc>
        <w:tc>
          <w:tcPr>
            <w:tcW w:w="1801" w:type="dxa"/>
          </w:tcPr>
          <w:p w14:paraId="7686041D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0</w:t>
            </w:r>
          </w:p>
        </w:tc>
      </w:tr>
      <w:tr w:rsidR="00F675AF" w:rsidRPr="00F675AF" w14:paraId="1B32CC1F" w14:textId="77777777" w:rsidTr="00F675AF">
        <w:tc>
          <w:tcPr>
            <w:tcW w:w="1308" w:type="dxa"/>
          </w:tcPr>
          <w:p w14:paraId="7E4ED07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309F6BB3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943" w:type="dxa"/>
          </w:tcPr>
          <w:p w14:paraId="6EF37430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1608</w:t>
            </w:r>
          </w:p>
        </w:tc>
        <w:tc>
          <w:tcPr>
            <w:tcW w:w="1103" w:type="dxa"/>
          </w:tcPr>
          <w:p w14:paraId="0CBD3E3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161.0</w:t>
            </w:r>
          </w:p>
        </w:tc>
        <w:tc>
          <w:tcPr>
            <w:tcW w:w="1844" w:type="dxa"/>
          </w:tcPr>
          <w:p w14:paraId="53078EE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(128.0, 282.7)</w:t>
            </w:r>
          </w:p>
        </w:tc>
        <w:tc>
          <w:tcPr>
            <w:tcW w:w="1801" w:type="dxa"/>
          </w:tcPr>
          <w:p w14:paraId="6401269A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8</w:t>
            </w:r>
          </w:p>
        </w:tc>
      </w:tr>
      <w:tr w:rsidR="00F675AF" w:rsidRPr="00F675AF" w14:paraId="4158556E" w14:textId="77777777" w:rsidTr="00F675AF">
        <w:tc>
          <w:tcPr>
            <w:tcW w:w="1308" w:type="dxa"/>
          </w:tcPr>
          <w:p w14:paraId="06CD838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1542" w:type="dxa"/>
          </w:tcPr>
          <w:p w14:paraId="153A8EDC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1999-2003</w:t>
            </w:r>
          </w:p>
        </w:tc>
        <w:tc>
          <w:tcPr>
            <w:tcW w:w="943" w:type="dxa"/>
          </w:tcPr>
          <w:p w14:paraId="02873ABC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1160</w:t>
            </w:r>
          </w:p>
        </w:tc>
        <w:tc>
          <w:tcPr>
            <w:tcW w:w="1103" w:type="dxa"/>
          </w:tcPr>
          <w:p w14:paraId="18E4E33D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153.0</w:t>
            </w:r>
          </w:p>
        </w:tc>
        <w:tc>
          <w:tcPr>
            <w:tcW w:w="1844" w:type="dxa"/>
          </w:tcPr>
          <w:p w14:paraId="1FEE63B2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(119.0, 244.0)</w:t>
            </w:r>
          </w:p>
        </w:tc>
        <w:tc>
          <w:tcPr>
            <w:tcW w:w="1801" w:type="dxa"/>
          </w:tcPr>
          <w:p w14:paraId="1773678D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0</w:t>
            </w:r>
          </w:p>
        </w:tc>
      </w:tr>
      <w:tr w:rsidR="00F675AF" w:rsidRPr="00F675AF" w14:paraId="04B85F2A" w14:textId="77777777" w:rsidTr="00F675AF">
        <w:tc>
          <w:tcPr>
            <w:tcW w:w="1308" w:type="dxa"/>
          </w:tcPr>
          <w:p w14:paraId="74D22231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3C76ABB6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2004-2009</w:t>
            </w:r>
          </w:p>
        </w:tc>
        <w:tc>
          <w:tcPr>
            <w:tcW w:w="943" w:type="dxa"/>
          </w:tcPr>
          <w:p w14:paraId="2FA62CFA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1237</w:t>
            </w:r>
          </w:p>
        </w:tc>
        <w:tc>
          <w:tcPr>
            <w:tcW w:w="1103" w:type="dxa"/>
          </w:tcPr>
          <w:p w14:paraId="15182DB8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161.0</w:t>
            </w:r>
          </w:p>
        </w:tc>
        <w:tc>
          <w:tcPr>
            <w:tcW w:w="1844" w:type="dxa"/>
          </w:tcPr>
          <w:p w14:paraId="5B9E967A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(126.2, 256.8)</w:t>
            </w:r>
          </w:p>
        </w:tc>
        <w:tc>
          <w:tcPr>
            <w:tcW w:w="1801" w:type="dxa"/>
          </w:tcPr>
          <w:p w14:paraId="6DFFADB8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0</w:t>
            </w:r>
          </w:p>
        </w:tc>
      </w:tr>
      <w:tr w:rsidR="00F675AF" w:rsidRPr="00F675AF" w14:paraId="28419FFA" w14:textId="77777777" w:rsidTr="00F675AF">
        <w:tc>
          <w:tcPr>
            <w:tcW w:w="1308" w:type="dxa"/>
          </w:tcPr>
          <w:p w14:paraId="3027705A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740DF8F8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943" w:type="dxa"/>
          </w:tcPr>
          <w:p w14:paraId="57153ED9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1602</w:t>
            </w:r>
          </w:p>
        </w:tc>
        <w:tc>
          <w:tcPr>
            <w:tcW w:w="1103" w:type="dxa"/>
          </w:tcPr>
          <w:p w14:paraId="6518F54E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168.0</w:t>
            </w:r>
          </w:p>
        </w:tc>
        <w:tc>
          <w:tcPr>
            <w:tcW w:w="1844" w:type="dxa"/>
          </w:tcPr>
          <w:p w14:paraId="09878F73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(130.0, 278.0)</w:t>
            </w:r>
          </w:p>
        </w:tc>
        <w:tc>
          <w:tcPr>
            <w:tcW w:w="1801" w:type="dxa"/>
          </w:tcPr>
          <w:p w14:paraId="3096E7A6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</w:t>
            </w:r>
          </w:p>
        </w:tc>
      </w:tr>
      <w:tr w:rsidR="00F675AF" w:rsidRPr="00F675AF" w14:paraId="2D8F88C0" w14:textId="77777777" w:rsidTr="00F675AF">
        <w:tc>
          <w:tcPr>
            <w:tcW w:w="1308" w:type="dxa"/>
          </w:tcPr>
          <w:p w14:paraId="78A2F709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42" w:type="dxa"/>
          </w:tcPr>
          <w:p w14:paraId="1EEBFD79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1999-2014</w:t>
            </w:r>
          </w:p>
        </w:tc>
        <w:tc>
          <w:tcPr>
            <w:tcW w:w="943" w:type="dxa"/>
          </w:tcPr>
          <w:p w14:paraId="5E67BF55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8559</w:t>
            </w:r>
          </w:p>
        </w:tc>
        <w:tc>
          <w:tcPr>
            <w:tcW w:w="1103" w:type="dxa"/>
          </w:tcPr>
          <w:p w14:paraId="4D23F872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159.0</w:t>
            </w:r>
          </w:p>
        </w:tc>
        <w:tc>
          <w:tcPr>
            <w:tcW w:w="1844" w:type="dxa"/>
          </w:tcPr>
          <w:p w14:paraId="77FEFBB6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(122.0, 259.0)</w:t>
            </w:r>
          </w:p>
        </w:tc>
        <w:tc>
          <w:tcPr>
            <w:tcW w:w="1801" w:type="dxa"/>
          </w:tcPr>
          <w:p w14:paraId="0C0B6E34" w14:textId="77777777" w:rsidR="00F675AF" w:rsidRPr="00F675AF" w:rsidRDefault="00F675AF" w:rsidP="00F675AF">
            <w:pPr>
              <w:keepNext/>
              <w:contextualSpacing/>
              <w:rPr>
                <w:rFonts w:ascii="Times New Roman" w:hAnsi="Times New Roman" w:cs="Times New Roman"/>
              </w:rPr>
            </w:pPr>
            <w:r w:rsidRPr="00F675AF">
              <w:rPr>
                <w:rFonts w:ascii="Times New Roman" w:hAnsi="Times New Roman" w:cs="Times New Roman"/>
              </w:rPr>
              <w:t>10</w:t>
            </w:r>
          </w:p>
        </w:tc>
      </w:tr>
    </w:tbl>
    <w:p w14:paraId="767DE8A4" w14:textId="77777777" w:rsidR="00F675AF" w:rsidRPr="00F675AF" w:rsidRDefault="00F675AF" w:rsidP="00F675AF">
      <w:pPr>
        <w:spacing w:after="200"/>
        <w:jc w:val="center"/>
        <w:rPr>
          <w:rFonts w:ascii="Times New Roman" w:eastAsia="Calibri" w:hAnsi="Times New Roman" w:cs="Times New Roman"/>
          <w:bCs/>
          <w:sz w:val="20"/>
          <w:szCs w:val="18"/>
        </w:rPr>
      </w:pP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t xml:space="preserve">Table </w:t>
      </w: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fldChar w:fldCharType="begin"/>
      </w: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instrText xml:space="preserve"> SEQ Table \* ARABIC </w:instrText>
      </w: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fldChar w:fldCharType="separate"/>
      </w:r>
      <w:r>
        <w:rPr>
          <w:rFonts w:ascii="Times New Roman" w:eastAsia="Calibri" w:hAnsi="Times New Roman" w:cs="Times New Roman"/>
          <w:b/>
          <w:bCs/>
          <w:noProof/>
          <w:sz w:val="20"/>
          <w:szCs w:val="18"/>
        </w:rPr>
        <w:t>1</w:t>
      </w: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fldChar w:fldCharType="end"/>
      </w:r>
      <w:r w:rsidRPr="00F675AF">
        <w:rPr>
          <w:rFonts w:ascii="Times New Roman" w:eastAsia="Calibri" w:hAnsi="Times New Roman" w:cs="Times New Roman"/>
          <w:b/>
          <w:bCs/>
          <w:sz w:val="20"/>
          <w:szCs w:val="18"/>
        </w:rPr>
        <w:t>:</w:t>
      </w:r>
      <w:r w:rsidRPr="00F675AF">
        <w:rPr>
          <w:rFonts w:ascii="Times New Roman" w:eastAsia="Calibri" w:hAnsi="Times New Roman" w:cs="Times New Roman"/>
          <w:bCs/>
          <w:sz w:val="20"/>
          <w:szCs w:val="18"/>
        </w:rPr>
        <w:t xml:space="preserve"> Descriptive Statistics for RT data (</w:t>
      </w:r>
      <w:proofErr w:type="spellStart"/>
      <w:r w:rsidRPr="00F675AF">
        <w:rPr>
          <w:rFonts w:ascii="Times New Roman" w:eastAsia="Calibri" w:hAnsi="Times New Roman" w:cs="Times New Roman"/>
          <w:bCs/>
          <w:sz w:val="20"/>
          <w:szCs w:val="18"/>
        </w:rPr>
        <w:t>ms</w:t>
      </w:r>
      <w:proofErr w:type="spellEnd"/>
      <w:r w:rsidRPr="00F675AF">
        <w:rPr>
          <w:rFonts w:ascii="Times New Roman" w:eastAsia="Calibri" w:hAnsi="Times New Roman" w:cs="Times New Roman"/>
          <w:bCs/>
          <w:sz w:val="20"/>
          <w:szCs w:val="18"/>
        </w:rPr>
        <w:t>).</w:t>
      </w:r>
    </w:p>
    <w:p w14:paraId="0821B038" w14:textId="77777777" w:rsidR="00F675AF" w:rsidRDefault="00F675AF" w:rsidP="00B36723">
      <w:pPr>
        <w:spacing w:line="480" w:lineRule="auto"/>
        <w:rPr>
          <w:rFonts w:ascii="Times New Roman" w:hAnsi="Times New Roman" w:cs="Times New Roman"/>
        </w:rPr>
      </w:pPr>
    </w:p>
    <w:p w14:paraId="4A99AA40" w14:textId="77777777" w:rsidR="00F675AF" w:rsidRDefault="00F675AF" w:rsidP="00F675AF">
      <w:pPr>
        <w:keepNext/>
        <w:spacing w:line="480" w:lineRule="auto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69F80A" wp14:editId="6D1889FE">
            <wp:extent cx="4975225" cy="2487930"/>
            <wp:effectExtent l="25400" t="25400" r="2857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48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1EBA4" w14:textId="77777777" w:rsidR="00F675AF" w:rsidRPr="00F675AF" w:rsidRDefault="00F675AF" w:rsidP="00F675AF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F675AF">
        <w:rPr>
          <w:rFonts w:ascii="Times New Roman" w:hAnsi="Times New Roman" w:cs="Times New Roman"/>
          <w:color w:val="auto"/>
          <w:sz w:val="20"/>
        </w:rPr>
        <w:t xml:space="preserve">Figure </w:t>
      </w:r>
      <w:r w:rsidRPr="00F675AF">
        <w:rPr>
          <w:rFonts w:ascii="Times New Roman" w:hAnsi="Times New Roman" w:cs="Times New Roman"/>
          <w:color w:val="auto"/>
          <w:sz w:val="20"/>
        </w:rPr>
        <w:fldChar w:fldCharType="begin"/>
      </w:r>
      <w:r w:rsidRPr="00F675AF">
        <w:rPr>
          <w:rFonts w:ascii="Times New Roman" w:hAnsi="Times New Roman" w:cs="Times New Roman"/>
          <w:color w:val="auto"/>
          <w:sz w:val="20"/>
        </w:rPr>
        <w:instrText xml:space="preserve"> SEQ Figure \* ARABIC </w:instrText>
      </w:r>
      <w:r w:rsidRPr="00F675AF">
        <w:rPr>
          <w:rFonts w:ascii="Times New Roman" w:hAnsi="Times New Roman" w:cs="Times New Roman"/>
          <w:color w:val="auto"/>
          <w:sz w:val="20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0"/>
        </w:rPr>
        <w:t>1</w:t>
      </w:r>
      <w:r w:rsidRPr="00F675AF">
        <w:rPr>
          <w:rFonts w:ascii="Times New Roman" w:hAnsi="Times New Roman" w:cs="Times New Roman"/>
          <w:color w:val="auto"/>
          <w:sz w:val="20"/>
        </w:rPr>
        <w:fldChar w:fldCharType="end"/>
      </w:r>
      <w:r w:rsidRPr="00F675AF">
        <w:rPr>
          <w:rFonts w:ascii="Times New Roman" w:hAnsi="Times New Roman" w:cs="Times New Roman"/>
          <w:color w:val="auto"/>
          <w:sz w:val="20"/>
        </w:rPr>
        <w:t>:</w: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t xml:space="preserve"> RTs across ruling periods. </w:t>
      </w:r>
    </w:p>
    <w:p w14:paraId="6172D3AD" w14:textId="0CC7871D" w:rsidR="00F675AF" w:rsidRDefault="00F675AF" w:rsidP="00F675AF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F675AF">
        <w:rPr>
          <w:rFonts w:ascii="Times New Roman" w:hAnsi="Times New Roman" w:cs="Times New Roman"/>
          <w:b w:val="0"/>
          <w:color w:val="auto"/>
          <w:sz w:val="20"/>
        </w:rPr>
        <w:t>Box-and-whisker plots of valid RTs of sprinters across World and European Championships 1999-2014.  The numbers circled are the number of disqualifications recorded as false starts.</w:t>
      </w:r>
    </w:p>
    <w:p w14:paraId="5E5172D3" w14:textId="77777777" w:rsidR="00F675AF" w:rsidRPr="00F675AF" w:rsidRDefault="00F675AF" w:rsidP="00F675AF"/>
    <w:p w14:paraId="10085CD4" w14:textId="4EE750D3" w:rsidR="00F675AF" w:rsidRPr="00F675AF" w:rsidRDefault="0084277A" w:rsidP="00F675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84277A">
        <w:rPr>
          <w:rFonts w:ascii="Times New Roman" w:hAnsi="Times New Roman" w:cs="Times New Roman"/>
        </w:rPr>
        <w:t xml:space="preserve"> results of fitting the </w:t>
      </w:r>
      <w:r>
        <w:rPr>
          <w:rFonts w:ascii="Times New Roman" w:hAnsi="Times New Roman" w:cs="Times New Roman"/>
        </w:rPr>
        <w:t>EMG</w:t>
      </w:r>
      <w:r w:rsidR="002C119D">
        <w:rPr>
          <w:rFonts w:ascii="Times New Roman" w:hAnsi="Times New Roman" w:cs="Times New Roman"/>
        </w:rPr>
        <w:t>D</w:t>
      </w:r>
      <w:r w:rsidRPr="0084277A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 w:rsidRPr="0084277A">
        <w:rPr>
          <w:rFonts w:ascii="Times New Roman" w:hAnsi="Times New Roman" w:cs="Times New Roman"/>
        </w:rPr>
        <w:t xml:space="preserve"> in each ruling period</w:t>
      </w:r>
      <w:r>
        <w:rPr>
          <w:rFonts w:ascii="Times New Roman" w:hAnsi="Times New Roman" w:cs="Times New Roman"/>
        </w:rPr>
        <w:t xml:space="preserve"> are provided in Table 2 and Figure 2</w:t>
      </w:r>
      <w:r w:rsidRPr="0084277A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50BB6">
        <w:rPr>
          <w:rFonts w:ascii="Times New Roman" w:hAnsi="Times New Roman" w:cs="Times New Roman"/>
        </w:rPr>
        <w:t>These also</w:t>
      </w:r>
      <w:r>
        <w:rPr>
          <w:rFonts w:ascii="Times New Roman" w:hAnsi="Times New Roman" w:cs="Times New Roman"/>
        </w:rPr>
        <w:t xml:space="preserve"> compare</w:t>
      </w:r>
      <w:r w:rsidRPr="0084277A">
        <w:rPr>
          <w:rFonts w:ascii="Times New Roman" w:hAnsi="Times New Roman" w:cs="Times New Roman"/>
        </w:rPr>
        <w:t xml:space="preserve"> the distributional properties of </w:t>
      </w:r>
      <w:r w:rsidR="00750BB6"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from first round events and finals</w:t>
      </w:r>
      <w:r w:rsidR="002C119D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since </w:t>
      </w:r>
      <w:r w:rsidR="002C119D">
        <w:rPr>
          <w:rFonts w:ascii="Times New Roman" w:hAnsi="Times New Roman" w:cs="Times New Roman"/>
        </w:rPr>
        <w:t xml:space="preserve">races of </w:t>
      </w:r>
      <w:r w:rsidR="004A4340">
        <w:rPr>
          <w:rFonts w:ascii="Times New Roman" w:hAnsi="Times New Roman" w:cs="Times New Roman"/>
        </w:rPr>
        <w:t xml:space="preserve">greater importance </w:t>
      </w:r>
      <w:r w:rsidR="002C119D">
        <w:rPr>
          <w:rFonts w:ascii="Times New Roman" w:hAnsi="Times New Roman" w:cs="Times New Roman"/>
        </w:rPr>
        <w:t xml:space="preserve">may encourage </w:t>
      </w:r>
      <w:r w:rsidR="004A4340">
        <w:rPr>
          <w:rFonts w:ascii="Times New Roman" w:hAnsi="Times New Roman" w:cs="Times New Roman"/>
        </w:rPr>
        <w:t xml:space="preserve">athletes to take risks and </w:t>
      </w:r>
      <w:r w:rsidR="002C119D">
        <w:rPr>
          <w:rFonts w:ascii="Times New Roman" w:hAnsi="Times New Roman" w:cs="Times New Roman"/>
        </w:rPr>
        <w:t>anticipat</w:t>
      </w:r>
      <w:r w:rsidR="004A4340">
        <w:rPr>
          <w:rFonts w:ascii="Times New Roman" w:hAnsi="Times New Roman" w:cs="Times New Roman"/>
        </w:rPr>
        <w:t xml:space="preserve">e </w:t>
      </w:r>
      <w:r w:rsidR="002C119D">
        <w:rPr>
          <w:rFonts w:ascii="Times New Roman" w:hAnsi="Times New Roman" w:cs="Times New Roman"/>
        </w:rPr>
        <w:t>the start</w:t>
      </w:r>
      <w:r w:rsidR="004A4340">
        <w:rPr>
          <w:rFonts w:ascii="Times New Roman" w:hAnsi="Times New Roman" w:cs="Times New Roman"/>
        </w:rPr>
        <w:t xml:space="preserve"> signal</w:t>
      </w:r>
      <w:r w:rsidRPr="00842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>The parameters column presented in Table 2 provide</w:t>
      </w:r>
      <w:r w:rsidR="004A4340">
        <w:rPr>
          <w:rFonts w:ascii="Times New Roman" w:hAnsi="Times New Roman" w:cs="Times New Roman"/>
        </w:rPr>
        <w:t>s</w:t>
      </w:r>
      <w:r w:rsidR="00024C3F">
        <w:rPr>
          <w:rFonts w:ascii="Times New Roman" w:hAnsi="Times New Roman" w:cs="Times New Roman"/>
        </w:rPr>
        <w:t xml:space="preserve"> the maximum likelihood of the best estimates of the EMG</w:t>
      </w:r>
      <w:r w:rsidR="002C119D">
        <w:rPr>
          <w:rFonts w:ascii="Times New Roman" w:hAnsi="Times New Roman" w:cs="Times New Roman"/>
        </w:rPr>
        <w:t>D</w:t>
      </w:r>
      <w:r w:rsidR="00024C3F">
        <w:rPr>
          <w:rFonts w:ascii="Times New Roman" w:hAnsi="Times New Roman" w:cs="Times New Roman"/>
        </w:rPr>
        <w:t xml:space="preserve"> parameters given the data from the </w:t>
      </w:r>
      <w:r w:rsidR="001F1A26">
        <w:rPr>
          <w:rFonts w:ascii="Times New Roman" w:hAnsi="Times New Roman" w:cs="Times New Roman"/>
        </w:rPr>
        <w:t>ruling</w:t>
      </w:r>
      <w:r w:rsidR="00024C3F">
        <w:rPr>
          <w:rFonts w:ascii="Times New Roman" w:hAnsi="Times New Roman" w:cs="Times New Roman"/>
        </w:rPr>
        <w:t xml:space="preserve"> period and </w:t>
      </w:r>
      <w:r w:rsidR="005B4594">
        <w:rPr>
          <w:rFonts w:ascii="Times New Roman" w:hAnsi="Times New Roman" w:cs="Times New Roman"/>
        </w:rPr>
        <w:t>sex</w:t>
      </w:r>
      <w:r w:rsidR="001F1A26">
        <w:rPr>
          <w:rFonts w:ascii="Times New Roman" w:hAnsi="Times New Roman" w:cs="Times New Roman"/>
        </w:rPr>
        <w:t xml:space="preserve"> of interest</w:t>
      </w:r>
      <w:r w:rsidR="002C119D">
        <w:rPr>
          <w:rFonts w:ascii="Times New Roman" w:hAnsi="Times New Roman" w:cs="Times New Roman"/>
        </w:rPr>
        <w:t xml:space="preserve">, </w:t>
      </w:r>
      <w:r w:rsidR="00024C3F">
        <w:rPr>
          <w:rFonts w:ascii="Times New Roman" w:hAnsi="Times New Roman" w:cs="Times New Roman"/>
        </w:rPr>
        <w:t>the properties column</w:t>
      </w:r>
      <w:r w:rsidR="002C119D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 xml:space="preserve">shows the location and scale of the distribution, </w:t>
      </w:r>
      <w:r w:rsidR="00671BC9">
        <w:rPr>
          <w:rFonts w:ascii="Times New Roman" w:hAnsi="Times New Roman" w:cs="Times New Roman"/>
        </w:rPr>
        <w:t>while</w:t>
      </w:r>
      <w:r w:rsidR="00B51922">
        <w:rPr>
          <w:rFonts w:ascii="Times New Roman" w:hAnsi="Times New Roman" w:cs="Times New Roman"/>
        </w:rPr>
        <w:t xml:space="preserve"> the final two</w:t>
      </w:r>
      <w:r w:rsidR="00024C3F">
        <w:rPr>
          <w:rFonts w:ascii="Times New Roman" w:hAnsi="Times New Roman" w:cs="Times New Roman"/>
        </w:rPr>
        <w:t xml:space="preserve"> column</w:t>
      </w:r>
      <w:r w:rsidR="00B51922">
        <w:rPr>
          <w:rFonts w:ascii="Times New Roman" w:hAnsi="Times New Roman" w:cs="Times New Roman"/>
        </w:rPr>
        <w:t>s provide</w:t>
      </w:r>
      <w:r w:rsidR="00024C3F">
        <w:rPr>
          <w:rFonts w:ascii="Times New Roman" w:hAnsi="Times New Roman" w:cs="Times New Roman"/>
        </w:rPr>
        <w:t xml:space="preserve"> a measure of goodness-of-fit of the estimated </w:t>
      </w:r>
      <w:r w:rsidR="001F1A26">
        <w:rPr>
          <w:rFonts w:ascii="Times New Roman" w:hAnsi="Times New Roman" w:cs="Times New Roman"/>
        </w:rPr>
        <w:t>EMGD</w:t>
      </w:r>
      <w:r w:rsidR="00024C3F">
        <w:rPr>
          <w:rFonts w:ascii="Times New Roman" w:hAnsi="Times New Roman" w:cs="Times New Roman"/>
        </w:rPr>
        <w:t xml:space="preserve"> to the observed data</w:t>
      </w:r>
      <w:r w:rsidR="00671BC9">
        <w:rPr>
          <w:rFonts w:ascii="Times New Roman" w:hAnsi="Times New Roman" w:cs="Times New Roman"/>
        </w:rPr>
        <w:t xml:space="preserve"> with the corresponding p-value for the </w:t>
      </w:r>
      <w:r w:rsidR="001F1A26">
        <w:rPr>
          <w:rFonts w:ascii="Times New Roman" w:hAnsi="Times New Roman" w:cs="Times New Roman"/>
        </w:rPr>
        <w:t xml:space="preserve">result of the </w:t>
      </w:r>
      <w:r w:rsidR="00671BC9">
        <w:rPr>
          <w:rFonts w:ascii="Times New Roman" w:hAnsi="Times New Roman" w:cs="Times New Roman"/>
        </w:rPr>
        <w:t>test</w:t>
      </w:r>
      <w:r w:rsidR="0085503C">
        <w:rPr>
          <w:rFonts w:ascii="Times New Roman" w:hAnsi="Times New Roman" w:cs="Times New Roman"/>
        </w:rPr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1530"/>
        <w:gridCol w:w="821"/>
        <w:gridCol w:w="711"/>
        <w:gridCol w:w="711"/>
        <w:gridCol w:w="821"/>
        <w:gridCol w:w="711"/>
        <w:gridCol w:w="711"/>
        <w:gridCol w:w="1087"/>
      </w:tblGrid>
      <w:tr w:rsidR="00F675AF" w:rsidRPr="00F675AF" w14:paraId="3C1AD95D" w14:textId="77777777" w:rsidTr="00DC656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DDE88A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B2EC075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F675AF">
              <w:rPr>
                <w:rFonts w:ascii="Times New Roman" w:hAnsi="Times New Roman" w:cs="Times New Roman"/>
                <w:b/>
                <w:lang w:val="en-IE"/>
              </w:rPr>
              <w:t>Parameters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4B9A4FE6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F675AF">
              <w:rPr>
                <w:rFonts w:ascii="Times New Roman" w:hAnsi="Times New Roman" w:cs="Times New Roman"/>
                <w:b/>
                <w:lang w:val="en-IE"/>
              </w:rPr>
              <w:t>Properties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79F80D15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F675AF">
              <w:rPr>
                <w:rFonts w:ascii="Times New Roman" w:hAnsi="Times New Roman" w:cs="Times New Roman"/>
                <w:b/>
                <w:lang w:val="en-IE"/>
              </w:rPr>
              <w:t>Goodness-of-fit</w:t>
            </w:r>
          </w:p>
        </w:tc>
      </w:tr>
      <w:tr w:rsidR="00F675AF" w:rsidRPr="00F675AF" w14:paraId="46D7708C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118CA4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F675AF">
              <w:rPr>
                <w:rFonts w:ascii="Times New Roman" w:hAnsi="Times New Roman" w:cs="Times New Roman"/>
                <w:b/>
                <w:lang w:val="en-I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554D50D6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F675AF">
              <w:rPr>
                <w:rFonts w:ascii="Times New Roman" w:hAnsi="Times New Roman" w:cs="Times New Roman"/>
                <w:b/>
                <w:lang w:val="en-IE"/>
              </w:rPr>
              <w:t>Ruling Period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1222F2E5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CE3CD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0C4C1A8C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τ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5EA335FD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i/>
                <w:lang w:val="en-IE"/>
              </w:rPr>
            </w:pPr>
            <w:r w:rsidRPr="00F675AF">
              <w:rPr>
                <w:rFonts w:ascii="Times New Roman" w:hAnsi="Times New Roman" w:cs="Times New Roman"/>
                <w:i/>
                <w:lang w:val="en-IE"/>
              </w:rPr>
              <w:t>E</w:t>
            </w:r>
            <w:r w:rsidRPr="00F675AF">
              <w:rPr>
                <w:rFonts w:ascii="Times New Roman" w:hAnsi="Times New Roman" w:cs="Times New Roman"/>
                <w:lang w:val="en-IE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65B0F8A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i/>
                <w:lang w:val="en-IE"/>
              </w:rPr>
              <w:t>s</w:t>
            </w:r>
            <w:r w:rsidRPr="00F675AF">
              <w:rPr>
                <w:rFonts w:ascii="Times New Roman" w:hAnsi="Times New Roman" w:cs="Times New Roman"/>
                <w:lang w:val="en-IE"/>
              </w:rPr>
              <w:t>(X)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5E6FF8CC" w14:textId="77777777" w:rsidR="00F675AF" w:rsidRPr="00F675AF" w:rsidRDefault="00F675AF" w:rsidP="00F675AF">
            <w:pPr>
              <w:contextualSpacing/>
              <w:rPr>
                <w:rFonts w:ascii="Times New Roman" w:hAnsi="Times New Roman" w:cs="Times New Roman"/>
                <w:lang w:val="en-I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IE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I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897E2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p-value</w:t>
            </w:r>
          </w:p>
        </w:tc>
      </w:tr>
      <w:tr w:rsidR="00F675AF" w:rsidRPr="00F675AF" w14:paraId="36D726C2" w14:textId="77777777" w:rsidTr="00DC6566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2059495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Men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3B21FD48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1999-2003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21FE953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132.80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B01615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14.66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044C0411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21.97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7344AAE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154.77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2C5C8E79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26.41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75D280DC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16.03</w:t>
            </w: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14:paraId="27A66E0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0.0136</w:t>
            </w:r>
          </w:p>
        </w:tc>
      </w:tr>
      <w:tr w:rsidR="00F675AF" w:rsidRPr="00F675AF" w14:paraId="417F5B39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6A6C2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F6848D9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2004-2009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EBFAE16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6423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BA6B848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27.76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5F8718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162.52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727496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30.07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9384266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42.87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E580331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F675AF" w:rsidRPr="00F675AF" w14:paraId="01DA8842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B6D40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5FB1E64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2010-2014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DC9E2F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58C6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6B72CDF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32.33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C41335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172.28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C5C5425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34.12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D14F5B9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60.25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78236B5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F675AF" w:rsidRPr="00F675AF" w14:paraId="30B09DE1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A0BBE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191419C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First Rounds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C8EB007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3B26A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DE07D59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33.60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835AE4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168.56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E6C9A4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35.89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766D176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68.53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E7E5C87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F675AF" w:rsidRPr="00F675AF" w14:paraId="2896C987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59DBA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6A0AC02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Final Rounds</w:t>
            </w:r>
          </w:p>
          <w:p w14:paraId="7CF38E7C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6AE200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EDB66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2039665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15.21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EAD7F5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152.51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0FA884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19.71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64BDEC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11.57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7ADFB8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0.0723</w:t>
            </w:r>
          </w:p>
        </w:tc>
      </w:tr>
      <w:tr w:rsidR="00F675AF" w:rsidRPr="00F675AF" w14:paraId="386801A7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DF9F7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Women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2B3BDF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1999-2003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FA483E5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4D6A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88B120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27.62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A3F056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158.94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EBE69F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30.17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9F377F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8.95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C4D9C0A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0.1765</w:t>
            </w:r>
          </w:p>
        </w:tc>
      </w:tr>
      <w:tr w:rsidR="00F675AF" w:rsidRPr="00F675AF" w14:paraId="24503A9E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42B3A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5CB1574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2004-2009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02E49F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98DA9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E8C8DC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31.24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128994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169.56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D8C643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33.43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DECCFA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3.80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0E7B67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0.7039</w:t>
            </w:r>
          </w:p>
        </w:tc>
      </w:tr>
      <w:tr w:rsidR="00F675AF" w:rsidRPr="00F675AF" w14:paraId="3F65C8A2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58023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3719628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2010-2014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79A5566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AEDDE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2141FE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36.51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91810D2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178.33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B4A1B77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38.37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50C602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13.73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D25DD0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0.0328</w:t>
            </w:r>
          </w:p>
        </w:tc>
      </w:tr>
      <w:tr w:rsidR="00F675AF" w:rsidRPr="00F675AF" w14:paraId="5BD7710F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EC10C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CD0CD2B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First Rounds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15B9C01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C7A61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C6F8E90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38.24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EBD1469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176.13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6C4F8DB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40.11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D8BB4F0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7.60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3A92AB0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0.2688</w:t>
            </w:r>
          </w:p>
        </w:tc>
      </w:tr>
      <w:tr w:rsidR="00F675AF" w:rsidRPr="00F675AF" w14:paraId="12E81C3E" w14:textId="77777777" w:rsidTr="00DC6566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4575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A80C2" w14:textId="77777777" w:rsidR="00F675AF" w:rsidRPr="00F675AF" w:rsidRDefault="00F675AF" w:rsidP="00F675AF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Final Rounds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7A51A3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136.90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ADF24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248C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24.15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D9D8BD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161.05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CA83F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27.93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AF4DB5" w14:textId="77777777" w:rsidR="00F675AF" w:rsidRPr="00F675AF" w:rsidRDefault="00F675AF" w:rsidP="00F675AF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7.97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4E3E8" w14:textId="77777777" w:rsidR="00F675AF" w:rsidRPr="00F675AF" w:rsidRDefault="00F675AF" w:rsidP="00F675AF">
            <w:pPr>
              <w:keepNext/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F675AF">
              <w:rPr>
                <w:rFonts w:ascii="Times New Roman" w:hAnsi="Times New Roman" w:cs="Times New Roman"/>
                <w:lang w:val="en-IE"/>
              </w:rPr>
              <w:t>0.2403</w:t>
            </w:r>
          </w:p>
        </w:tc>
      </w:tr>
    </w:tbl>
    <w:p w14:paraId="5D971297" w14:textId="33FC0679" w:rsidR="00F675AF" w:rsidRDefault="00F675AF" w:rsidP="00F675AF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F675AF">
        <w:rPr>
          <w:rFonts w:ascii="Times New Roman" w:hAnsi="Times New Roman" w:cs="Times New Roman"/>
          <w:color w:val="auto"/>
          <w:sz w:val="20"/>
        </w:rPr>
        <w:t xml:space="preserve">Table </w:t>
      </w:r>
      <w:r w:rsidRPr="00F675AF">
        <w:rPr>
          <w:rFonts w:ascii="Times New Roman" w:hAnsi="Times New Roman" w:cs="Times New Roman"/>
          <w:color w:val="auto"/>
          <w:sz w:val="20"/>
        </w:rPr>
        <w:fldChar w:fldCharType="begin"/>
      </w:r>
      <w:r w:rsidRPr="00F675AF">
        <w:rPr>
          <w:rFonts w:ascii="Times New Roman" w:hAnsi="Times New Roman" w:cs="Times New Roman"/>
          <w:color w:val="auto"/>
          <w:sz w:val="20"/>
        </w:rPr>
        <w:instrText xml:space="preserve"> SEQ Table \* ARABIC </w:instrText>
      </w:r>
      <w:r w:rsidRPr="00F675AF">
        <w:rPr>
          <w:rFonts w:ascii="Times New Roman" w:hAnsi="Times New Roman" w:cs="Times New Roman"/>
          <w:color w:val="auto"/>
          <w:sz w:val="20"/>
        </w:rPr>
        <w:fldChar w:fldCharType="separate"/>
      </w:r>
      <w:r w:rsidRPr="00F675AF">
        <w:rPr>
          <w:rFonts w:ascii="Times New Roman" w:hAnsi="Times New Roman" w:cs="Times New Roman"/>
          <w:noProof/>
          <w:color w:val="auto"/>
          <w:sz w:val="20"/>
        </w:rPr>
        <w:t>2</w:t>
      </w:r>
      <w:r w:rsidRPr="00F675AF">
        <w:rPr>
          <w:rFonts w:ascii="Times New Roman" w:hAnsi="Times New Roman" w:cs="Times New Roman"/>
          <w:color w:val="auto"/>
          <w:sz w:val="20"/>
        </w:rPr>
        <w:fldChar w:fldCharType="end"/>
      </w:r>
      <w:r w:rsidRPr="00F675AF">
        <w:rPr>
          <w:rFonts w:ascii="Times New Roman" w:hAnsi="Times New Roman" w:cs="Times New Roman"/>
          <w:color w:val="auto"/>
          <w:sz w:val="20"/>
        </w:rPr>
        <w:t>:</w: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t xml:space="preserve"> Estimated parameters, distributional properties and goodness-of-fit statistics of EMGD</w:t>
      </w:r>
      <w:r>
        <w:rPr>
          <w:rFonts w:ascii="Times New Roman" w:hAnsi="Times New Roman" w:cs="Times New Roman"/>
          <w:b w:val="0"/>
          <w:color w:val="auto"/>
          <w:sz w:val="20"/>
        </w:rPr>
        <w:t>s</w: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t>.</w:t>
      </w:r>
    </w:p>
    <w:p w14:paraId="0AE06A0F" w14:textId="77777777" w:rsidR="00F675AF" w:rsidRPr="00F675AF" w:rsidRDefault="00F675AF" w:rsidP="00F675AF"/>
    <w:p w14:paraId="259119A0" w14:textId="0D55998F" w:rsidR="001B3F98" w:rsidRPr="001B3F98" w:rsidRDefault="0085503C" w:rsidP="00B36723">
      <w:pPr>
        <w:spacing w:line="480" w:lineRule="auto"/>
        <w:rPr>
          <w:rFonts w:ascii="Times New Roman" w:hAnsi="Times New Roman" w:cs="Times New Roman"/>
        </w:rPr>
      </w:pPr>
      <w:r w:rsidRPr="001B3F98">
        <w:rPr>
          <w:rFonts w:ascii="Times New Roman" w:hAnsi="Times New Roman" w:cs="Times New Roman"/>
        </w:rPr>
        <w:t xml:space="preserve">The estimated distributions for ruling periods, first round and finals by </w:t>
      </w:r>
      <w:r w:rsidR="00F1034C">
        <w:rPr>
          <w:rFonts w:ascii="Times New Roman" w:hAnsi="Times New Roman" w:cs="Times New Roman"/>
        </w:rPr>
        <w:t xml:space="preserve">sex </w:t>
      </w:r>
      <w:r w:rsidRPr="001B3F98">
        <w:rPr>
          <w:rFonts w:ascii="Times New Roman" w:hAnsi="Times New Roman" w:cs="Times New Roman"/>
        </w:rPr>
        <w:t xml:space="preserve">are shown in Figure 2. </w:t>
      </w:r>
      <w:r w:rsidR="00B83A84">
        <w:rPr>
          <w:rFonts w:ascii="Times New Roman" w:hAnsi="Times New Roman" w:cs="Times New Roman"/>
        </w:rPr>
        <w:t xml:space="preserve"> </w:t>
      </w:r>
      <w:r w:rsidRPr="001B3F98">
        <w:rPr>
          <w:rFonts w:ascii="Times New Roman" w:hAnsi="Times New Roman" w:cs="Times New Roman"/>
        </w:rPr>
        <w:t>Panel</w:t>
      </w:r>
      <w:r w:rsidR="00F1034C">
        <w:rPr>
          <w:rFonts w:ascii="Times New Roman" w:hAnsi="Times New Roman" w:cs="Times New Roman"/>
        </w:rPr>
        <w:t>s</w:t>
      </w:r>
      <w:r w:rsidRPr="001B3F98">
        <w:rPr>
          <w:rFonts w:ascii="Times New Roman" w:hAnsi="Times New Roman" w:cs="Times New Roman"/>
        </w:rPr>
        <w:t xml:space="preserve"> A and B show the fit for each of the three ruling periods, the dotted line is the fit for the 1999-2003 ruling period, the dashed line is the estimated distribution for the 2004-2009 period, while the immediate disqualification ruling distribution is the solid line. </w:t>
      </w:r>
      <w:r w:rsidR="00B83A84">
        <w:rPr>
          <w:rFonts w:ascii="Times New Roman" w:hAnsi="Times New Roman" w:cs="Times New Roman"/>
        </w:rPr>
        <w:t xml:space="preserve"> </w:t>
      </w:r>
      <w:r w:rsidR="001B3F98" w:rsidRPr="001B3F98">
        <w:rPr>
          <w:rFonts w:ascii="Times New Roman" w:hAnsi="Times New Roman" w:cs="Times New Roman"/>
        </w:rPr>
        <w:t>Panel C and D provide a visualisation of the estimated EMG</w:t>
      </w:r>
      <w:r w:rsidR="00671BC9">
        <w:rPr>
          <w:rFonts w:ascii="Times New Roman" w:hAnsi="Times New Roman" w:cs="Times New Roman"/>
        </w:rPr>
        <w:t>D</w:t>
      </w:r>
      <w:r w:rsidR="001B3F98" w:rsidRPr="001B3F98">
        <w:rPr>
          <w:rFonts w:ascii="Times New Roman" w:hAnsi="Times New Roman" w:cs="Times New Roman"/>
        </w:rPr>
        <w:t xml:space="preserve"> fits for the first round heats, dashed line, and finals, solid line, for both </w:t>
      </w:r>
      <w:r w:rsidR="00835861">
        <w:rPr>
          <w:rFonts w:ascii="Times New Roman" w:hAnsi="Times New Roman" w:cs="Times New Roman"/>
        </w:rPr>
        <w:t>men and women</w:t>
      </w:r>
      <w:r w:rsidR="001B3F98" w:rsidRPr="001B3F98">
        <w:rPr>
          <w:rFonts w:ascii="Times New Roman" w:hAnsi="Times New Roman" w:cs="Times New Roman"/>
        </w:rPr>
        <w:t>.</w:t>
      </w:r>
    </w:p>
    <w:p w14:paraId="06D1536B" w14:textId="77FB20E0" w:rsidR="004B4688" w:rsidRPr="0084277A" w:rsidRDefault="004B4688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probabilistic approach for identifying a difference across ruling periods and rounds is </w:t>
      </w:r>
      <w:r w:rsidR="007D4F6D">
        <w:rPr>
          <w:rFonts w:ascii="Times New Roman" w:hAnsi="Times New Roman" w:cs="Times New Roman"/>
        </w:rPr>
        <w:t>determined</w:t>
      </w:r>
      <w:r>
        <w:rPr>
          <w:rFonts w:ascii="Times New Roman" w:hAnsi="Times New Roman" w:cs="Times New Roman"/>
        </w:rPr>
        <w:t xml:space="preserve"> by calculating the probability of </w:t>
      </w:r>
      <w:r w:rsidR="00584904">
        <w:rPr>
          <w:rFonts w:ascii="Times New Roman" w:hAnsi="Times New Roman" w:cs="Times New Roman"/>
        </w:rPr>
        <w:t xml:space="preserve">observing </w:t>
      </w:r>
      <w:r>
        <w:rPr>
          <w:rFonts w:ascii="Times New Roman" w:hAnsi="Times New Roman" w:cs="Times New Roman"/>
        </w:rPr>
        <w:t xml:space="preserve">a </w:t>
      </w:r>
      <w:r w:rsidR="00584904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greater than 120</w:t>
      </w:r>
      <w:r w:rsidR="00584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ms. For ruling periods the respective probabilities are 0.95, 0.98 and 1.00</w:t>
      </w:r>
      <w:r w:rsidR="00835861">
        <w:rPr>
          <w:rFonts w:ascii="Times New Roman" w:hAnsi="Times New Roman" w:cs="Times New Roman"/>
        </w:rPr>
        <w:t xml:space="preserve"> for men and </w:t>
      </w:r>
      <w:r w:rsidR="00607BA0">
        <w:rPr>
          <w:rFonts w:ascii="Times New Roman" w:hAnsi="Times New Roman" w:cs="Times New Roman"/>
        </w:rPr>
        <w:t>0.97, 0.99 and 1.00</w:t>
      </w:r>
      <w:r w:rsidR="00835861">
        <w:rPr>
          <w:rFonts w:ascii="Times New Roman" w:hAnsi="Times New Roman" w:cs="Times New Roman"/>
        </w:rPr>
        <w:t xml:space="preserve"> for women</w:t>
      </w:r>
      <w:r w:rsidR="00607BA0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 </w:t>
      </w:r>
      <w:r w:rsidR="002D4442">
        <w:rPr>
          <w:rFonts w:ascii="Times New Roman" w:hAnsi="Times New Roman" w:cs="Times New Roman"/>
        </w:rPr>
        <w:t xml:space="preserve">probabilities of observing </w:t>
      </w:r>
      <w:r w:rsidR="007D4F6D">
        <w:rPr>
          <w:rFonts w:ascii="Times New Roman" w:hAnsi="Times New Roman" w:cs="Times New Roman"/>
        </w:rPr>
        <w:t>RTs</w:t>
      </w:r>
      <w:r w:rsidR="002D4442">
        <w:rPr>
          <w:rFonts w:ascii="Times New Roman" w:hAnsi="Times New Roman" w:cs="Times New Roman"/>
        </w:rPr>
        <w:t xml:space="preserve"> above 120</w:t>
      </w:r>
      <w:r w:rsidR="00584904"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ms in first rounds are 0.98 and 0.99 and in finals are</w:t>
      </w:r>
      <w:r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0.98</w:t>
      </w:r>
      <w:r>
        <w:rPr>
          <w:rFonts w:ascii="Times New Roman" w:hAnsi="Times New Roman" w:cs="Times New Roman"/>
        </w:rPr>
        <w:t xml:space="preserve"> and </w:t>
      </w:r>
      <w:r w:rsidR="002D4442">
        <w:rPr>
          <w:rFonts w:ascii="Times New Roman" w:hAnsi="Times New Roman" w:cs="Times New Roman"/>
        </w:rPr>
        <w:t>0.97</w:t>
      </w:r>
      <w:r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respectively.</w:t>
      </w:r>
    </w:p>
    <w:p w14:paraId="7691C64A" w14:textId="2745A567" w:rsidR="003B0453" w:rsidRDefault="003B045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revision of the false start disqualification limit </w:t>
      </w:r>
      <w:r w:rsidR="00FB4F3D">
        <w:rPr>
          <w:rFonts w:ascii="Times New Roman" w:hAnsi="Times New Roman" w:cs="Times New Roman"/>
        </w:rPr>
        <w:t xml:space="preserve">calculated from the historical data relevant to </w:t>
      </w:r>
      <w:r w:rsidR="004A4340">
        <w:rPr>
          <w:rFonts w:ascii="Times New Roman" w:hAnsi="Times New Roman" w:cs="Times New Roman"/>
        </w:rPr>
        <w:t xml:space="preserve">sex </w:t>
      </w:r>
      <w:r w:rsidR="00FB4F3D">
        <w:rPr>
          <w:rFonts w:ascii="Times New Roman" w:hAnsi="Times New Roman" w:cs="Times New Roman"/>
        </w:rPr>
        <w:t xml:space="preserve">resulted in both thresholds exceeding the </w:t>
      </w:r>
      <w:r w:rsidR="004A4340">
        <w:rPr>
          <w:rFonts w:ascii="Times New Roman" w:hAnsi="Times New Roman" w:cs="Times New Roman"/>
        </w:rPr>
        <w:t xml:space="preserve">current </w:t>
      </w:r>
      <w:r w:rsidR="00FB4F3D">
        <w:rPr>
          <w:rFonts w:ascii="Times New Roman" w:hAnsi="Times New Roman" w:cs="Times New Roman"/>
        </w:rPr>
        <w:t xml:space="preserve">100 ms limit. </w:t>
      </w:r>
      <w:r w:rsidR="00B83A84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Men’s event data proposed</w:t>
      </w:r>
      <w:r w:rsidR="00FB4F3D">
        <w:rPr>
          <w:rFonts w:ascii="Times New Roman" w:hAnsi="Times New Roman" w:cs="Times New Roman"/>
        </w:rPr>
        <w:t xml:space="preserve"> a revised limit of 115 ms while the </w:t>
      </w:r>
      <w:r w:rsidR="00835861">
        <w:rPr>
          <w:rFonts w:ascii="Times New Roman" w:hAnsi="Times New Roman" w:cs="Times New Roman"/>
        </w:rPr>
        <w:t>women’s</w:t>
      </w:r>
      <w:r w:rsidR="00FB4F3D">
        <w:rPr>
          <w:rFonts w:ascii="Times New Roman" w:hAnsi="Times New Roman" w:cs="Times New Roman"/>
        </w:rPr>
        <w:t xml:space="preserve"> event data </w:t>
      </w:r>
      <w:r w:rsidR="00835861">
        <w:rPr>
          <w:rFonts w:ascii="Times New Roman" w:hAnsi="Times New Roman" w:cs="Times New Roman"/>
        </w:rPr>
        <w:t>suggested</w:t>
      </w:r>
      <w:r w:rsidR="004A4340">
        <w:rPr>
          <w:rFonts w:ascii="Times New Roman" w:hAnsi="Times New Roman" w:cs="Times New Roman"/>
        </w:rPr>
        <w:t xml:space="preserve"> </w:t>
      </w:r>
      <w:r w:rsidR="00FB4F3D">
        <w:rPr>
          <w:rFonts w:ascii="Times New Roman" w:hAnsi="Times New Roman" w:cs="Times New Roman"/>
        </w:rPr>
        <w:t xml:space="preserve">a limit of 119 </w:t>
      </w:r>
      <w:proofErr w:type="spellStart"/>
      <w:r w:rsidR="00FB4F3D">
        <w:rPr>
          <w:rFonts w:ascii="Times New Roman" w:hAnsi="Times New Roman" w:cs="Times New Roman"/>
        </w:rPr>
        <w:t>ms.</w:t>
      </w:r>
      <w:proofErr w:type="spellEnd"/>
    </w:p>
    <w:p w14:paraId="7ABCFFFE" w14:textId="77777777" w:rsidR="00F675AF" w:rsidRDefault="00F675AF" w:rsidP="00F675AF">
      <w:pPr>
        <w:keepNext/>
        <w:spacing w:line="480" w:lineRule="auto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6E0F67" wp14:editId="28B2D2DF">
            <wp:extent cx="4975225" cy="49752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2E90" w14:textId="0CC61C82" w:rsidR="00F675AF" w:rsidRDefault="00F675AF" w:rsidP="00F675AF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F675AF">
        <w:rPr>
          <w:rFonts w:ascii="Times New Roman" w:hAnsi="Times New Roman" w:cs="Times New Roman"/>
          <w:b w:val="0"/>
          <w:color w:val="auto"/>
          <w:sz w:val="20"/>
        </w:rPr>
        <w:t xml:space="preserve">Figure </w: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fldChar w:fldCharType="begin"/>
      </w:r>
      <w:r w:rsidRPr="00F675AF">
        <w:rPr>
          <w:rFonts w:ascii="Times New Roman" w:hAnsi="Times New Roman" w:cs="Times New Roman"/>
          <w:b w:val="0"/>
          <w:color w:val="auto"/>
          <w:sz w:val="20"/>
        </w:rPr>
        <w:instrText xml:space="preserve"> SEQ Figure \* ARABIC </w:instrTex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fldChar w:fldCharType="separate"/>
      </w:r>
      <w:r w:rsidRPr="00F675AF">
        <w:rPr>
          <w:rFonts w:ascii="Times New Roman" w:hAnsi="Times New Roman" w:cs="Times New Roman"/>
          <w:b w:val="0"/>
          <w:noProof/>
          <w:color w:val="auto"/>
          <w:sz w:val="20"/>
        </w:rPr>
        <w:t>2</w:t>
      </w:r>
      <w:r w:rsidRPr="00F675AF">
        <w:rPr>
          <w:rFonts w:ascii="Times New Roman" w:hAnsi="Times New Roman" w:cs="Times New Roman"/>
          <w:b w:val="0"/>
          <w:color w:val="auto"/>
          <w:sz w:val="20"/>
        </w:rPr>
        <w:fldChar w:fldCharType="end"/>
      </w:r>
      <w:r w:rsidRPr="00F675AF">
        <w:rPr>
          <w:rFonts w:ascii="Times New Roman" w:hAnsi="Times New Roman" w:cs="Times New Roman"/>
          <w:b w:val="0"/>
          <w:color w:val="auto"/>
          <w:sz w:val="20"/>
        </w:rPr>
        <w:t>: EMGD fits to RT data.</w:t>
      </w:r>
    </w:p>
    <w:p w14:paraId="669124EC" w14:textId="27404E44" w:rsidR="00F675AF" w:rsidRDefault="00F675AF" w:rsidP="00F675AF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 w:rsidRPr="00F675AF">
        <w:rPr>
          <w:rFonts w:ascii="Times New Roman" w:hAnsi="Times New Roman" w:cs="Times New Roman"/>
          <w:b w:val="0"/>
          <w:color w:val="auto"/>
          <w:sz w:val="20"/>
        </w:rPr>
        <w:t xml:space="preserve">A and B present the estimated distributions for men and women respectively for the three ruling periods.  The dotted line in each plot relates to the ruling period from 1999-2003, the dashed line represents the introduction of the group warning in January 2004, while the solid line represents the current ruling of automatic disqualification introduced in January 2010.  C and D present the estimated distributions for men and women respectively for first round heats and finals.  The </w:t>
      </w:r>
      <w:bookmarkStart w:id="1" w:name="_GoBack"/>
      <w:bookmarkEnd w:id="1"/>
      <w:r w:rsidRPr="00F675AF">
        <w:rPr>
          <w:rFonts w:ascii="Times New Roman" w:hAnsi="Times New Roman" w:cs="Times New Roman"/>
          <w:b w:val="0"/>
          <w:color w:val="auto"/>
          <w:sz w:val="20"/>
        </w:rPr>
        <w:t>dashed line represents the first round RTs of athletes between 1999 and 2014, while the solid line represents the RTs in the finals of these same events.</w:t>
      </w:r>
    </w:p>
    <w:p w14:paraId="69075287" w14:textId="77777777" w:rsidR="00F675AF" w:rsidRDefault="00F675AF" w:rsidP="00F675AF"/>
    <w:p w14:paraId="58F5FE5A" w14:textId="77777777" w:rsidR="00F675AF" w:rsidRDefault="00F675AF" w:rsidP="00F675AF"/>
    <w:p w14:paraId="702B9F74" w14:textId="77777777" w:rsidR="00F675AF" w:rsidRDefault="00F675AF" w:rsidP="00F675AF"/>
    <w:p w14:paraId="54912066" w14:textId="77777777" w:rsidR="00F675AF" w:rsidRDefault="00F675AF" w:rsidP="00F675AF"/>
    <w:p w14:paraId="5E94BB40" w14:textId="77777777" w:rsidR="00F675AF" w:rsidRPr="00F675AF" w:rsidRDefault="00F675AF" w:rsidP="00F675AF"/>
    <w:p w14:paraId="475BE44C" w14:textId="1E1466C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Discussion</w:t>
      </w:r>
    </w:p>
    <w:p w14:paraId="180FC366" w14:textId="02BD506B" w:rsidR="005D4015" w:rsidRPr="00835861" w:rsidRDefault="002732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95%</w:t>
      </w:r>
      <w:r w:rsidRPr="00273283">
        <w:rPr>
          <w:rFonts w:ascii="Times New Roman" w:hAnsi="Times New Roman" w:cs="Times New Roman"/>
        </w:rPr>
        <w:t xml:space="preserve"> confidence interval </w:t>
      </w:r>
      <w:r w:rsidR="00320751">
        <w:rPr>
          <w:rFonts w:ascii="Times New Roman" w:hAnsi="Times New Roman" w:cs="Times New Roman"/>
        </w:rPr>
        <w:t>for</w:t>
      </w:r>
      <w:r w:rsidR="00320751" w:rsidRPr="00273283">
        <w:rPr>
          <w:rFonts w:ascii="Times New Roman" w:hAnsi="Times New Roman" w:cs="Times New Roman"/>
        </w:rPr>
        <w:t xml:space="preserve"> </w:t>
      </w:r>
      <w:r w:rsidRPr="00273283">
        <w:rPr>
          <w:rFonts w:ascii="Times New Roman" w:hAnsi="Times New Roman" w:cs="Times New Roman"/>
        </w:rPr>
        <w:t>the median</w:t>
      </w:r>
      <w:r w:rsidR="00835861">
        <w:rPr>
          <w:rFonts w:ascii="Times New Roman" w:hAnsi="Times New Roman" w:cs="Times New Roman"/>
        </w:rPr>
        <w:t xml:space="preserve"> RT</w:t>
      </w:r>
      <w:r w:rsidRPr="00273283">
        <w:rPr>
          <w:rFonts w:ascii="Times New Roman" w:hAnsi="Times New Roman" w:cs="Times New Roman"/>
        </w:rPr>
        <w:t xml:space="preserve"> </w:t>
      </w:r>
      <w:r w:rsidR="00320751">
        <w:rPr>
          <w:rFonts w:ascii="Times New Roman" w:hAnsi="Times New Roman" w:cs="Times New Roman"/>
        </w:rPr>
        <w:t>of</w:t>
      </w:r>
      <w:r w:rsidR="00320751" w:rsidRPr="00273283">
        <w:rPr>
          <w:rFonts w:ascii="Times New Roman" w:hAnsi="Times New Roman" w:cs="Times New Roman"/>
        </w:rPr>
        <w:t xml:space="preserve"> </w:t>
      </w:r>
      <w:r w:rsidRPr="00273283">
        <w:rPr>
          <w:rFonts w:ascii="Times New Roman" w:hAnsi="Times New Roman" w:cs="Times New Roman"/>
        </w:rPr>
        <w:t>the enti</w:t>
      </w:r>
      <w:r>
        <w:rPr>
          <w:rFonts w:ascii="Times New Roman" w:hAnsi="Times New Roman" w:cs="Times New Roman"/>
        </w:rPr>
        <w:t>re data shows a lower bound of 122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ms, 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above the threshold set down by the IAAF. </w:t>
      </w:r>
      <w:r w:rsidR="00607BA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 100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 sprint</w:t>
      </w:r>
      <w:r w:rsidR="008052FC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can b</w:t>
      </w:r>
      <w:r>
        <w:rPr>
          <w:rFonts w:ascii="Times New Roman" w:hAnsi="Times New Roman" w:cs="Times New Roman"/>
        </w:rPr>
        <w:t>e a significant advantage</w:t>
      </w:r>
      <w:r w:rsidR="00F1034C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F1034C">
        <w:rPr>
          <w:rFonts w:ascii="Times New Roman" w:hAnsi="Times New Roman" w:cs="Times New Roman"/>
        </w:rPr>
        <w:t>For example</w:t>
      </w:r>
      <w:r w:rsidR="004A4340">
        <w:rPr>
          <w:rFonts w:ascii="Times New Roman" w:hAnsi="Times New Roman" w:cs="Times New Roman"/>
        </w:rPr>
        <w:t>,</w:t>
      </w:r>
      <w:r w:rsidR="00F1034C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the 2012</w:t>
      </w:r>
      <w:r w:rsidRPr="00273283">
        <w:rPr>
          <w:rFonts w:ascii="Times New Roman" w:hAnsi="Times New Roman" w:cs="Times New Roman"/>
        </w:rPr>
        <w:t xml:space="preserve"> Olympic Games in London</w:t>
      </w:r>
      <w:r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winning margin</w:t>
      </w:r>
      <w:r w:rsidR="008052FC">
        <w:rPr>
          <w:rFonts w:ascii="Times New Roman" w:hAnsi="Times New Roman" w:cs="Times New Roman"/>
        </w:rPr>
        <w:t xml:space="preserve"> between the first and second athletes in the women’s 100 m event was</w:t>
      </w:r>
      <w:r>
        <w:rPr>
          <w:rFonts w:ascii="Times New Roman" w:hAnsi="Times New Roman" w:cs="Times New Roman"/>
        </w:rPr>
        <w:t xml:space="preserve"> only 30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="008052FC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and </w:t>
      </w:r>
      <w:r w:rsidR="008052FC">
        <w:rPr>
          <w:rFonts w:ascii="Times New Roman" w:hAnsi="Times New Roman" w:cs="Times New Roman"/>
        </w:rPr>
        <w:t xml:space="preserve">at </w:t>
      </w:r>
      <w:r w:rsidR="004A4340">
        <w:rPr>
          <w:rFonts w:ascii="Times New Roman" w:hAnsi="Times New Roman" w:cs="Times New Roman"/>
        </w:rPr>
        <w:t xml:space="preserve">typical velocity of </w:t>
      </w:r>
      <w:r w:rsidR="008052FC">
        <w:rPr>
          <w:rFonts w:ascii="Times New Roman" w:hAnsi="Times New Roman" w:cs="Times New Roman"/>
        </w:rPr>
        <w:t xml:space="preserve">10 m/s </w:t>
      </w:r>
      <w:r w:rsidR="004A4340">
        <w:rPr>
          <w:rFonts w:ascii="Times New Roman" w:hAnsi="Times New Roman" w:cs="Times New Roman"/>
        </w:rPr>
        <w:t xml:space="preserve">this </w:t>
      </w:r>
      <w:r w:rsidR="00587137">
        <w:rPr>
          <w:rFonts w:ascii="Times New Roman" w:hAnsi="Times New Roman" w:cs="Times New Roman"/>
        </w:rPr>
        <w:t>difference</w:t>
      </w:r>
      <w:r w:rsidR="008052FC">
        <w:rPr>
          <w:rFonts w:ascii="Times New Roman" w:hAnsi="Times New Roman" w:cs="Times New Roman"/>
        </w:rPr>
        <w:t xml:space="preserve"> represents a 30</w:t>
      </w:r>
      <w:r w:rsidR="004A434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cm advantage</w:t>
      </w:r>
      <w:r w:rsidRPr="00273283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0C2A7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 the 100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threshold is subject to not detecting valid false starts</w:t>
      </w:r>
      <w:r w:rsidR="000C2A7A">
        <w:rPr>
          <w:rFonts w:ascii="Times New Roman" w:hAnsi="Times New Roman" w:cs="Times New Roman"/>
        </w:rPr>
        <w:t xml:space="preserve"> an anticipated start could alter the results of an event</w:t>
      </w:r>
      <w:r w:rsidRPr="00273283">
        <w:rPr>
          <w:rFonts w:ascii="Times New Roman" w:hAnsi="Times New Roman" w:cs="Times New Roman"/>
        </w:rPr>
        <w:t>.</w:t>
      </w:r>
      <w:r w:rsidR="009B5C8B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</w:p>
    <w:p w14:paraId="2B0C66D8" w14:textId="1DF8F883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Ruling Periods</w:t>
      </w:r>
    </w:p>
    <w:p w14:paraId="69571FED" w14:textId="0D8DC244" w:rsidR="0006305C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and 95%</w:t>
      </w:r>
      <w:r w:rsidRPr="00A56E00">
        <w:rPr>
          <w:rFonts w:ascii="Times New Roman" w:hAnsi="Times New Roman" w:cs="Times New Roman"/>
        </w:rPr>
        <w:t xml:space="preserve"> confidence band for each </w:t>
      </w:r>
      <w:r>
        <w:rPr>
          <w:rFonts w:ascii="Times New Roman" w:hAnsi="Times New Roman" w:cs="Times New Roman"/>
        </w:rPr>
        <w:t xml:space="preserve">ruling </w:t>
      </w:r>
      <w:r w:rsidRPr="00A56E00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shown in Table 1</w:t>
      </w:r>
      <w:r w:rsidRPr="00A56E00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indicates</w:t>
      </w:r>
      <w:r w:rsidR="003E0A92" w:rsidRPr="00A56E00"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>shift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in the distribution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of athletes in periods </w:t>
      </w:r>
      <w:r>
        <w:rPr>
          <w:rFonts w:ascii="Times New Roman" w:hAnsi="Times New Roman" w:cs="Times New Roman"/>
        </w:rPr>
        <w:t xml:space="preserve">after </w:t>
      </w:r>
      <w:r w:rsidRPr="00A56E00">
        <w:rPr>
          <w:rFonts w:ascii="Times New Roman" w:hAnsi="Times New Roman" w:cs="Times New Roman"/>
        </w:rPr>
        <w:t>a rule change</w:t>
      </w:r>
      <w:r>
        <w:rPr>
          <w:rFonts w:ascii="Times New Roman" w:hAnsi="Times New Roman" w:cs="Times New Roman"/>
        </w:rPr>
        <w:t xml:space="preserve"> of approximately 5 ms for </w:t>
      </w:r>
      <w:r w:rsidR="00835861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>and 7.5 ms</w:t>
      </w:r>
      <w:r w:rsidRPr="00A56E00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>.  While the shift in</w:t>
      </w:r>
      <w:r w:rsidRPr="001B2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RTs</w:t>
      </w:r>
      <w:r w:rsidRPr="001B2D3C">
        <w:rPr>
          <w:rFonts w:ascii="Times New Roman" w:hAnsi="Times New Roman" w:cs="Times New Roman"/>
        </w:rPr>
        <w:t xml:space="preserve"> of spri</w:t>
      </w:r>
      <w:r>
        <w:rPr>
          <w:rFonts w:ascii="Times New Roman" w:hAnsi="Times New Roman" w:cs="Times New Roman"/>
        </w:rPr>
        <w:t>nters after the rule change in 2004</w:t>
      </w:r>
      <w:r w:rsidRPr="001B2D3C">
        <w:rPr>
          <w:rFonts w:ascii="Times New Roman" w:hAnsi="Times New Roman" w:cs="Times New Roman"/>
        </w:rPr>
        <w:t xml:space="preserve"> is not particularly noticeable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lastRenderedPageBreak/>
        <w:t>Figure 1</w:t>
      </w:r>
      <w:r w:rsidRPr="001B2D3C">
        <w:rPr>
          <w:rFonts w:ascii="Times New Roman" w:hAnsi="Times New Roman" w:cs="Times New Roman"/>
        </w:rPr>
        <w:t>, a noticeable shift does appear after t</w:t>
      </w:r>
      <w:r>
        <w:rPr>
          <w:rFonts w:ascii="Times New Roman" w:hAnsi="Times New Roman" w:cs="Times New Roman"/>
        </w:rPr>
        <w:t>he rule change in January 2010</w:t>
      </w:r>
      <w:r w:rsidR="00F32CA6">
        <w:rPr>
          <w:rFonts w:ascii="Times New Roman" w:hAnsi="Times New Roman" w:cs="Times New Roman"/>
        </w:rPr>
        <w:t xml:space="preserve">.  </w:t>
      </w:r>
      <w:r w:rsidR="00B83A84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 xml:space="preserve">Figure 2 panels A and B, suggest </w:t>
      </w:r>
      <w:r w:rsidR="001F5076">
        <w:rPr>
          <w:rFonts w:ascii="Times New Roman" w:hAnsi="Times New Roman" w:cs="Times New Roman"/>
        </w:rPr>
        <w:t>that for</w:t>
      </w:r>
      <w:r w:rsidR="003E0A92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>ruling periods, t</w:t>
      </w:r>
      <w:r w:rsidR="00F32CA6" w:rsidRPr="0084277A">
        <w:rPr>
          <w:rFonts w:ascii="Times New Roman" w:hAnsi="Times New Roman" w:cs="Times New Roman"/>
        </w:rPr>
        <w:t xml:space="preserve">he </w:t>
      </w:r>
      <w:r w:rsidR="00F32CA6">
        <w:rPr>
          <w:rFonts w:ascii="Times New Roman" w:hAnsi="Times New Roman" w:cs="Times New Roman"/>
        </w:rPr>
        <w:t>EMGD</w:t>
      </w:r>
      <w:r w:rsidR="00F32CA6"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of</w:t>
      </w:r>
      <w:r w:rsidR="003E0A92" w:rsidRPr="0084277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F32CA6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has</w:t>
      </w:r>
      <w:r w:rsidR="00F32CA6" w:rsidRPr="0084277A">
        <w:rPr>
          <w:rFonts w:ascii="Times New Roman" w:hAnsi="Times New Roman" w:cs="Times New Roman"/>
        </w:rPr>
        <w:t xml:space="preserve"> an increasing trend over time.  </w:t>
      </w:r>
      <w:r w:rsidR="0006305C" w:rsidRPr="0084277A">
        <w:rPr>
          <w:rFonts w:ascii="Times New Roman" w:hAnsi="Times New Roman" w:cs="Times New Roman"/>
        </w:rPr>
        <w:t xml:space="preserve">It is evident in both </w:t>
      </w:r>
      <w:r w:rsidR="0006305C">
        <w:rPr>
          <w:rFonts w:ascii="Times New Roman" w:hAnsi="Times New Roman" w:cs="Times New Roman"/>
        </w:rPr>
        <w:t>sexe</w:t>
      </w:r>
      <w:r w:rsidR="0006305C" w:rsidRPr="0084277A">
        <w:rPr>
          <w:rFonts w:ascii="Times New Roman" w:hAnsi="Times New Roman" w:cs="Times New Roman"/>
        </w:rPr>
        <w:t>s that a shift over time has occurred with a significant shift in the distribution density after the automatic disq</w:t>
      </w:r>
      <w:r w:rsidR="0006305C">
        <w:rPr>
          <w:rFonts w:ascii="Times New Roman" w:hAnsi="Times New Roman" w:cs="Times New Roman"/>
        </w:rPr>
        <w:t>ualification ruling in January 2010</w:t>
      </w:r>
      <w:r w:rsidR="0006305C" w:rsidRPr="0084277A">
        <w:rPr>
          <w:rFonts w:ascii="Times New Roman" w:hAnsi="Times New Roman" w:cs="Times New Roman"/>
        </w:rPr>
        <w:t>.</w:t>
      </w:r>
      <w:r w:rsidR="0006305C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The sex difference can </w:t>
      </w:r>
      <w:r w:rsidR="00F32CA6">
        <w:rPr>
          <w:rFonts w:ascii="Times New Roman" w:hAnsi="Times New Roman" w:cs="Times New Roman"/>
        </w:rPr>
        <w:t xml:space="preserve">also </w:t>
      </w:r>
      <w:r w:rsidR="00F32CA6" w:rsidRPr="0084277A">
        <w:rPr>
          <w:rFonts w:ascii="Times New Roman" w:hAnsi="Times New Roman" w:cs="Times New Roman"/>
        </w:rPr>
        <w:t xml:space="preserve">be identified as </w:t>
      </w:r>
      <w:r w:rsidR="00F32CA6">
        <w:rPr>
          <w:rFonts w:ascii="Times New Roman" w:hAnsi="Times New Roman" w:cs="Times New Roman"/>
        </w:rPr>
        <w:t>panels</w:t>
      </w:r>
      <w:r w:rsidR="00B051DC">
        <w:rPr>
          <w:rFonts w:ascii="Times New Roman" w:hAnsi="Times New Roman" w:cs="Times New Roman"/>
        </w:rPr>
        <w:t xml:space="preserve"> A and B of Figure 2</w:t>
      </w:r>
      <w:r w:rsidR="00F32CA6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are on the same scale, with the densities </w:t>
      </w:r>
      <w:r w:rsidR="00835861">
        <w:rPr>
          <w:rFonts w:ascii="Times New Roman" w:hAnsi="Times New Roman" w:cs="Times New Roman"/>
        </w:rPr>
        <w:t xml:space="preserve">for women </w:t>
      </w:r>
      <w:r w:rsidR="00F32CA6" w:rsidRPr="0084277A">
        <w:rPr>
          <w:rFonts w:ascii="Times New Roman" w:hAnsi="Times New Roman" w:cs="Times New Roman"/>
        </w:rPr>
        <w:t>being shifted further to the right.</w:t>
      </w:r>
      <w:r w:rsidR="00F32CA6">
        <w:rPr>
          <w:rFonts w:ascii="Times New Roman" w:hAnsi="Times New Roman" w:cs="Times New Roman"/>
        </w:rPr>
        <w:t xml:space="preserve">  </w:t>
      </w:r>
      <w:r w:rsidR="002D4442" w:rsidRPr="00E21350">
        <w:rPr>
          <w:rFonts w:ascii="Times New Roman" w:hAnsi="Times New Roman" w:cs="Times New Roman"/>
        </w:rPr>
        <w:t xml:space="preserve">The probability of observing a </w:t>
      </w:r>
      <w:r w:rsidR="00361847">
        <w:rPr>
          <w:rFonts w:ascii="Times New Roman" w:hAnsi="Times New Roman" w:cs="Times New Roman"/>
        </w:rPr>
        <w:t>RT</w:t>
      </w:r>
      <w:r w:rsidR="002D4442" w:rsidRPr="00E21350">
        <w:rPr>
          <w:rFonts w:ascii="Times New Roman" w:hAnsi="Times New Roman" w:cs="Times New Roman"/>
        </w:rPr>
        <w:t xml:space="preserve">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increases for </w:t>
      </w:r>
      <w:r w:rsidR="00361847">
        <w:rPr>
          <w:rFonts w:ascii="Times New Roman" w:hAnsi="Times New Roman" w:cs="Times New Roman"/>
        </w:rPr>
        <w:t>men</w:t>
      </w:r>
      <w:r w:rsidR="002D4442" w:rsidRPr="00E21350">
        <w:rPr>
          <w:rFonts w:ascii="Times New Roman" w:hAnsi="Times New Roman" w:cs="Times New Roman"/>
        </w:rPr>
        <w:t xml:space="preserve"> and </w:t>
      </w:r>
      <w:r w:rsidR="00361847">
        <w:rPr>
          <w:rFonts w:ascii="Times New Roman" w:hAnsi="Times New Roman" w:cs="Times New Roman"/>
        </w:rPr>
        <w:t>women</w:t>
      </w:r>
      <w:r w:rsidR="002D4442" w:rsidRPr="00E21350">
        <w:rPr>
          <w:rFonts w:ascii="Times New Roman" w:hAnsi="Times New Roman" w:cs="Times New Roman"/>
        </w:rPr>
        <w:t xml:space="preserve"> </w:t>
      </w:r>
      <w:r w:rsidR="00B51922">
        <w:rPr>
          <w:rFonts w:ascii="Times New Roman" w:hAnsi="Times New Roman" w:cs="Times New Roman"/>
        </w:rPr>
        <w:t>relative to the</w:t>
      </w:r>
      <w:r w:rsidR="002D4442" w:rsidRPr="00E21350">
        <w:rPr>
          <w:rFonts w:ascii="Times New Roman" w:hAnsi="Times New Roman" w:cs="Times New Roman"/>
        </w:rPr>
        <w:t xml:space="preserve"> ruling periods.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The probability of observations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following the introduction of the automatic disqualification rule in 2010 is 1, </w:t>
      </w:r>
      <w:r w:rsidR="00835861">
        <w:rPr>
          <w:rFonts w:ascii="Times New Roman" w:hAnsi="Times New Roman" w:cs="Times New Roman"/>
        </w:rPr>
        <w:t>irrespective of sex</w:t>
      </w:r>
      <w:r w:rsidR="002D4442" w:rsidRPr="00E21350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This </w:t>
      </w:r>
      <w:r w:rsidR="003E0A92" w:rsidRPr="00E21350">
        <w:rPr>
          <w:rFonts w:ascii="Times New Roman" w:hAnsi="Times New Roman" w:cs="Times New Roman"/>
        </w:rPr>
        <w:t>suggest</w:t>
      </w:r>
      <w:r w:rsidR="003E0A92">
        <w:rPr>
          <w:rFonts w:ascii="Times New Roman" w:hAnsi="Times New Roman" w:cs="Times New Roman"/>
        </w:rPr>
        <w:t>s</w:t>
      </w:r>
      <w:r w:rsidR="003E0A92" w:rsidRPr="00E21350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that the </w:t>
      </w:r>
      <w:r w:rsidR="00110ECD">
        <w:rPr>
          <w:rFonts w:ascii="Times New Roman" w:hAnsi="Times New Roman" w:cs="Times New Roman"/>
        </w:rPr>
        <w:t>minimum observed RT</w:t>
      </w:r>
      <w:r w:rsidR="002D4442" w:rsidRPr="00E21350">
        <w:rPr>
          <w:rFonts w:ascii="Times New Roman" w:hAnsi="Times New Roman" w:cs="Times New Roman"/>
        </w:rPr>
        <w:t xml:space="preserve"> of athletes recorded using the current </w:t>
      </w:r>
      <w:r w:rsidR="00110ECD">
        <w:rPr>
          <w:rFonts w:ascii="Times New Roman" w:hAnsi="Times New Roman" w:cs="Times New Roman"/>
        </w:rPr>
        <w:t xml:space="preserve">IAAF approved </w:t>
      </w:r>
      <w:r w:rsidR="002D4442" w:rsidRPr="00E21350">
        <w:rPr>
          <w:rFonts w:ascii="Times New Roman" w:hAnsi="Times New Roman" w:cs="Times New Roman"/>
        </w:rPr>
        <w:t>technology</w:t>
      </w:r>
      <w:r w:rsidR="00110ECD">
        <w:rPr>
          <w:rFonts w:ascii="Times New Roman" w:hAnsi="Times New Roman" w:cs="Times New Roman"/>
        </w:rPr>
        <w:t xml:space="preserve"> and rules</w:t>
      </w:r>
      <w:r w:rsidR="002D4442" w:rsidRPr="00E21350">
        <w:rPr>
          <w:rFonts w:ascii="Times New Roman" w:hAnsi="Times New Roman" w:cs="Times New Roman"/>
        </w:rPr>
        <w:t xml:space="preserve"> is </w:t>
      </w:r>
      <w:r w:rsidR="00110ECD">
        <w:rPr>
          <w:rFonts w:ascii="Times New Roman" w:hAnsi="Times New Roman" w:cs="Times New Roman"/>
        </w:rPr>
        <w:t>greater than 120 ms</w:t>
      </w:r>
      <w:r w:rsidR="002D4442" w:rsidRPr="00E21350">
        <w:rPr>
          <w:rFonts w:ascii="Times New Roman" w:hAnsi="Times New Roman" w:cs="Times New Roman"/>
        </w:rPr>
        <w:t>, some 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above the enforced threshold. </w:t>
      </w:r>
    </w:p>
    <w:p w14:paraId="736276BB" w14:textId="56C8EEF5" w:rsid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Competition Rounds</w:t>
      </w:r>
    </w:p>
    <w:p w14:paraId="5ECC1831" w14:textId="7BD0FBA2" w:rsidR="00E96C83" w:rsidRP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comparison of the RTs in</w:t>
      </w:r>
      <w:r w:rsidRPr="0084277A">
        <w:rPr>
          <w:rFonts w:ascii="Times New Roman" w:hAnsi="Times New Roman" w:cs="Times New Roman"/>
        </w:rPr>
        <w:t xml:space="preserve"> first round heats </w:t>
      </w:r>
      <w:r>
        <w:rPr>
          <w:rFonts w:ascii="Times New Roman" w:hAnsi="Times New Roman" w:cs="Times New Roman"/>
        </w:rPr>
        <w:t>and</w:t>
      </w:r>
      <w:r w:rsidRPr="0084277A">
        <w:rPr>
          <w:rFonts w:ascii="Times New Roman" w:hAnsi="Times New Roman" w:cs="Times New Roman"/>
        </w:rPr>
        <w:t xml:space="preserve"> finals</w:t>
      </w:r>
      <w:r>
        <w:rPr>
          <w:rFonts w:ascii="Times New Roman" w:hAnsi="Times New Roman" w:cs="Times New Roman"/>
        </w:rPr>
        <w:t xml:space="preserve"> is shown in panels C and D of Figure 2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 reduction of the </w:t>
      </w:r>
      <w:r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in finals suggest</w:t>
      </w:r>
      <w:r w:rsidR="003E0A92">
        <w:rPr>
          <w:rFonts w:ascii="Times New Roman" w:hAnsi="Times New Roman" w:cs="Times New Roman"/>
        </w:rPr>
        <w:t>s</w:t>
      </w:r>
      <w:r w:rsidRPr="0084277A">
        <w:rPr>
          <w:rFonts w:ascii="Times New Roman" w:hAnsi="Times New Roman" w:cs="Times New Roman"/>
        </w:rPr>
        <w:t xml:space="preserve"> that athletes are more </w:t>
      </w:r>
      <w:r w:rsidR="003E0A92">
        <w:rPr>
          <w:rFonts w:ascii="Times New Roman" w:hAnsi="Times New Roman" w:cs="Times New Roman"/>
        </w:rPr>
        <w:t>likely to</w:t>
      </w:r>
      <w:r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anticipate the start signal</w:t>
      </w:r>
      <w:r w:rsidRPr="0084277A">
        <w:rPr>
          <w:rFonts w:ascii="Times New Roman" w:hAnsi="Times New Roman" w:cs="Times New Roman"/>
        </w:rPr>
        <w:t xml:space="preserve"> when </w:t>
      </w:r>
      <w:r w:rsidR="003E0A92">
        <w:rPr>
          <w:rFonts w:ascii="Times New Roman" w:hAnsi="Times New Roman" w:cs="Times New Roman"/>
        </w:rPr>
        <w:t>the race is more important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shift to the left indicating a</w:t>
      </w:r>
      <w:r w:rsidRPr="0084277A">
        <w:rPr>
          <w:rFonts w:ascii="Times New Roman" w:hAnsi="Times New Roman" w:cs="Times New Roman"/>
        </w:rPr>
        <w:t xml:space="preserve"> decrease in </w:t>
      </w:r>
      <w:r>
        <w:rPr>
          <w:rFonts w:ascii="Times New Roman" w:hAnsi="Times New Roman" w:cs="Times New Roman"/>
        </w:rPr>
        <w:t>RT</w:t>
      </w:r>
      <w:r w:rsidRPr="0084277A">
        <w:rPr>
          <w:rFonts w:ascii="Times New Roman" w:hAnsi="Times New Roman" w:cs="Times New Roman"/>
        </w:rPr>
        <w:t xml:space="preserve"> is evident in both cases, thus suggesting that athletes are more likely to take risks in finals than in first round heats.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>A sex difference is evident by the comparison of the plots with the RT distribution for women shifted</w:t>
      </w:r>
      <w:r w:rsidR="00835861">
        <w:rPr>
          <w:rFonts w:ascii="Times New Roman" w:hAnsi="Times New Roman" w:cs="Times New Roman"/>
        </w:rPr>
        <w:t xml:space="preserve"> further</w:t>
      </w:r>
      <w:r w:rsidR="00C7609C">
        <w:rPr>
          <w:rFonts w:ascii="Times New Roman" w:hAnsi="Times New Roman" w:cs="Times New Roman"/>
        </w:rPr>
        <w:t xml:space="preserve"> to the right. </w:t>
      </w:r>
      <w:r w:rsidRPr="00E213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probabilistic approach for the </w:t>
      </w:r>
      <w:r w:rsidRPr="00E21350">
        <w:rPr>
          <w:rFonts w:ascii="Times New Roman" w:hAnsi="Times New Roman" w:cs="Times New Roman"/>
        </w:rPr>
        <w:t xml:space="preserve">difference between </w:t>
      </w:r>
      <w:r>
        <w:rPr>
          <w:rFonts w:ascii="Times New Roman" w:hAnsi="Times New Roman" w:cs="Times New Roman"/>
        </w:rPr>
        <w:t xml:space="preserve">RTs greater than 120 ms in </w:t>
      </w:r>
      <w:r w:rsidRPr="00E21350">
        <w:rPr>
          <w:rFonts w:ascii="Times New Roman" w:hAnsi="Times New Roman" w:cs="Times New Roman"/>
        </w:rPr>
        <w:t xml:space="preserve">first rounds and finals only </w:t>
      </w:r>
      <w:r>
        <w:rPr>
          <w:rFonts w:ascii="Times New Roman" w:hAnsi="Times New Roman" w:cs="Times New Roman"/>
        </w:rPr>
        <w:t xml:space="preserve">shows </w:t>
      </w:r>
      <w:r w:rsidRPr="00E21350">
        <w:rPr>
          <w:rFonts w:ascii="Times New Roman" w:hAnsi="Times New Roman" w:cs="Times New Roman"/>
        </w:rPr>
        <w:t xml:space="preserve">a relative difference </w:t>
      </w:r>
      <w:r>
        <w:rPr>
          <w:rFonts w:ascii="Times New Roman" w:hAnsi="Times New Roman" w:cs="Times New Roman"/>
        </w:rPr>
        <w:t>for</w:t>
      </w:r>
      <w:r w:rsidRPr="00E21350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women</w:t>
      </w:r>
      <w:r w:rsidRPr="00E21350">
        <w:rPr>
          <w:rFonts w:ascii="Times New Roman" w:hAnsi="Times New Roman" w:cs="Times New Roman"/>
        </w:rPr>
        <w:t xml:space="preserve">, this may be due to the fact that </w:t>
      </w:r>
      <w:r w:rsidR="00835861">
        <w:rPr>
          <w:rFonts w:ascii="Times New Roman" w:hAnsi="Times New Roman" w:cs="Times New Roman"/>
        </w:rPr>
        <w:t>men</w:t>
      </w:r>
      <w:r w:rsidRPr="00E21350">
        <w:rPr>
          <w:rFonts w:ascii="Times New Roman" w:hAnsi="Times New Roman" w:cs="Times New Roman"/>
        </w:rPr>
        <w:t xml:space="preserve"> are willing to take a risk at all levels whereas women require a significant incentive to take that risk, as discussed in </w:t>
      </w:r>
      <w:r w:rsidRPr="00E21350">
        <w:rPr>
          <w:rFonts w:ascii="Times New Roman" w:hAnsi="Times New Roman" w:cs="Times New Roman"/>
        </w:rPr>
        <w:fldChar w:fldCharType="begin"/>
      </w:r>
      <w:r w:rsidRPr="00E21350">
        <w:rPr>
          <w:rFonts w:ascii="Times New Roman" w:hAnsi="Times New Roman" w:cs="Times New Roman"/>
        </w:rPr>
        <w:instrText xml:space="preserve"> ADDIN EN.CITE &lt;EndNote&gt;&lt;Cite AuthorYear="1"&gt;&lt;Author&gt;Whitley&lt;/Author&gt;&lt;Year&gt;1999&lt;/Year&gt;&lt;RecNum&gt;43&lt;/RecNum&gt;&lt;DisplayText&gt;Whitley, Nelson et al. (1999)&lt;/DisplayText&gt;&lt;record&gt;&lt;rec-number&gt;43&lt;/rec-number&gt;&lt;foreign-keys&gt;&lt;key app="EN" db-id="0zxvwf9f6xset3exsr5x2a975zwvztxseprs" timestamp="1457975148"&gt;43&lt;/key&gt;&lt;/foreign-keys&gt;&lt;ref-type name="Journal Article"&gt;17&lt;/ref-type&gt;&lt;contributors&gt;&lt;authors&gt;&lt;author&gt;Whitley, Bernard E&lt;/author&gt;&lt;author&gt;Nelson, Amanda Bichlmeier&lt;/author&gt;&lt;author&gt;Jones, Curtis J&lt;/author&gt;&lt;/authors&gt;&lt;/contributors&gt;&lt;titles&gt;&lt;title&gt;Gender differences in cheating attitudes and classroom cheating behavior: A meta-analysis&lt;/title&gt;&lt;secondary-title&gt;Sex Roles&lt;/secondary-title&gt;&lt;/titles&gt;&lt;periodical&gt;&lt;full-title&gt;Sex Roles&lt;/full-title&gt;&lt;/periodical&gt;&lt;pages&gt;657-680&lt;/pages&gt;&lt;volume&gt;41&lt;/volume&gt;&lt;number&gt;9-10&lt;/number&gt;&lt;dates&gt;&lt;year&gt;1999&lt;/year&gt;&lt;/dates&gt;&lt;isbn&gt;0360-0025&lt;/isbn&gt;&lt;urls&gt;&lt;/urls&gt;&lt;/record&gt;&lt;/Cite&gt;&lt;/EndNote&gt;</w:instrText>
      </w:r>
      <w:r w:rsidRPr="00E21350">
        <w:rPr>
          <w:rFonts w:ascii="Times New Roman" w:hAnsi="Times New Roman" w:cs="Times New Roman"/>
        </w:rPr>
        <w:fldChar w:fldCharType="separate"/>
      </w:r>
      <w:r w:rsidRPr="00E21350">
        <w:rPr>
          <w:rFonts w:ascii="Times New Roman" w:hAnsi="Times New Roman" w:cs="Times New Roman"/>
          <w:noProof/>
        </w:rPr>
        <w:t>Whitley, Nelson et al. (1999)</w:t>
      </w:r>
      <w:r w:rsidRPr="00E21350">
        <w:rPr>
          <w:rFonts w:ascii="Times New Roman" w:hAnsi="Times New Roman" w:cs="Times New Roman"/>
        </w:rPr>
        <w:fldChar w:fldCharType="end"/>
      </w:r>
      <w:r w:rsidRPr="00E21350">
        <w:rPr>
          <w:rFonts w:ascii="Times New Roman" w:hAnsi="Times New Roman" w:cs="Times New Roman"/>
        </w:rPr>
        <w:t>.</w:t>
      </w:r>
    </w:p>
    <w:p w14:paraId="5686B30F" w14:textId="6018AAD0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Sex Difference</w:t>
      </w:r>
    </w:p>
    <w:p w14:paraId="1A089144" w14:textId="463720DE" w:rsid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assertion by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 xml:space="preserve">of a sex difference in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is evident </w:t>
      </w:r>
      <w:r>
        <w:rPr>
          <w:rFonts w:ascii="Times New Roman" w:hAnsi="Times New Roman" w:cs="Times New Roman"/>
        </w:rPr>
        <w:t xml:space="preserve">throughout this study </w:t>
      </w:r>
      <w:r w:rsidRPr="00A56E00">
        <w:rPr>
          <w:rFonts w:ascii="Times New Roman" w:hAnsi="Times New Roman" w:cs="Times New Roman"/>
        </w:rPr>
        <w:t xml:space="preserve">and can be further explained by the </w:t>
      </w:r>
      <w:r>
        <w:rPr>
          <w:rFonts w:ascii="Times New Roman" w:hAnsi="Times New Roman" w:cs="Times New Roman"/>
        </w:rPr>
        <w:t xml:space="preserve">strength </w:t>
      </w:r>
      <w:r w:rsidRPr="00A56E00">
        <w:rPr>
          <w:rFonts w:ascii="Times New Roman" w:hAnsi="Times New Roman" w:cs="Times New Roman"/>
        </w:rPr>
        <w:t>differences between men and women, allowing men to produce the required force to reach the false start threshold quicker.</w:t>
      </w:r>
      <w:r>
        <w:rPr>
          <w:rFonts w:ascii="Times New Roman" w:hAnsi="Times New Roman" w:cs="Times New Roman"/>
        </w:rPr>
        <w:t xml:space="preserve">  A difference in RT relevant to </w:t>
      </w:r>
      <w:r w:rsidR="003E0A92"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 xml:space="preserve">was </w:t>
      </w:r>
      <w:r w:rsidR="003E0A92">
        <w:rPr>
          <w:rFonts w:ascii="Times New Roman" w:hAnsi="Times New Roman" w:cs="Times New Roman"/>
        </w:rPr>
        <w:t>observed</w:t>
      </w:r>
      <w:r>
        <w:rPr>
          <w:rFonts w:ascii="Times New Roman" w:hAnsi="Times New Roman" w:cs="Times New Roman"/>
        </w:rPr>
        <w:t xml:space="preserve"> across both ruling periods and competition rounds.  This prominent sex difference </w:t>
      </w:r>
      <w:r w:rsidR="003E0A92">
        <w:rPr>
          <w:rFonts w:ascii="Times New Roman" w:hAnsi="Times New Roman" w:cs="Times New Roman"/>
        </w:rPr>
        <w:t>supports the</w:t>
      </w:r>
      <w:r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 xml:space="preserve">for independent false start detection limits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as suggested by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B52C3D">
        <w:rPr>
          <w:rFonts w:ascii="Times New Roman" w:hAnsi="Times New Roman" w:cs="Times New Roman"/>
        </w:rPr>
        <w:t xml:space="preserve"> While this study has continuously reported a sex difference in RTs of athletes, this sex difference </w:t>
      </w:r>
      <w:r w:rsidR="00A326D0">
        <w:rPr>
          <w:rFonts w:ascii="Times New Roman" w:hAnsi="Times New Roman" w:cs="Times New Roman"/>
        </w:rPr>
        <w:t>may be a</w:t>
      </w:r>
      <w:r w:rsidR="00B52C3D">
        <w:rPr>
          <w:rFonts w:ascii="Times New Roman" w:hAnsi="Times New Roman" w:cs="Times New Roman"/>
        </w:rPr>
        <w:t xml:space="preserve"> consequence </w:t>
      </w:r>
      <w:r w:rsidR="00A326D0">
        <w:rPr>
          <w:rFonts w:ascii="Times New Roman" w:hAnsi="Times New Roman" w:cs="Times New Roman"/>
        </w:rPr>
        <w:t>of the currently employed starting blocks</w:t>
      </w:r>
      <w:r w:rsidR="00B52C3D">
        <w:rPr>
          <w:rFonts w:ascii="Times New Roman" w:hAnsi="Times New Roman" w:cs="Times New Roman"/>
        </w:rPr>
        <w:t>.  The</w:t>
      </w:r>
      <w:r w:rsidR="00A326D0">
        <w:rPr>
          <w:rFonts w:ascii="Times New Roman" w:hAnsi="Times New Roman" w:cs="Times New Roman"/>
        </w:rPr>
        <w:t xml:space="preserve"> removal of a force based threshold would establish if a true sex difference exists in the psychological RTs of athletes.</w:t>
      </w:r>
    </w:p>
    <w:p w14:paraId="65D19E25" w14:textId="226CCF0D" w:rsidR="00607BA0" w:rsidRDefault="00607BA0" w:rsidP="00B36723">
      <w:pPr>
        <w:spacing w:line="480" w:lineRule="auto"/>
        <w:rPr>
          <w:rFonts w:ascii="Times New Roman" w:hAnsi="Times New Roman" w:cs="Times New Roman"/>
          <w:b/>
          <w:i/>
        </w:rPr>
      </w:pPr>
      <w:r w:rsidRPr="00E96C83">
        <w:rPr>
          <w:rFonts w:ascii="Times New Roman" w:hAnsi="Times New Roman" w:cs="Times New Roman"/>
          <w:b/>
          <w:i/>
        </w:rPr>
        <w:t>RT’s Revision</w:t>
      </w:r>
    </w:p>
    <w:p w14:paraId="7A5BEE22" w14:textId="1706132A" w:rsidR="00B83A84" w:rsidRPr="00B83A84" w:rsidRDefault="00B83A8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Revised RT thresholds were established for </w:t>
      </w:r>
      <w:r w:rsidR="00835861">
        <w:rPr>
          <w:rFonts w:ascii="Times New Roman" w:hAnsi="Times New Roman" w:cs="Times New Roman"/>
        </w:rPr>
        <w:t>men and women independently</w:t>
      </w:r>
      <w:r>
        <w:rPr>
          <w:rFonts w:ascii="Times New Roman" w:hAnsi="Times New Roman" w:cs="Times New Roman"/>
        </w:rPr>
        <w:t xml:space="preserve"> by estimating an EMGD fit for each of the</w:t>
      </w:r>
      <w:r w:rsidR="000A01E7">
        <w:rPr>
          <w:rFonts w:ascii="Times New Roman" w:hAnsi="Times New Roman" w:cs="Times New Roman"/>
        </w:rPr>
        <w:t xml:space="preserve"> sexes.  The revised</w:t>
      </w:r>
      <w:r>
        <w:rPr>
          <w:rFonts w:ascii="Times New Roman" w:hAnsi="Times New Roman" w:cs="Times New Roman"/>
        </w:rPr>
        <w:t xml:space="preserve"> threshold was calculated as the </w:t>
      </w:r>
      <w:r w:rsidR="000A01E7">
        <w:rPr>
          <w:rFonts w:ascii="Times New Roman" w:hAnsi="Times New Roman" w:cs="Times New Roman"/>
        </w:rPr>
        <w:t xml:space="preserve">RT for which 99% of the observed RTs lay above.  As such it is suggested that the RT threshold for </w:t>
      </w:r>
      <w:r w:rsidR="00835861">
        <w:rPr>
          <w:rFonts w:ascii="Times New Roman" w:hAnsi="Times New Roman" w:cs="Times New Roman"/>
        </w:rPr>
        <w:t>men</w:t>
      </w:r>
      <w:r w:rsidR="000A01E7">
        <w:rPr>
          <w:rFonts w:ascii="Times New Roman" w:hAnsi="Times New Roman" w:cs="Times New Roman"/>
        </w:rPr>
        <w:t xml:space="preserve"> be increased to 115 ms, while</w:t>
      </w:r>
      <w:r w:rsidR="00835861">
        <w:rPr>
          <w:rFonts w:ascii="Times New Roman" w:hAnsi="Times New Roman" w:cs="Times New Roman"/>
        </w:rPr>
        <w:t xml:space="preserve"> women</w:t>
      </w:r>
      <w:r w:rsidR="000A01E7">
        <w:rPr>
          <w:rFonts w:ascii="Times New Roman" w:hAnsi="Times New Roman" w:cs="Times New Roman"/>
        </w:rPr>
        <w:t xml:space="preserve"> should be increased to 119 ms, due to the </w:t>
      </w:r>
      <w:r w:rsidR="00B051DC">
        <w:rPr>
          <w:rFonts w:ascii="Times New Roman" w:hAnsi="Times New Roman" w:cs="Times New Roman"/>
        </w:rPr>
        <w:t xml:space="preserve">evident </w:t>
      </w:r>
      <w:r w:rsidR="000A01E7">
        <w:rPr>
          <w:rFonts w:ascii="Times New Roman" w:hAnsi="Times New Roman" w:cs="Times New Roman"/>
        </w:rPr>
        <w:t xml:space="preserve">sex difference reported throughout this study and in </w:t>
      </w:r>
      <w:r w:rsidR="000A01E7">
        <w:rPr>
          <w:rFonts w:ascii="Times New Roman" w:hAnsi="Times New Roman" w:cs="Times New Roman"/>
        </w:rPr>
        <w:fldChar w:fldCharType="begin"/>
      </w:r>
      <w:r w:rsidR="000A01E7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0A01E7">
        <w:rPr>
          <w:rFonts w:ascii="Times New Roman" w:hAnsi="Times New Roman" w:cs="Times New Roman"/>
        </w:rPr>
        <w:fldChar w:fldCharType="separate"/>
      </w:r>
      <w:r w:rsidR="000A01E7">
        <w:rPr>
          <w:rFonts w:ascii="Times New Roman" w:hAnsi="Times New Roman" w:cs="Times New Roman"/>
          <w:noProof/>
        </w:rPr>
        <w:t>Lipps, Galecki et al. (2011)</w:t>
      </w:r>
      <w:r w:rsidR="000A01E7">
        <w:rPr>
          <w:rFonts w:ascii="Times New Roman" w:hAnsi="Times New Roman" w:cs="Times New Roman"/>
        </w:rPr>
        <w:fldChar w:fldCharType="end"/>
      </w:r>
      <w:r w:rsidR="00835861">
        <w:rPr>
          <w:rFonts w:ascii="Times New Roman" w:hAnsi="Times New Roman" w:cs="Times New Roman"/>
        </w:rPr>
        <w:t>, under the constraints of the currently employed starting blocks</w:t>
      </w:r>
      <w:r w:rsidR="000A01E7">
        <w:rPr>
          <w:rFonts w:ascii="Times New Roman" w:hAnsi="Times New Roman" w:cs="Times New Roman"/>
        </w:rPr>
        <w:t xml:space="preserve">. </w:t>
      </w:r>
    </w:p>
    <w:p w14:paraId="33B30E64" w14:textId="773BF169" w:rsidR="00E96C83" w:rsidRP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Technology</w:t>
      </w:r>
    </w:p>
    <w:p w14:paraId="675EA3E4" w14:textId="7FEB2AD4" w:rsidR="002C3FD7" w:rsidRPr="00F06734" w:rsidRDefault="00302473" w:rsidP="00B36723">
      <w:pPr>
        <w:spacing w:line="480" w:lineRule="auto"/>
        <w:rPr>
          <w:rFonts w:ascii="Times New Roman" w:hAnsi="Times New Roman" w:cs="Times New Roman"/>
        </w:rPr>
      </w:pPr>
      <w:r w:rsidRPr="00610946">
        <w:rPr>
          <w:rFonts w:ascii="Times New Roman" w:hAnsi="Times New Roman" w:cs="Times New Roman"/>
        </w:rPr>
        <w:t>Throughout this paper th</w:t>
      </w:r>
      <w:r>
        <w:rPr>
          <w:rFonts w:ascii="Times New Roman" w:hAnsi="Times New Roman" w:cs="Times New Roman"/>
        </w:rPr>
        <w:t>ere has been evidence that the 100 ms</w:t>
      </w:r>
      <w:r w:rsidRPr="00610946">
        <w:rPr>
          <w:rFonts w:ascii="Times New Roman" w:hAnsi="Times New Roman" w:cs="Times New Roman"/>
        </w:rPr>
        <w:t xml:space="preserve"> ruling as a disqualification limit for false starts in elite athletics is too</w:t>
      </w:r>
      <w:r>
        <w:rPr>
          <w:rFonts w:ascii="Times New Roman" w:hAnsi="Times New Roman" w:cs="Times New Roman"/>
        </w:rPr>
        <w:t xml:space="preserve"> short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T</w:t>
      </w:r>
      <w:r w:rsidRPr="00610946">
        <w:rPr>
          <w:rFonts w:ascii="Times New Roman" w:hAnsi="Times New Roman" w:cs="Times New Roman"/>
        </w:rPr>
        <w:t xml:space="preserve">his needs to be taken in the context of the current technology utilised to measure an athlete’s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Pr="00610946">
        <w:rPr>
          <w:rFonts w:ascii="Times New Roman" w:hAnsi="Times New Roman" w:cs="Times New Roman"/>
        </w:rPr>
        <w:t xml:space="preserve">The </w:t>
      </w:r>
      <w:r w:rsidR="00380751">
        <w:rPr>
          <w:rFonts w:ascii="Times New Roman" w:hAnsi="Times New Roman" w:cs="Times New Roman"/>
        </w:rPr>
        <w:t>IAAF approved technology</w:t>
      </w:r>
      <w:r w:rsidRPr="00610946">
        <w:rPr>
          <w:rFonts w:ascii="Times New Roman" w:hAnsi="Times New Roman" w:cs="Times New Roman"/>
        </w:rPr>
        <w:t xml:space="preserve"> does not re</w:t>
      </w:r>
      <w:r w:rsidR="00380751">
        <w:rPr>
          <w:rFonts w:ascii="Times New Roman" w:hAnsi="Times New Roman" w:cs="Times New Roman"/>
        </w:rPr>
        <w:t>cord</w:t>
      </w:r>
      <w:r w:rsidRPr="00610946">
        <w:rPr>
          <w:rFonts w:ascii="Times New Roman" w:hAnsi="Times New Roman" w:cs="Times New Roman"/>
        </w:rPr>
        <w:t xml:space="preserve"> the quickest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, or the first </w:t>
      </w:r>
      <w:r w:rsidRPr="00610946">
        <w:rPr>
          <w:rFonts w:ascii="Times New Roman" w:hAnsi="Times New Roman" w:cs="Times New Roman"/>
        </w:rPr>
        <w:lastRenderedPageBreak/>
        <w:t xml:space="preserve">movement of the athlete, but rather the addition of the time to produce a predefined force along with the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</w:t>
      </w:r>
      <w:r w:rsidR="00F5334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that </w:t>
      </w:r>
      <w:r w:rsidR="0038075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of 85 ms</w:t>
      </w:r>
      <w:r w:rsidRPr="00610946">
        <w:rPr>
          <w:rFonts w:ascii="Times New Roman" w:hAnsi="Times New Roman" w:cs="Times New Roman"/>
        </w:rPr>
        <w:t xml:space="preserve"> are possible; this paper does not contradict these findings </w:t>
      </w:r>
      <w:r w:rsidR="00380751">
        <w:rPr>
          <w:rFonts w:ascii="Times New Roman" w:hAnsi="Times New Roman" w:cs="Times New Roman"/>
        </w:rPr>
        <w:t>but rather</w:t>
      </w:r>
      <w:r w:rsidRPr="00610946">
        <w:rPr>
          <w:rFonts w:ascii="Times New Roman" w:hAnsi="Times New Roman" w:cs="Times New Roman"/>
        </w:rPr>
        <w:t xml:space="preserve"> suggests that these reduced </w:t>
      </w:r>
      <w:r w:rsidR="00380751">
        <w:rPr>
          <w:rFonts w:ascii="Times New Roman" w:hAnsi="Times New Roman" w:cs="Times New Roman"/>
        </w:rPr>
        <w:t>RTs</w:t>
      </w:r>
      <w:r w:rsidRPr="00610946">
        <w:rPr>
          <w:rFonts w:ascii="Times New Roman" w:hAnsi="Times New Roman" w:cs="Times New Roman"/>
        </w:rPr>
        <w:t xml:space="preserve"> are similar to the time until the </w:t>
      </w:r>
      <w:r w:rsidR="00835861">
        <w:rPr>
          <w:rFonts w:ascii="Times New Roman" w:hAnsi="Times New Roman" w:cs="Times New Roman"/>
        </w:rPr>
        <w:t>initial</w:t>
      </w:r>
      <w:r w:rsidRPr="00610946">
        <w:rPr>
          <w:rFonts w:ascii="Times New Roman" w:hAnsi="Times New Roman" w:cs="Times New Roman"/>
        </w:rPr>
        <w:t xml:space="preserve"> </w:t>
      </w:r>
      <w:r w:rsidR="00F53348">
        <w:rPr>
          <w:rFonts w:ascii="Times New Roman" w:hAnsi="Times New Roman" w:cs="Times New Roman"/>
        </w:rPr>
        <w:t>response</w:t>
      </w:r>
      <w:r w:rsidRPr="00610946">
        <w:rPr>
          <w:rFonts w:ascii="Times New Roman" w:hAnsi="Times New Roman" w:cs="Times New Roman"/>
        </w:rPr>
        <w:t xml:space="preserve"> of an elite at</w:t>
      </w:r>
      <w:r>
        <w:rPr>
          <w:rFonts w:ascii="Times New Roman" w:hAnsi="Times New Roman" w:cs="Times New Roman"/>
        </w:rPr>
        <w:t>hlete after a start</w:t>
      </w:r>
      <w:r w:rsidR="00F53348">
        <w:rPr>
          <w:rFonts w:ascii="Times New Roman" w:hAnsi="Times New Roman" w:cs="Times New Roman"/>
        </w:rPr>
        <w:t xml:space="preserve"> signal</w:t>
      </w:r>
      <w:r>
        <w:rPr>
          <w:rFonts w:ascii="Times New Roman" w:hAnsi="Times New Roman" w:cs="Times New Roman"/>
        </w:rPr>
        <w:t>.</w:t>
      </w:r>
      <w:r w:rsidR="001F1A26">
        <w:rPr>
          <w:rFonts w:ascii="Times New Roman" w:hAnsi="Times New Roman" w:cs="Times New Roman"/>
        </w:rPr>
        <w:t xml:space="preserve"> </w:t>
      </w:r>
    </w:p>
    <w:p w14:paraId="2B5200F7" w14:textId="70F4C457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Conclusions</w:t>
      </w:r>
    </w:p>
    <w:p w14:paraId="323ED780" w14:textId="49E55AD2" w:rsidR="008052FC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>From this study it is clear that the IAAF 100 ms false start threshold is ina</w:t>
      </w:r>
      <w:r w:rsidR="003B0453">
        <w:rPr>
          <w:rFonts w:ascii="Times New Roman" w:hAnsi="Times New Roman" w:cs="Times New Roman"/>
        </w:rPr>
        <w:t>dequate for the fair and impartial refereeing of</w:t>
      </w:r>
      <w:r w:rsidRPr="002C3FD7">
        <w:rPr>
          <w:rFonts w:ascii="Times New Roman" w:hAnsi="Times New Roman" w:cs="Times New Roman"/>
        </w:rPr>
        <w:t xml:space="preserve"> elite athlet</w:t>
      </w:r>
      <w:r w:rsidR="003B0453">
        <w:rPr>
          <w:rFonts w:ascii="Times New Roman" w:hAnsi="Times New Roman" w:cs="Times New Roman"/>
        </w:rPr>
        <w:t>ics</w:t>
      </w:r>
      <w:r w:rsidR="00C7609C">
        <w:rPr>
          <w:rFonts w:ascii="Times New Roman" w:hAnsi="Times New Roman" w:cs="Times New Roman"/>
        </w:rPr>
        <w:t>, under the IAAF approved starting blocks</w:t>
      </w:r>
      <w:r w:rsidRPr="002C3FD7">
        <w:rPr>
          <w:rFonts w:ascii="Times New Roman" w:hAnsi="Times New Roman" w:cs="Times New Roman"/>
        </w:rPr>
        <w:t>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2C3FD7">
        <w:rPr>
          <w:rFonts w:ascii="Times New Roman" w:hAnsi="Times New Roman" w:cs="Times New Roman"/>
        </w:rPr>
        <w:t>Similar to</w:t>
      </w:r>
      <w:r w:rsidRPr="002C3FD7">
        <w:rPr>
          <w:rFonts w:ascii="Times New Roman" w:hAnsi="Times New Roman" w:cs="Times New Roman"/>
        </w:rPr>
        <w:t xml:space="preserve"> the work of </w:t>
      </w:r>
      <w:r w:rsidRPr="002C3FD7">
        <w:rPr>
          <w:rFonts w:ascii="Times New Roman" w:hAnsi="Times New Roman" w:cs="Times New Roman"/>
        </w:rPr>
        <w:fldChar w:fldCharType="begin"/>
      </w:r>
      <w:r w:rsidRPr="002C3FD7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Pr="002C3FD7">
        <w:rPr>
          <w:rFonts w:ascii="Times New Roman" w:hAnsi="Times New Roman" w:cs="Times New Roman"/>
        </w:rPr>
        <w:fldChar w:fldCharType="separate"/>
      </w:r>
      <w:r w:rsidRPr="002C3FD7">
        <w:rPr>
          <w:rFonts w:ascii="Times New Roman" w:hAnsi="Times New Roman" w:cs="Times New Roman"/>
          <w:noProof/>
        </w:rPr>
        <w:t>Lipps, Galecki et al. (2011)</w:t>
      </w:r>
      <w:r w:rsidRPr="002C3FD7">
        <w:rPr>
          <w:rFonts w:ascii="Times New Roman" w:hAnsi="Times New Roman" w:cs="Times New Roman"/>
        </w:rPr>
        <w:fldChar w:fldCharType="end"/>
      </w:r>
      <w:r w:rsidRPr="002C3FD7">
        <w:rPr>
          <w:rFonts w:ascii="Times New Roman" w:hAnsi="Times New Roman" w:cs="Times New Roman"/>
        </w:rPr>
        <w:t xml:space="preserve"> a sex difference has also been identified from the historic data. </w:t>
      </w:r>
      <w:r w:rsidR="00607BA0">
        <w:rPr>
          <w:rFonts w:ascii="Times New Roman" w:hAnsi="Times New Roman" w:cs="Times New Roman"/>
        </w:rPr>
        <w:t xml:space="preserve"> </w:t>
      </w:r>
      <w:r w:rsidRPr="002C3FD7">
        <w:rPr>
          <w:rFonts w:ascii="Times New Roman" w:hAnsi="Times New Roman" w:cs="Times New Roman"/>
        </w:rPr>
        <w:t xml:space="preserve">It is suggested that the ruling for </w:t>
      </w:r>
      <w:r w:rsidR="00835861">
        <w:rPr>
          <w:rFonts w:ascii="Times New Roman" w:hAnsi="Times New Roman" w:cs="Times New Roman"/>
        </w:rPr>
        <w:t>men and women</w:t>
      </w:r>
      <w:r w:rsidRPr="002C3FD7">
        <w:rPr>
          <w:rFonts w:ascii="Times New Roman" w:hAnsi="Times New Roman" w:cs="Times New Roman"/>
        </w:rPr>
        <w:t xml:space="preserve"> be independently revised to account for the strength differences between the sexes.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3B0453">
        <w:rPr>
          <w:rFonts w:ascii="Times New Roman" w:hAnsi="Times New Roman" w:cs="Times New Roman"/>
        </w:rPr>
        <w:t>Revised RT thresholds, estimated from the historical data, for</w:t>
      </w:r>
      <w:r w:rsidR="002C3FD7">
        <w:rPr>
          <w:rFonts w:ascii="Times New Roman" w:hAnsi="Times New Roman" w:cs="Times New Roman"/>
        </w:rPr>
        <w:t xml:space="preserve"> both </w:t>
      </w:r>
      <w:r w:rsidR="00835861">
        <w:rPr>
          <w:rFonts w:ascii="Times New Roman" w:hAnsi="Times New Roman" w:cs="Times New Roman"/>
        </w:rPr>
        <w:t>men and women</w:t>
      </w:r>
      <w:r w:rsidR="002C3FD7">
        <w:rPr>
          <w:rFonts w:ascii="Times New Roman" w:hAnsi="Times New Roman" w:cs="Times New Roman"/>
        </w:rPr>
        <w:t xml:space="preserve"> are provided in the results section.</w:t>
      </w:r>
    </w:p>
    <w:p w14:paraId="50BE9792" w14:textId="63AEB619" w:rsidR="00E21350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 xml:space="preserve">In conclusion, this study has examined </w:t>
      </w:r>
      <w:r w:rsidR="00062750">
        <w:rPr>
          <w:rFonts w:ascii="Times New Roman" w:hAnsi="Times New Roman" w:cs="Times New Roman"/>
        </w:rPr>
        <w:t>a large dataset of</w:t>
      </w:r>
      <w:r w:rsidRPr="002C3FD7">
        <w:rPr>
          <w:rFonts w:ascii="Times New Roman" w:hAnsi="Times New Roman" w:cs="Times New Roman"/>
        </w:rPr>
        <w:t xml:space="preserve"> RT</w:t>
      </w:r>
      <w:r w:rsidR="00062750">
        <w:rPr>
          <w:rFonts w:ascii="Times New Roman" w:hAnsi="Times New Roman" w:cs="Times New Roman"/>
        </w:rPr>
        <w:t>s of international athletes, combined with an extensive literature review</w:t>
      </w:r>
      <w:r w:rsidR="007075E5">
        <w:rPr>
          <w:rFonts w:ascii="Times New Roman" w:hAnsi="Times New Roman" w:cs="Times New Roman"/>
        </w:rPr>
        <w:t>, it has</w:t>
      </w:r>
      <w:r w:rsidRPr="002C3FD7">
        <w:rPr>
          <w:rFonts w:ascii="Times New Roman" w:hAnsi="Times New Roman" w:cs="Times New Roman"/>
        </w:rPr>
        <w:t xml:space="preserve"> shown that the current governance of false start disqualification is inadequate</w:t>
      </w:r>
      <w:r w:rsidR="002C3FD7" w:rsidRPr="002C3FD7">
        <w:rPr>
          <w:rFonts w:ascii="Times New Roman" w:hAnsi="Times New Roman" w:cs="Times New Roman"/>
        </w:rPr>
        <w:t xml:space="preserve"> under the current measurement system utilised by the IAAF</w:t>
      </w:r>
      <w:r w:rsidRPr="002C3FD7">
        <w:rPr>
          <w:rFonts w:ascii="Times New Roman" w:hAnsi="Times New Roman" w:cs="Times New Roman"/>
        </w:rPr>
        <w:t xml:space="preserve">. </w:t>
      </w:r>
    </w:p>
    <w:p w14:paraId="57BBBBCB" w14:textId="682EFD69" w:rsidR="000B1E0F" w:rsidRPr="00B36723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Disclosure Statement</w:t>
      </w:r>
    </w:p>
    <w:p w14:paraId="3AC9AD42" w14:textId="17F7329F" w:rsidR="00E21350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No potential conflict of interest was reported by the authors.</w:t>
      </w:r>
    </w:p>
    <w:p w14:paraId="7C90EF3B" w14:textId="77777777" w:rsidR="00822BA0" w:rsidRPr="00B36723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Supplementary Material</w:t>
      </w:r>
    </w:p>
    <w:p w14:paraId="5F36AF6E" w14:textId="461A6765" w:rsidR="00822BA0" w:rsidRPr="00B36723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Supplement A: Reaction Time Data 1999-2014. (</w:t>
      </w:r>
      <w:hyperlink r:id="rId15" w:history="1">
        <w:r w:rsidR="00296C9A" w:rsidRPr="0046320C">
          <w:rPr>
            <w:rStyle w:val="Hyperlink"/>
            <w:rFonts w:ascii="Times New Roman" w:hAnsi="Times New Roman" w:cs="Times New Roman"/>
          </w:rPr>
          <w:t>https://goo.gl/xYuQXH</w:t>
        </w:r>
      </w:hyperlink>
      <w:r w:rsidR="00296C9A">
        <w:rPr>
          <w:rFonts w:ascii="Times New Roman" w:hAnsi="Times New Roman" w:cs="Times New Roman"/>
        </w:rPr>
        <w:t xml:space="preserve">; </w:t>
      </w:r>
      <w:r w:rsidRPr="00B36723">
        <w:rPr>
          <w:rFonts w:ascii="Times New Roman" w:hAnsi="Times New Roman" w:cs="Times New Roman"/>
        </w:rPr>
        <w:t>.csv)</w:t>
      </w:r>
    </w:p>
    <w:p w14:paraId="7C3FFCCF" w14:textId="789101BB" w:rsidR="00835861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Supplement B: R Code for Reaction Time Analysis. (</w:t>
      </w:r>
      <w:hyperlink r:id="rId16" w:history="1">
        <w:r w:rsidR="00296C9A" w:rsidRPr="0046320C">
          <w:rPr>
            <w:rStyle w:val="Hyperlink"/>
            <w:rFonts w:ascii="Times New Roman" w:hAnsi="Times New Roman" w:cs="Times New Roman"/>
          </w:rPr>
          <w:t>https://goo.gl/rBPCHn</w:t>
        </w:r>
      </w:hyperlink>
      <w:r w:rsidRPr="00B36723">
        <w:rPr>
          <w:rFonts w:ascii="Times New Roman" w:hAnsi="Times New Roman" w:cs="Times New Roman"/>
        </w:rPr>
        <w:t>;</w:t>
      </w:r>
      <w:r w:rsidR="00296C9A">
        <w:rPr>
          <w:rFonts w:ascii="Times New Roman" w:hAnsi="Times New Roman" w:cs="Times New Roman"/>
        </w:rPr>
        <w:t xml:space="preserve"> </w:t>
      </w:r>
      <w:r w:rsidRPr="00B36723">
        <w:rPr>
          <w:rFonts w:ascii="Times New Roman" w:hAnsi="Times New Roman" w:cs="Times New Roman"/>
        </w:rPr>
        <w:t>.R)</w:t>
      </w:r>
    </w:p>
    <w:p w14:paraId="787F0222" w14:textId="59A51E46" w:rsidR="00B36723" w:rsidRPr="00DE41E1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lastRenderedPageBreak/>
        <w:t>References</w:t>
      </w:r>
    </w:p>
    <w:p w14:paraId="0B3E0984" w14:textId="5624CE28" w:rsidR="000A01E7" w:rsidRPr="000A01E7" w:rsidRDefault="00B36723" w:rsidP="000A01E7">
      <w:pPr>
        <w:pStyle w:val="EndNoteBibliography"/>
      </w:pPr>
      <w:r w:rsidRPr="00F422F8">
        <w:rPr>
          <w:rFonts w:ascii="Times New Roman" w:hAnsi="Times New Roman" w:cs="Times New Roman"/>
        </w:rPr>
        <w:fldChar w:fldCharType="begin"/>
      </w:r>
      <w:r w:rsidRPr="00F422F8">
        <w:rPr>
          <w:rFonts w:ascii="Times New Roman" w:hAnsi="Times New Roman" w:cs="Times New Roman"/>
        </w:rPr>
        <w:instrText xml:space="preserve"> ADDIN EN.REFLIST </w:instrText>
      </w:r>
      <w:r w:rsidRPr="00F422F8">
        <w:rPr>
          <w:rFonts w:ascii="Times New Roman" w:hAnsi="Times New Roman" w:cs="Times New Roman"/>
        </w:rPr>
        <w:fldChar w:fldCharType="separate"/>
      </w:r>
      <w:r w:rsidR="000A01E7" w:rsidRPr="000A01E7">
        <w:t xml:space="preserve">Athletics Australia. (2009). "Implementation of IAAF "No False Start" Rule." from </w:t>
      </w:r>
      <w:hyperlink r:id="rId17" w:history="1">
        <w:r w:rsidR="000A01E7" w:rsidRPr="000A01E7">
          <w:rPr>
            <w:rStyle w:val="Hyperlink"/>
          </w:rPr>
          <w:t>http://www.easternsuburbs.org.au/assets/console/customitem/attachments/New_Start_Rule_Guidelines_141109.pdf</w:t>
        </w:r>
      </w:hyperlink>
      <w:r w:rsidR="000A01E7" w:rsidRPr="000A01E7">
        <w:t>.</w:t>
      </w:r>
    </w:p>
    <w:p w14:paraId="6F112D0C" w14:textId="77777777" w:rsidR="000A01E7" w:rsidRPr="000A01E7" w:rsidRDefault="000A01E7" w:rsidP="000A01E7">
      <w:pPr>
        <w:pStyle w:val="EndNoteBibliography"/>
      </w:pPr>
      <w:r w:rsidRPr="000A01E7">
        <w:t xml:space="preserve">Brown, A. M., Z. R. Kenwell, B. K. V. Maraj and D. F. Collins (2008). ""Go" signal intensity influences the sprint start." </w:t>
      </w:r>
      <w:r w:rsidRPr="000A01E7">
        <w:rPr>
          <w:u w:val="single"/>
        </w:rPr>
        <w:t>Medicine and Science in Sports and Exercise</w:t>
      </w:r>
      <w:r w:rsidRPr="000A01E7">
        <w:t xml:space="preserve"> </w:t>
      </w:r>
      <w:r w:rsidRPr="000A01E7">
        <w:rPr>
          <w:b/>
        </w:rPr>
        <w:t>40</w:t>
      </w:r>
      <w:r w:rsidRPr="000A01E7">
        <w:t>(6): 1142-1148.</w:t>
      </w:r>
    </w:p>
    <w:p w14:paraId="4A11A8F2" w14:textId="77777777" w:rsidR="000A01E7" w:rsidRPr="000A01E7" w:rsidRDefault="000A01E7" w:rsidP="000A01E7">
      <w:pPr>
        <w:pStyle w:val="EndNoteBibliography"/>
      </w:pPr>
      <w:r w:rsidRPr="000A01E7">
        <w:t xml:space="preserve">Dawson, M. R. W. (1988). "Fitting the ex-Gaussian equation to reaction time distributions." </w:t>
      </w:r>
      <w:r w:rsidRPr="000A01E7">
        <w:rPr>
          <w:u w:val="single"/>
        </w:rPr>
        <w:t>Behavior Research Methods, Instruments, &amp; Computers</w:t>
      </w:r>
      <w:r w:rsidRPr="000A01E7">
        <w:t xml:space="preserve"> </w:t>
      </w:r>
      <w:r w:rsidRPr="000A01E7">
        <w:rPr>
          <w:b/>
        </w:rPr>
        <w:t>20</w:t>
      </w:r>
      <w:r w:rsidRPr="000A01E7">
        <w:t>(1): 54-57.</w:t>
      </w:r>
    </w:p>
    <w:p w14:paraId="506930EB" w14:textId="77777777" w:rsidR="000A01E7" w:rsidRPr="000A01E7" w:rsidRDefault="000A01E7" w:rsidP="000A01E7">
      <w:pPr>
        <w:pStyle w:val="EndNoteBibliography"/>
      </w:pPr>
      <w:r w:rsidRPr="000A01E7">
        <w:t xml:space="preserve">Der, G. and I. J. Deary (2006). "Age and sex differences in reaction time in adulthood: Results from the United Kingdom health and lifestyle survey." </w:t>
      </w:r>
      <w:r w:rsidRPr="000A01E7">
        <w:rPr>
          <w:u w:val="single"/>
        </w:rPr>
        <w:t>Psychology and Aging</w:t>
      </w:r>
      <w:r w:rsidRPr="000A01E7">
        <w:t xml:space="preserve"> </w:t>
      </w:r>
      <w:r w:rsidRPr="000A01E7">
        <w:rPr>
          <w:b/>
        </w:rPr>
        <w:t>21</w:t>
      </w:r>
      <w:r w:rsidRPr="000A01E7">
        <w:t>(1): 62-73.</w:t>
      </w:r>
    </w:p>
    <w:p w14:paraId="0AEF6089" w14:textId="77777777" w:rsidR="000A01E7" w:rsidRPr="000A01E7" w:rsidRDefault="000A01E7" w:rsidP="000A01E7">
      <w:pPr>
        <w:pStyle w:val="EndNoteBibliography"/>
      </w:pPr>
      <w:r w:rsidRPr="000A01E7">
        <w:t xml:space="preserve">Greenwood, P. E. and M. S. Nikulin (1996). </w:t>
      </w:r>
      <w:r w:rsidRPr="000A01E7">
        <w:rPr>
          <w:u w:val="single"/>
        </w:rPr>
        <w:t>A guide to chi-squared testing</w:t>
      </w:r>
      <w:r w:rsidRPr="000A01E7">
        <w:t>, John Wiley &amp; Sons.</w:t>
      </w:r>
    </w:p>
    <w:p w14:paraId="56C55A26" w14:textId="08F224D3" w:rsidR="000A01E7" w:rsidRPr="000A01E7" w:rsidRDefault="000A01E7" w:rsidP="000A01E7">
      <w:pPr>
        <w:pStyle w:val="EndNoteBibliography"/>
      </w:pPr>
      <w:r w:rsidRPr="000A01E7">
        <w:t xml:space="preserve">International Association of Athletics Federations. (2015). "Competition Rules 2016-2017." from </w:t>
      </w:r>
      <w:hyperlink r:id="rId18" w:history="1">
        <w:r w:rsidRPr="000A01E7">
          <w:rPr>
            <w:rStyle w:val="Hyperlink"/>
          </w:rPr>
          <w:t>http://www.iaff.org/about-iaaf/documents/reules-regulations</w:t>
        </w:r>
      </w:hyperlink>
      <w:r w:rsidRPr="000A01E7">
        <w:t>.</w:t>
      </w:r>
    </w:p>
    <w:p w14:paraId="6E802BFE" w14:textId="77777777" w:rsidR="000A01E7" w:rsidRPr="000A01E7" w:rsidRDefault="000A01E7" w:rsidP="000A01E7">
      <w:pPr>
        <w:pStyle w:val="EndNoteBibliography"/>
      </w:pPr>
      <w:r w:rsidRPr="000A01E7">
        <w:t xml:space="preserve">Komi, V., M. Ishikawa and S. Jukka (2009). "IAAF sprint start research project: Is the 100ms limit still valid." </w:t>
      </w:r>
      <w:r w:rsidRPr="000A01E7">
        <w:rPr>
          <w:u w:val="single"/>
        </w:rPr>
        <w:t>New studies in athletics</w:t>
      </w:r>
      <w:r w:rsidRPr="000A01E7">
        <w:t xml:space="preserve"> </w:t>
      </w:r>
      <w:r w:rsidRPr="000A01E7">
        <w:rPr>
          <w:b/>
        </w:rPr>
        <w:t>24</w:t>
      </w:r>
      <w:r w:rsidRPr="000A01E7">
        <w:t>(1): 37-47.</w:t>
      </w:r>
    </w:p>
    <w:p w14:paraId="5A5F6DDB" w14:textId="77777777" w:rsidR="000A01E7" w:rsidRPr="000A01E7" w:rsidRDefault="000A01E7" w:rsidP="000A01E7">
      <w:pPr>
        <w:pStyle w:val="EndNoteBibliography"/>
      </w:pPr>
      <w:r w:rsidRPr="000A01E7">
        <w:t xml:space="preserve">Lipps, D. B., A. T. Galecki and J. A. Ashton-Miller (2011). "On the implications of a sex difference in the reaction times of sprinters at the Beijing Olympics." </w:t>
      </w:r>
      <w:r w:rsidRPr="000A01E7">
        <w:rPr>
          <w:u w:val="single"/>
        </w:rPr>
        <w:t>PLoS ONE</w:t>
      </w:r>
      <w:r w:rsidRPr="000A01E7">
        <w:t xml:space="preserve"> </w:t>
      </w:r>
      <w:r w:rsidRPr="000A01E7">
        <w:rPr>
          <w:b/>
        </w:rPr>
        <w:t>6</w:t>
      </w:r>
      <w:r w:rsidRPr="000A01E7">
        <w:t>(10).</w:t>
      </w:r>
    </w:p>
    <w:p w14:paraId="0196DF66" w14:textId="77777777" w:rsidR="000A01E7" w:rsidRPr="000A01E7" w:rsidRDefault="000A01E7" w:rsidP="000A01E7">
      <w:pPr>
        <w:pStyle w:val="EndNoteBibliography"/>
      </w:pPr>
      <w:r w:rsidRPr="000A01E7">
        <w:t xml:space="preserve">Massidda, D. (2013). "Retimes: Reaction Time Analysis." </w:t>
      </w:r>
      <w:r w:rsidRPr="000A01E7">
        <w:rPr>
          <w:u w:val="single"/>
        </w:rPr>
        <w:t>R package version 0.1-2</w:t>
      </w:r>
      <w:r w:rsidRPr="000A01E7">
        <w:t>.</w:t>
      </w:r>
    </w:p>
    <w:p w14:paraId="2EAB2487" w14:textId="77777777" w:rsidR="000A01E7" w:rsidRPr="000A01E7" w:rsidRDefault="000A01E7" w:rsidP="000A01E7">
      <w:pPr>
        <w:pStyle w:val="EndNoteBibliography"/>
      </w:pPr>
      <w:r w:rsidRPr="000A01E7">
        <w:t xml:space="preserve">Mero, A. and P. V. Komi (1990). "Reaction time and electromyographic activity during a sprint start." </w:t>
      </w:r>
      <w:r w:rsidRPr="000A01E7">
        <w:rPr>
          <w:u w:val="single"/>
        </w:rPr>
        <w:t>European Journal of Applied Physiology and Occupational Physiology</w:t>
      </w:r>
      <w:r w:rsidRPr="000A01E7">
        <w:t xml:space="preserve"> </w:t>
      </w:r>
      <w:r w:rsidRPr="000A01E7">
        <w:rPr>
          <w:b/>
        </w:rPr>
        <w:t>61</w:t>
      </w:r>
      <w:r w:rsidRPr="000A01E7">
        <w:t>(1-2): 73-80.</w:t>
      </w:r>
    </w:p>
    <w:p w14:paraId="35E3CCF5" w14:textId="77777777" w:rsidR="000A01E7" w:rsidRPr="000A01E7" w:rsidRDefault="000A01E7" w:rsidP="000A01E7">
      <w:pPr>
        <w:pStyle w:val="EndNoteBibliography"/>
      </w:pPr>
      <w:r w:rsidRPr="000A01E7">
        <w:t xml:space="preserve">Pain, M. T. G. and A. Hibbs (2007). "Sprint starts and the minimum auditory reaction time." </w:t>
      </w:r>
      <w:r w:rsidRPr="000A01E7">
        <w:rPr>
          <w:u w:val="single"/>
        </w:rPr>
        <w:t>Journal of Sports Sciences</w:t>
      </w:r>
      <w:r w:rsidRPr="000A01E7">
        <w:t xml:space="preserve"> </w:t>
      </w:r>
      <w:r w:rsidRPr="000A01E7">
        <w:rPr>
          <w:b/>
        </w:rPr>
        <w:t>25</w:t>
      </w:r>
      <w:r w:rsidRPr="000A01E7">
        <w:t>(1): 79-86.</w:t>
      </w:r>
    </w:p>
    <w:p w14:paraId="051889AE" w14:textId="07D4F374" w:rsidR="000A01E7" w:rsidRPr="000A01E7" w:rsidRDefault="000A01E7" w:rsidP="000A01E7">
      <w:pPr>
        <w:pStyle w:val="EndNoteBibliography"/>
        <w:rPr>
          <w:u w:val="single"/>
        </w:rPr>
      </w:pPr>
      <w:r w:rsidRPr="000A01E7">
        <w:t xml:space="preserve">R Core Team (2015). "R: A Language and Environment for Statistical Computing (R Foundation for Statistical Computing, Vienna, 2012)." </w:t>
      </w:r>
      <w:r w:rsidRPr="000A01E7">
        <w:rPr>
          <w:u w:val="single"/>
        </w:rPr>
        <w:t xml:space="preserve">URL: </w:t>
      </w:r>
      <w:hyperlink r:id="rId19" w:history="1">
        <w:r w:rsidRPr="000A01E7">
          <w:rPr>
            <w:rStyle w:val="Hyperlink"/>
          </w:rPr>
          <w:t>http://www.R-project.org</w:t>
        </w:r>
      </w:hyperlink>
      <w:r w:rsidRPr="000A01E7">
        <w:rPr>
          <w:u w:val="single"/>
        </w:rPr>
        <w:t xml:space="preserve"> </w:t>
      </w:r>
    </w:p>
    <w:p w14:paraId="7FCC7119" w14:textId="77777777" w:rsidR="000A01E7" w:rsidRPr="000A01E7" w:rsidRDefault="000A01E7" w:rsidP="000A01E7">
      <w:pPr>
        <w:pStyle w:val="EndNoteBibliography"/>
      </w:pPr>
      <w:r w:rsidRPr="000A01E7">
        <w:t xml:space="preserve">Silver, J. D., M. E. Ritchie and G. K. Smyth (2009). "Microarray background correction: maximum likelihood estimation for the normal–exponential convolution." </w:t>
      </w:r>
      <w:r w:rsidRPr="000A01E7">
        <w:rPr>
          <w:u w:val="single"/>
        </w:rPr>
        <w:t>Biostatistics</w:t>
      </w:r>
      <w:r w:rsidRPr="000A01E7">
        <w:t>: kxn042.</w:t>
      </w:r>
    </w:p>
    <w:p w14:paraId="7F5F81F5" w14:textId="77777777" w:rsidR="000A01E7" w:rsidRPr="000A01E7" w:rsidRDefault="000A01E7" w:rsidP="000A01E7">
      <w:pPr>
        <w:pStyle w:val="EndNoteBibliography"/>
      </w:pPr>
      <w:r w:rsidRPr="000A01E7">
        <w:t xml:space="preserve">Whitley, B. E., A. B. Nelson and C. J. Jones (1999). "Gender differences in cheating attitudes and classroom cheating behavior: A meta-analysis." </w:t>
      </w:r>
      <w:r w:rsidRPr="000A01E7">
        <w:rPr>
          <w:u w:val="single"/>
        </w:rPr>
        <w:t>Sex Roles</w:t>
      </w:r>
      <w:r w:rsidRPr="000A01E7">
        <w:t xml:space="preserve"> </w:t>
      </w:r>
      <w:r w:rsidRPr="000A01E7">
        <w:rPr>
          <w:b/>
        </w:rPr>
        <w:t>41</w:t>
      </w:r>
      <w:r w:rsidRPr="000A01E7">
        <w:t>(9-10): 657-680.</w:t>
      </w:r>
    </w:p>
    <w:p w14:paraId="50F1F2B5" w14:textId="150193D5" w:rsidR="00EF6A59" w:rsidRPr="00F675AF" w:rsidRDefault="00B36723" w:rsidP="00F675AF">
      <w:pPr>
        <w:pStyle w:val="Bibliography"/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</w:rPr>
        <w:fldChar w:fldCharType="end"/>
      </w:r>
    </w:p>
    <w:sectPr w:rsidR="00EF6A59" w:rsidRPr="00F675AF" w:rsidSect="00835861">
      <w:pgSz w:w="11900" w:h="16840"/>
      <w:pgMar w:top="1440" w:right="1797" w:bottom="1440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LStaff" w:date="2016-04-01T11:20:00Z" w:initials="U">
    <w:p w14:paraId="4A65E4E7" w14:textId="2959F718" w:rsidR="004A4340" w:rsidRDefault="004A4340">
      <w:pPr>
        <w:pStyle w:val="CommentText"/>
      </w:pPr>
      <w:r>
        <w:rPr>
          <w:rStyle w:val="CommentReference"/>
        </w:rPr>
        <w:annotationRef/>
      </w:r>
      <w:r>
        <w:t>Avoid this … we can discuss how to reword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26107" w14:textId="77777777" w:rsidR="00654D7B" w:rsidRDefault="00654D7B" w:rsidP="00EF6A59">
      <w:r>
        <w:separator/>
      </w:r>
    </w:p>
  </w:endnote>
  <w:endnote w:type="continuationSeparator" w:id="0">
    <w:p w14:paraId="00E71912" w14:textId="77777777" w:rsidR="00654D7B" w:rsidRDefault="00654D7B" w:rsidP="00EF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A09F8" w14:textId="77777777" w:rsidR="00654D7B" w:rsidRDefault="00654D7B" w:rsidP="00EF6A59">
      <w:r>
        <w:separator/>
      </w:r>
    </w:p>
  </w:footnote>
  <w:footnote w:type="continuationSeparator" w:id="0">
    <w:p w14:paraId="1E6608A2" w14:textId="77777777" w:rsidR="00654D7B" w:rsidRDefault="00654D7B" w:rsidP="00EF6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F0B"/>
    <w:multiLevelType w:val="hybridMultilevel"/>
    <w:tmpl w:val="FCE0A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00005"/>
    <w:multiLevelType w:val="hybridMultilevel"/>
    <w:tmpl w:val="C1C0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xvwf9f6xset3exsr5x2a975zwvztxseprs&quot;&gt;My EndNote Library&lt;record-ids&gt;&lt;item&gt;27&lt;/item&gt;&lt;item&gt;28&lt;/item&gt;&lt;item&gt;29&lt;/item&gt;&lt;item&gt;32&lt;/item&gt;&lt;item&gt;33&lt;/item&gt;&lt;item&gt;34&lt;/item&gt;&lt;item&gt;36&lt;/item&gt;&lt;item&gt;38&lt;/item&gt;&lt;item&gt;41&lt;/item&gt;&lt;item&gt;42&lt;/item&gt;&lt;item&gt;43&lt;/item&gt;&lt;item&gt;45&lt;/item&gt;&lt;item&gt;46&lt;/item&gt;&lt;item&gt;47&lt;/item&gt;&lt;/record-ids&gt;&lt;/item&gt;&lt;/Libraries&gt;"/>
  </w:docVars>
  <w:rsids>
    <w:rsidRoot w:val="002B531D"/>
    <w:rsid w:val="000046C7"/>
    <w:rsid w:val="00012A15"/>
    <w:rsid w:val="00024C3F"/>
    <w:rsid w:val="00054CCA"/>
    <w:rsid w:val="00054E41"/>
    <w:rsid w:val="00062750"/>
    <w:rsid w:val="0006305C"/>
    <w:rsid w:val="00070229"/>
    <w:rsid w:val="00076BCF"/>
    <w:rsid w:val="000A01E7"/>
    <w:rsid w:val="000A63BE"/>
    <w:rsid w:val="000B1E0F"/>
    <w:rsid w:val="000B2415"/>
    <w:rsid w:val="000C27D3"/>
    <w:rsid w:val="000C2A7A"/>
    <w:rsid w:val="000D1BD3"/>
    <w:rsid w:val="000E1981"/>
    <w:rsid w:val="000F6135"/>
    <w:rsid w:val="001035D3"/>
    <w:rsid w:val="001072C3"/>
    <w:rsid w:val="00110ECD"/>
    <w:rsid w:val="001143DC"/>
    <w:rsid w:val="00120457"/>
    <w:rsid w:val="00162B73"/>
    <w:rsid w:val="001902C3"/>
    <w:rsid w:val="00191F9F"/>
    <w:rsid w:val="00194A8D"/>
    <w:rsid w:val="001B2D3C"/>
    <w:rsid w:val="001B3F98"/>
    <w:rsid w:val="001E0E4B"/>
    <w:rsid w:val="001E2013"/>
    <w:rsid w:val="001F182D"/>
    <w:rsid w:val="001F1A26"/>
    <w:rsid w:val="001F23B4"/>
    <w:rsid w:val="001F338C"/>
    <w:rsid w:val="001F5076"/>
    <w:rsid w:val="0021688C"/>
    <w:rsid w:val="00226FE9"/>
    <w:rsid w:val="0024187B"/>
    <w:rsid w:val="0024202A"/>
    <w:rsid w:val="00242EA4"/>
    <w:rsid w:val="00246754"/>
    <w:rsid w:val="002520D7"/>
    <w:rsid w:val="00255383"/>
    <w:rsid w:val="00273283"/>
    <w:rsid w:val="00290414"/>
    <w:rsid w:val="00293007"/>
    <w:rsid w:val="00296C9A"/>
    <w:rsid w:val="00297B41"/>
    <w:rsid w:val="002A615B"/>
    <w:rsid w:val="002B531D"/>
    <w:rsid w:val="002C119D"/>
    <w:rsid w:val="002C3FD7"/>
    <w:rsid w:val="002D4442"/>
    <w:rsid w:val="002F3D15"/>
    <w:rsid w:val="002F6A16"/>
    <w:rsid w:val="002F72BE"/>
    <w:rsid w:val="00302473"/>
    <w:rsid w:val="003204EA"/>
    <w:rsid w:val="00320751"/>
    <w:rsid w:val="00341CA2"/>
    <w:rsid w:val="00360EC8"/>
    <w:rsid w:val="00361847"/>
    <w:rsid w:val="00361BA6"/>
    <w:rsid w:val="00380751"/>
    <w:rsid w:val="00392B28"/>
    <w:rsid w:val="003960CB"/>
    <w:rsid w:val="003A6496"/>
    <w:rsid w:val="003B0453"/>
    <w:rsid w:val="003B05AE"/>
    <w:rsid w:val="003B09A9"/>
    <w:rsid w:val="003C303A"/>
    <w:rsid w:val="003D0E84"/>
    <w:rsid w:val="003E0A92"/>
    <w:rsid w:val="003E484E"/>
    <w:rsid w:val="003E70F6"/>
    <w:rsid w:val="003E7577"/>
    <w:rsid w:val="0040360B"/>
    <w:rsid w:val="004571CF"/>
    <w:rsid w:val="004625D0"/>
    <w:rsid w:val="00473635"/>
    <w:rsid w:val="0047746B"/>
    <w:rsid w:val="0048689D"/>
    <w:rsid w:val="0049071C"/>
    <w:rsid w:val="004A4340"/>
    <w:rsid w:val="004B4688"/>
    <w:rsid w:val="004B4AAC"/>
    <w:rsid w:val="004F7C00"/>
    <w:rsid w:val="00524C04"/>
    <w:rsid w:val="00535E7D"/>
    <w:rsid w:val="00545E0B"/>
    <w:rsid w:val="0055310D"/>
    <w:rsid w:val="00557162"/>
    <w:rsid w:val="00584904"/>
    <w:rsid w:val="00587137"/>
    <w:rsid w:val="005A0036"/>
    <w:rsid w:val="005B44B7"/>
    <w:rsid w:val="005B4594"/>
    <w:rsid w:val="005C02B8"/>
    <w:rsid w:val="005D4015"/>
    <w:rsid w:val="005E4929"/>
    <w:rsid w:val="00607BA0"/>
    <w:rsid w:val="00610946"/>
    <w:rsid w:val="006213FB"/>
    <w:rsid w:val="00641C93"/>
    <w:rsid w:val="00644CAA"/>
    <w:rsid w:val="006460D1"/>
    <w:rsid w:val="006475CD"/>
    <w:rsid w:val="00654787"/>
    <w:rsid w:val="00654D7B"/>
    <w:rsid w:val="00657DF9"/>
    <w:rsid w:val="00671BC9"/>
    <w:rsid w:val="006754CB"/>
    <w:rsid w:val="00694FF1"/>
    <w:rsid w:val="006A720E"/>
    <w:rsid w:val="006F2F46"/>
    <w:rsid w:val="00705CDF"/>
    <w:rsid w:val="007075E5"/>
    <w:rsid w:val="0072453D"/>
    <w:rsid w:val="00727214"/>
    <w:rsid w:val="00750BB6"/>
    <w:rsid w:val="00784F30"/>
    <w:rsid w:val="00786B98"/>
    <w:rsid w:val="00793C5F"/>
    <w:rsid w:val="00794153"/>
    <w:rsid w:val="007B5D0E"/>
    <w:rsid w:val="007D1C40"/>
    <w:rsid w:val="007D4F6D"/>
    <w:rsid w:val="007F23FC"/>
    <w:rsid w:val="008052FC"/>
    <w:rsid w:val="008126FF"/>
    <w:rsid w:val="00822BA0"/>
    <w:rsid w:val="008300A4"/>
    <w:rsid w:val="0083227C"/>
    <w:rsid w:val="00835861"/>
    <w:rsid w:val="0084277A"/>
    <w:rsid w:val="0085503C"/>
    <w:rsid w:val="0086458F"/>
    <w:rsid w:val="00891A01"/>
    <w:rsid w:val="00892C56"/>
    <w:rsid w:val="008A3E85"/>
    <w:rsid w:val="008C5A29"/>
    <w:rsid w:val="008D1824"/>
    <w:rsid w:val="00904989"/>
    <w:rsid w:val="00911274"/>
    <w:rsid w:val="00914E76"/>
    <w:rsid w:val="00933712"/>
    <w:rsid w:val="00947087"/>
    <w:rsid w:val="0098106B"/>
    <w:rsid w:val="009846ED"/>
    <w:rsid w:val="009B5C8B"/>
    <w:rsid w:val="009D243D"/>
    <w:rsid w:val="00A303D9"/>
    <w:rsid w:val="00A326D0"/>
    <w:rsid w:val="00A4035F"/>
    <w:rsid w:val="00A54FED"/>
    <w:rsid w:val="00A56E00"/>
    <w:rsid w:val="00A6285D"/>
    <w:rsid w:val="00AC60A0"/>
    <w:rsid w:val="00AD29D4"/>
    <w:rsid w:val="00AF1EA7"/>
    <w:rsid w:val="00B051DC"/>
    <w:rsid w:val="00B3119F"/>
    <w:rsid w:val="00B36723"/>
    <w:rsid w:val="00B51922"/>
    <w:rsid w:val="00B52C3D"/>
    <w:rsid w:val="00B750C6"/>
    <w:rsid w:val="00B83A84"/>
    <w:rsid w:val="00B92278"/>
    <w:rsid w:val="00BA1A56"/>
    <w:rsid w:val="00BA6929"/>
    <w:rsid w:val="00BE21F6"/>
    <w:rsid w:val="00C13D21"/>
    <w:rsid w:val="00C15DB8"/>
    <w:rsid w:val="00C25038"/>
    <w:rsid w:val="00C52B7A"/>
    <w:rsid w:val="00C5796A"/>
    <w:rsid w:val="00C610E3"/>
    <w:rsid w:val="00C70903"/>
    <w:rsid w:val="00C7609C"/>
    <w:rsid w:val="00C853D6"/>
    <w:rsid w:val="00C8719C"/>
    <w:rsid w:val="00C92E69"/>
    <w:rsid w:val="00CB7626"/>
    <w:rsid w:val="00CC1BDD"/>
    <w:rsid w:val="00CC1C1D"/>
    <w:rsid w:val="00CD66E0"/>
    <w:rsid w:val="00CE0FB8"/>
    <w:rsid w:val="00CE305B"/>
    <w:rsid w:val="00CF64E7"/>
    <w:rsid w:val="00D2474C"/>
    <w:rsid w:val="00D272E2"/>
    <w:rsid w:val="00D34102"/>
    <w:rsid w:val="00D60270"/>
    <w:rsid w:val="00D63629"/>
    <w:rsid w:val="00D92A04"/>
    <w:rsid w:val="00DB592D"/>
    <w:rsid w:val="00DB5ADC"/>
    <w:rsid w:val="00DB7072"/>
    <w:rsid w:val="00DD6137"/>
    <w:rsid w:val="00DE41E1"/>
    <w:rsid w:val="00DF14FA"/>
    <w:rsid w:val="00E02C46"/>
    <w:rsid w:val="00E07565"/>
    <w:rsid w:val="00E1746F"/>
    <w:rsid w:val="00E201B2"/>
    <w:rsid w:val="00E21350"/>
    <w:rsid w:val="00E44208"/>
    <w:rsid w:val="00E77288"/>
    <w:rsid w:val="00E96C83"/>
    <w:rsid w:val="00ED265E"/>
    <w:rsid w:val="00EE513E"/>
    <w:rsid w:val="00EF5B99"/>
    <w:rsid w:val="00EF6A59"/>
    <w:rsid w:val="00F04701"/>
    <w:rsid w:val="00F06734"/>
    <w:rsid w:val="00F1033D"/>
    <w:rsid w:val="00F1034C"/>
    <w:rsid w:val="00F32CA6"/>
    <w:rsid w:val="00F422F8"/>
    <w:rsid w:val="00F53348"/>
    <w:rsid w:val="00F608A8"/>
    <w:rsid w:val="00F675AF"/>
    <w:rsid w:val="00F80818"/>
    <w:rsid w:val="00F9686F"/>
    <w:rsid w:val="00F97196"/>
    <w:rsid w:val="00FA3E38"/>
    <w:rsid w:val="00FB4F3D"/>
    <w:rsid w:val="00FD3775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89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  <w:style w:type="table" w:styleId="TableGrid">
    <w:name w:val="Table Grid"/>
    <w:basedOn w:val="TableNormal"/>
    <w:uiPriority w:val="59"/>
    <w:rsid w:val="00F675AF"/>
    <w:pPr>
      <w:jc w:val="center"/>
    </w:pPr>
    <w:rPr>
      <w:rFonts w:eastAsia="Calibri"/>
      <w:sz w:val="22"/>
      <w:szCs w:val="22"/>
      <w:lang w:val="en-GB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F675AF"/>
    <w:rPr>
      <w:rFonts w:eastAsia="Calibr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  <w:style w:type="table" w:styleId="TableGrid">
    <w:name w:val="Table Grid"/>
    <w:basedOn w:val="TableNormal"/>
    <w:uiPriority w:val="59"/>
    <w:rsid w:val="00F675AF"/>
    <w:pPr>
      <w:jc w:val="center"/>
    </w:pPr>
    <w:rPr>
      <w:rFonts w:eastAsia="Calibri"/>
      <w:sz w:val="22"/>
      <w:szCs w:val="22"/>
      <w:lang w:val="en-GB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F675AF"/>
    <w:rPr>
      <w:rFonts w:eastAsia="Calibr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evin.c.brosnan@ul.i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kevin.hayes@ul.ie" TargetMode="External"/><Relationship Id="rId11" Type="http://schemas.openxmlformats.org/officeDocument/2006/relationships/hyperlink" Target="mailto:drew.harrison@ul.ie" TargetMode="External"/><Relationship Id="rId12" Type="http://schemas.openxmlformats.org/officeDocument/2006/relationships/comments" Target="comments.xml"/><Relationship Id="rId13" Type="http://schemas.openxmlformats.org/officeDocument/2006/relationships/image" Target="media/image1.tiff"/><Relationship Id="rId14" Type="http://schemas.openxmlformats.org/officeDocument/2006/relationships/image" Target="media/image2.tiff"/><Relationship Id="rId15" Type="http://schemas.openxmlformats.org/officeDocument/2006/relationships/hyperlink" Target="https://goo.gl/xYuQXH" TargetMode="External"/><Relationship Id="rId16" Type="http://schemas.openxmlformats.org/officeDocument/2006/relationships/hyperlink" Target="https://goo.gl/rBPCHn" TargetMode="External"/><Relationship Id="rId17" Type="http://schemas.openxmlformats.org/officeDocument/2006/relationships/hyperlink" Target="http://www.easternsuburbs.org.au/assets/console/customitem/attachments/New_Start_Rule_Guidelines_141109.pdf" TargetMode="External"/><Relationship Id="rId18" Type="http://schemas.openxmlformats.org/officeDocument/2006/relationships/hyperlink" Target="http://www.iaff.org/about-iaaf/documents/reules-regulations" TargetMode="External"/><Relationship Id="rId19" Type="http://schemas.openxmlformats.org/officeDocument/2006/relationships/hyperlink" Target="http://www.R-project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Bro08</b:Tag>
    <b:SourceType>JournalArticle</b:SourceType>
    <b:Guid>{4C2A633D-2BF1-5C4D-96A6-B338D17615DD}</b:Guid>
    <b:Title>"GO" signal intensity influences the sprint start</b:Title>
    <b:Year>2008</b:Year>
    <b:Volume>40</b:Volume>
    <b:Pages>1142-1148</b:Pages>
    <b:JournalName>Medicine and Science in Sports and Exercise</b:JournalName>
    <b:Issue>6</b:Issue>
    <b:Author>
      <b:Author>
        <b:NameList>
          <b:Person>
            <b:Last>Brown</b:Last>
            <b:Middle>M.</b:Middle>
            <b:First>A.</b:First>
          </b:Person>
          <b:Person>
            <b:Last>Kenwell</b:Last>
            <b:Middle>R.</b:Middle>
            <b:First>Z.</b:First>
          </b:Person>
          <b:Person>
            <b:Last>Maraj</b:Last>
            <b:Middle>V.</b:Middle>
            <b:First>B. K.</b:First>
          </b:Person>
          <b:Person>
            <b:Last>Collins</b:Last>
            <b:Middle>F.</b:Middle>
            <b:First>D.</b:First>
          </b:Person>
        </b:NameList>
      </b:Author>
    </b:Author>
    <b:RefOrder>2</b:RefOrder>
  </b:Source>
  <b:Source>
    <b:Tag>Daw88</b:Tag>
    <b:SourceType>JournalArticle</b:SourceType>
    <b:Guid>{46B74DA0-F261-E14E-88D4-3880679A645F}</b:Guid>
    <b:Title>Fitting the ex-Gaussian equation to reaction time distributions</b:Title>
    <b:JournalName>Behaviour Research Methods, Instruments &amp; Computers</b:JournalName>
    <b:Year>1988</b:Year>
    <b:Volume>20</b:Volume>
    <b:Issue>1</b:Issue>
    <b:Pages>54-57</b:Pages>
    <b:Author>
      <b:Author>
        <b:NameList>
          <b:Person>
            <b:Last>Dawson</b:Last>
            <b:First>M.</b:First>
          </b:Person>
        </b:NameList>
      </b:Author>
    </b:Author>
    <b:RefOrder>3</b:RefOrder>
  </b:Source>
  <b:Source>
    <b:Tag>Der06</b:Tag>
    <b:SourceType>JournalArticle</b:SourceType>
    <b:Guid>{CC1F650B-952D-F54E-A333-150CDF9B0F16}</b:Guid>
    <b:Title>Age and sex differences in reaction time in adulthood: Results from the United Kingdom health and lifestyle survey</b:Title>
    <b:JournalName>Psychology and Aging</b:JournalName>
    <b:Year>2006</b:Year>
    <b:Volume>21</b:Volume>
    <b:Issue>1</b:Issue>
    <b:Pages>62-73</b:Pages>
    <b:Author>
      <b:Author>
        <b:NameList>
          <b:Person>
            <b:Last>Der</b:Last>
            <b:First>G.</b:First>
          </b:Person>
          <b:Person>
            <b:Last>Deary</b:Last>
            <b:First>I. J.</b:First>
          </b:Person>
        </b:NameList>
      </b:Author>
    </b:Author>
    <b:RefOrder>4</b:RefOrder>
  </b:Source>
  <b:Source>
    <b:Tag>Hoc84</b:Tag>
    <b:SourceType>JournalArticle</b:SourceType>
    <b:Guid>{7A146332-CE75-4442-8B4F-2EE299ECA387}</b:Guid>
    <b:Title>Analysis of response time distributions in the study of cognitive processes</b:Title>
    <b:JournalName>Journal of Experimental Psychology: Learning, Memory and Cognition</b:JournalName>
    <b:Year>1984</b:Year>
    <b:Volume>10</b:Volume>
    <b:Issue>4</b:Issue>
    <b:Pages>598</b:Pages>
    <b:Author>
      <b:Author>
        <b:NameList>
          <b:Person>
            <b:Last>Hockley</b:Last>
            <b:First>W. E.</b:First>
          </b:Person>
        </b:NameList>
      </b:Author>
    </b:Author>
    <b:RefOrder>5</b:RefOrder>
  </b:Source>
  <b:Source>
    <b:Tag>Kom09</b:Tag>
    <b:SourceType>JournalArticle</b:SourceType>
    <b:Guid>{BEFF8F26-8A47-EB40-AADA-8FFE08390980}</b:Guid>
    <b:Title>IAAF Sprint Start Research Project: Is the 100ms limit still valid?</b:Title>
    <b:JournalName>New Studies in Athletics</b:JournalName>
    <b:Year>2009</b:Year>
    <b:Volume>24</b:Volume>
    <b:Issue>1</b:Issue>
    <b:Pages>37-47</b:Pages>
    <b:Author>
      <b:Author>
        <b:NameList>
          <b:Person>
            <b:Last>Komi</b:Last>
            <b:First>P.</b:First>
          </b:Person>
          <b:Person>
            <b:Last>Ishikawa</b:Last>
            <b:First>M.</b:First>
          </b:Person>
          <b:Person>
            <b:Last>Salmi</b:Last>
            <b:First>J.</b:First>
          </b:Person>
        </b:NameList>
      </b:Author>
    </b:Author>
    <b:RefOrder>6</b:RefOrder>
  </b:Source>
  <b:Source>
    <b:Tag>Lac08</b:Tag>
    <b:SourceType>JournalArticle</b:SourceType>
    <b:Guid>{F60791AE-E086-3047-B1F9-B24730476304}</b:Guid>
    <b:Title>How to use MATLAB to fit the ex-Gaussian and other probability functions to a distribution of response times</b:Title>
    <b:JournalName>Tutorials in Quantitative Methods for Psychology</b:JournalName>
    <b:Year>2008</b:Year>
    <b:Volume>4</b:Volume>
    <b:Issue>1</b:Issue>
    <b:Pages>35-45</b:Pages>
    <b:Author>
      <b:Author>
        <b:NameList>
          <b:Person>
            <b:Last>Lacouture</b:Last>
            <b:First>Y.</b:First>
          </b:Person>
          <b:Person>
            <b:Last>Cousineau</b:Last>
            <b:First>D.</b:First>
          </b:Person>
        </b:NameList>
      </b:Author>
    </b:Author>
    <b:RefOrder>7</b:RefOrder>
  </b:Source>
  <b:Source>
    <b:Tag>Lip11</b:Tag>
    <b:SourceType>JournalArticle</b:SourceType>
    <b:Guid>{95B40E85-741F-E649-9E7A-33D0A32D8C53}</b:Guid>
    <b:Title>On the implications of a sex difference in the reaction times of sprinters at the Beijing Olympics</b:Title>
    <b:JournalName>PLoS ONE</b:JournalName>
    <b:Year>2011</b:Year>
    <b:Volume>6</b:Volume>
    <b:Issue>10</b:Issue>
    <b:Author>
      <b:Author>
        <b:NameList>
          <b:Person>
            <b:Last>Lipps</b:Last>
            <b:First>D.</b:First>
          </b:Person>
          <b:Person>
            <b:Last>Galecki</b:Last>
            <b:First>A.</b:First>
          </b:Person>
          <b:Person>
            <b:Last>Ashton-Miller</b:Last>
            <b:First>J.</b:First>
          </b:Person>
        </b:NameList>
      </b:Author>
    </b:Author>
    <b:RefOrder>1</b:RefOrder>
  </b:Source>
  <b:Source>
    <b:Tag>Luc86</b:Tag>
    <b:SourceType>Book</b:SourceType>
    <b:Guid>{262B1449-F657-4A4E-B21F-BDB6A4B4A710}</b:Guid>
    <b:Title>Response Times</b:Title>
    <b:Publisher>Oxford University Press</b:Publisher>
    <b:Year>1986</b:Year>
    <b:Volume>Number 8</b:Volume>
    <b:Author>
      <b:Author>
        <b:NameList>
          <b:Person>
            <b:Last>Luce</b:Last>
            <b:First>R. D.</b:First>
          </b:Person>
        </b:NameList>
      </b:Author>
    </b:Author>
    <b:RefOrder>8</b:RefOrder>
  </b:Source>
  <b:Source>
    <b:Tag>Mas13</b:Tag>
    <b:SourceType>Misc</b:SourceType>
    <b:Guid>{AB539D4F-A2BB-C647-BAEC-1BA0A4F14CD1}</b:Guid>
    <b:Title>retimes: Reaction Time Analysis</b:Title>
    <b:Year>2013</b:Year>
    <b:PublicationTitle>R package version 0.1-2</b:PublicationTitle>
    <b:Author>
      <b:Author>
        <b:NameList>
          <b:Person>
            <b:Last>Massidda</b:Last>
            <b:First>D.</b:First>
          </b:Person>
        </b:NameList>
      </b:Author>
    </b:Author>
    <b:RefOrder>9</b:RefOrder>
  </b:Source>
  <b:Source>
    <b:Tag>RCo15</b:Tag>
    <b:SourceType>Misc</b:SourceType>
    <b:Guid>{8172D134-0D54-8A4A-8CD4-5A92E98CEF49}</b:Guid>
    <b:Author>
      <b:Author>
        <b:NameList>
          <b:Person>
            <b:Last>R Core Team</b:Last>
          </b:Person>
        </b:NameList>
      </b:Author>
    </b:Author>
    <b:Title>R: A Language and Environment for Statistical Computing</b:Title>
    <b:Year>2015</b:Year>
    <b:City>Vienna</b:City>
    <b:CountryRegion>Austria</b:CountryRegion>
    <b:Publisher>R Foundation for Statistical Computing</b:Publisher>
    <b:RefOrder>10</b:RefOrder>
  </b:Source>
  <b:Source>
    <b:Tag>Int15</b:Tag>
    <b:SourceType>InternetSite</b:SourceType>
    <b:Guid>{1EEF4CF3-6929-F141-8EA4-35A63DDE7A42}</b:Guid>
    <b:Title>Competition rules 2016-2017</b:Title>
    <b:Year>2015</b:Year>
    <b:URL>http://www.iaaf.org/about-iaaf/documents/rules-regulations</b:URL>
    <b:YearAccessed>2016</b:YearAccessed>
    <b:MonthAccessed>February</b:MonthAccessed>
    <b:DayAccessed>2</b:DayAccessed>
    <b:Author>
      <b:Author>
        <b:Corporate>International Association of Athletics Federations</b:Corporate>
      </b:Author>
    </b:Author>
    <b:RefOrder>11</b:RefOrder>
  </b:Source>
  <b:Source>
    <b:Tag>Mer90</b:Tag>
    <b:SourceType>JournalArticle</b:SourceType>
    <b:Guid>{367A1615-A1C1-6540-90F4-A841B3D2B0F4}</b:Guid>
    <b:Title>Reaction time and electromyographic activity during a sprint start</b:Title>
    <b:Year>1990</b:Year>
    <b:JournalName>European Journal of Applied Physiology and Occupational Physiology</b:JournalName>
    <b:Volume>25</b:Volume>
    <b:Issue>1-2</b:Issue>
    <b:Pages>73-80</b:Pages>
    <b:Author>
      <b:Author>
        <b:NameList>
          <b:Person>
            <b:Last>Mero</b:Last>
            <b:First>A.</b:First>
          </b:Person>
          <b:Person>
            <b:Last>Komi</b:Last>
            <b:First>P.</b:First>
          </b:Person>
        </b:NameList>
      </b:Author>
    </b:Author>
    <b:RefOrder>12</b:RefOrder>
  </b:Source>
  <b:Source>
    <b:Tag>Pai07</b:Tag>
    <b:SourceType>JournalArticle</b:SourceType>
    <b:Guid>{F6572649-24C2-1B46-BB89-DB2FAE717E77}</b:Guid>
    <b:Title>Sprint starts and the minimum auditory reaction time</b:Title>
    <b:JournalName>Journal of Sports Sciences</b:JournalName>
    <b:Year>2007</b:Year>
    <b:Volume>25</b:Volume>
    <b:Issue>1</b:Issue>
    <b:Pages>79-86</b:Pages>
    <b:Author>
      <b:Author>
        <b:NameList>
          <b:Person>
            <b:Last>Pain</b:Last>
            <b:First>M. T. G.</b:First>
          </b:Person>
          <b:Person>
            <b:Last>Hibbs</b:Last>
            <b:First>A.</b:First>
          </b:Person>
        </b:NameList>
      </b:Author>
    </b:Author>
    <b:RefOrder>13</b:RefOrder>
  </b:Source>
  <b:Source>
    <b:Tag>Whi90</b:Tag>
    <b:SourceType>JournalArticle</b:SourceType>
    <b:Guid>{1FC69197-4A40-FE44-B2D1-EC6A87C5C030}</b:Guid>
    <b:Title>Gender differences in cheating attitudes and classroom cheating behaviour: A meta-analysis</b:Title>
    <b:JournalName>Sex Roles</b:JournalName>
    <b:Year>1990</b:Year>
    <b:Volume>41</b:Volume>
    <b:Issue>9-10</b:Issue>
    <b:Pages>657-680</b:Pages>
    <b:Author>
      <b:Author>
        <b:NameList>
          <b:Person>
            <b:Last>Whitley</b:Last>
            <b:First>B. E.</b:First>
          </b:Person>
          <b:Person>
            <b:Last>Nelson</b:Last>
            <b:First>A. B.</b:First>
          </b:Person>
          <b:Person>
            <b:Last>Jones</b:Last>
            <b:First>C. J.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5ECC8FAE-DB36-0C47-B4FE-4B388247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8268</Words>
  <Characters>47133</Characters>
  <Application>Microsoft Macintosh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55291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3</cp:revision>
  <cp:lastPrinted>2016-04-01T15:00:00Z</cp:lastPrinted>
  <dcterms:created xsi:type="dcterms:W3CDTF">2016-04-03T11:43:00Z</dcterms:created>
  <dcterms:modified xsi:type="dcterms:W3CDTF">2016-04-03T11:53:00Z</dcterms:modified>
</cp:coreProperties>
</file>