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tbl>
      <w:tblPr>
        <w:tblW w:w="16000" w:type="dxa"/>
        <w:jc w:val="center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start w:w="60" w:type="dxa"/>
          <w:bottom w:w="60" w:type="dxa"/>
          <w:end w:w="60" w:type="dxa"/>
        </w:tblCellMar>
      </w:tblPr>
      <w:tblGrid>
        <w:gridCol w:w="1750"/>
        <w:gridCol w:w="1550"/>
        <w:gridCol w:w="2300"/>
        <w:gridCol w:w="2500"/>
        <w:gridCol w:w="2850"/>
        <w:gridCol w:w="3250"/>
        <w:gridCol w:w="1800"/>
      </w:tblGrid>
      <w:tr>
        <w:trPr>
          <w:tblHeader/>
        </w:trPr>
        <w:tc>
          <w:tcPr>
            <w:tcW w:w="17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Montserrat" w:hAnsi="Montserrat" w:eastAsia="Montserrat"/>
                <w:sz w:val="14"/>
                <w:b/>
              </w:rPr>
              <w:t xml:space="preserve">Q</w:t>
            </w:r>
          </w:p>
        </w:tc>
        <w:tc>
          <w:tcPr>
            <w:tcW w:w="15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Montserrat" w:hAnsi="Montserrat" w:eastAsia="Montserrat"/>
                <w:sz w:val="14"/>
                <w:b/>
              </w:rPr>
              <w:t xml:space="preserve">Criteria</w:t>
            </w:r>
          </w:p>
        </w:tc>
        <w:tc>
          <w:tcPr>
            <w:tcW w:w="230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Montserrat" w:hAnsi="Montserrat" w:eastAsia="Montserrat"/>
                <w:sz w:val="14"/>
                <w:b/>
              </w:rPr>
              <w:t xml:space="preserve">Not Met</w:t>
            </w:r>
          </w:p>
        </w:tc>
        <w:tc>
          <w:tcPr>
            <w:tcW w:w="250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Montserrat" w:hAnsi="Montserrat" w:eastAsia="Montserrat"/>
                <w:sz w:val="14"/>
                <w:b/>
              </w:rPr>
              <w:t xml:space="preserve">Partially Met</w:t>
            </w:r>
          </w:p>
        </w:tc>
        <w:tc>
          <w:tcPr>
            <w:tcW w:w="28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Montserrat" w:hAnsi="Montserrat" w:eastAsia="Montserrat"/>
                <w:sz w:val="14"/>
                <w:b/>
              </w:rPr>
              <w:t xml:space="preserve">Met with Development</w:t>
            </w:r>
          </w:p>
        </w:tc>
        <w:tc>
          <w:tcPr>
            <w:tcW w:w="32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Montserrat" w:hAnsi="Montserrat" w:eastAsia="Montserrat"/>
                <w:sz w:val="14"/>
                <w:b/>
              </w:rPr>
              <w:t xml:space="preserve">Fully Met</w:t>
            </w:r>
          </w:p>
        </w:tc>
        <w:tc>
          <w:tcPr>
            <w:tcW w:w="180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Montserrat" w:hAnsi="Montserrat" w:eastAsia="Montserrat"/>
                <w:sz w:val="14"/>
                <w:b/>
              </w:rPr>
              <w:t xml:space="preserve">Assessor decision / notes</w:t>
            </w:r>
          </w:p>
        </w:tc>
      </w:tr>
      <w:tr>
        <w:tc>
          <w:tcPr>
            <w:tcW w:w="17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Q1 - Informed consent and promoting choice</w:t>
            </w:r>
          </w:p>
        </w:tc>
        <w:tc>
          <w:tcPr>
            <w:tcW w:w="15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1428: 1.2</w:t>
            </w:r>
          </w:p>
        </w:tc>
        <w:tc>
          <w:tcPr>
            <w:tcW w:w="230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Response is missing, inaccurate or shows limited understanding of informed consent. Little or no link to dignity, autonomy, rights, communication or duty of care. No relevant example.</w:t>
            </w:r>
          </w:p>
        </w:tc>
        <w:tc>
          <w:tcPr>
            <w:tcW w:w="250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Basic explanation of informed consent and choice, but limited detail on how individuals are given enough information to decide. Example may be vague or not clearly linked to own practice.</w:t>
            </w:r>
          </w:p>
        </w:tc>
        <w:tc>
          <w:tcPr>
            <w:tcW w:w="28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Clear explanation of informed consent and how choice is promoted in daily practice. Links to dignity, autonomy and rights with a relevant example, but the balance between choice, risk and duty of care could be stronger.</w:t>
            </w:r>
          </w:p>
        </w:tc>
        <w:tc>
          <w:tcPr>
            <w:tcW w:w="32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Detailed explanation of informed consent, including information, understanding, choice and voluntary agreement. Clearly links consent to dignity, autonomy, rights, communication and accountability. Includes a strong real example showing how the learner balanced choice and duty of care while respecting the individual’s decision.</w:t>
            </w:r>
          </w:p>
        </w:tc>
        <w:tc>
          <w:tcPr>
            <w:tcW w:w="180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  <w:b/>
              </w:rPr>
              <w:t xml:space="preserve">Decision:</w:t>
            </w:r>
          </w:p>
          <w:p>
            <w:pPr>
              <w:spacing w:before="0" w:after="0" w:line="240" w:lineRule="auto"/>
            </w:pPr>
            <w:sdt>
              <w:sdtPr>
                <w:alias w:val="Not Met"/>
                <w:tag w:val="Not Met"/>
                <w:id w:val="715045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14"/>
                  </w:rPr>
                  <w:t>☐</w:t>
                </w:r>
              </w:sdtContent>
            </w:sdt>
            <w:r>
              <w:rPr>
                <w:rFonts w:ascii="Montserrat" w:hAnsi="Montserrat" w:eastAsia="Montserrat"/>
                <w:sz w:val="14"/>
              </w:rPr>
              <w:t xml:space="preserve"> Not Met</w:t>
            </w:r>
          </w:p>
          <w:p>
            <w:pPr>
              <w:spacing w:before="0" w:after="0" w:line="240" w:lineRule="auto"/>
            </w:pPr>
            <w:sdt>
              <w:sdtPr>
                <w:alias w:val="Partially Met"/>
                <w:tag w:val="Partially Met"/>
                <w:id w:val="283929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14"/>
                  </w:rPr>
                  <w:t>☐</w:t>
                </w:r>
              </w:sdtContent>
            </w:sdt>
            <w:r>
              <w:rPr>
                <w:rFonts w:ascii="Montserrat" w:hAnsi="Montserrat" w:eastAsia="Montserrat"/>
                <w:sz w:val="14"/>
              </w:rPr>
              <w:t xml:space="preserve"> Partially Met</w:t>
            </w:r>
          </w:p>
          <w:p>
            <w:pPr>
              <w:spacing w:before="0" w:after="0" w:line="240" w:lineRule="auto"/>
            </w:pPr>
            <w:sdt>
              <w:sdtPr>
                <w:alias w:val="Met with Development"/>
                <w:tag w:val="Met with Development"/>
                <w:id w:val="571454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14"/>
                  </w:rPr>
                  <w:t>☐</w:t>
                </w:r>
              </w:sdtContent>
            </w:sdt>
            <w:r>
              <w:rPr>
                <w:rFonts w:ascii="Montserrat" w:hAnsi="Montserrat" w:eastAsia="Montserrat"/>
                <w:sz w:val="14"/>
              </w:rPr>
              <w:t xml:space="preserve"> Met with Development</w:t>
            </w:r>
          </w:p>
          <w:p>
            <w:pPr>
              <w:spacing w:before="0" w:after="0" w:line="240" w:lineRule="auto"/>
            </w:pPr>
            <w:sdt>
              <w:sdtPr>
                <w:alias w:val="Fully Met"/>
                <w:tag w:val="Fully Met"/>
                <w:id w:val="917085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14"/>
                  </w:rPr>
                  <w:t>☐</w:t>
                </w:r>
              </w:sdtContent>
            </w:sdt>
            <w:r>
              <w:rPr>
                <w:rFonts w:ascii="Montserrat" w:hAnsi="Montserrat" w:eastAsia="Montserrat"/>
                <w:sz w:val="14"/>
              </w:rPr>
              <w:t xml:space="preserve"> Fully Met</w:t>
            </w:r>
          </w:p>
          <w:p>
            <w:pPr>
              <w:spacing w:before="0" w:after="0" w:line="240" w:lineRule="auto"/>
            </w:pPr>
            <w:r>
              <w:br/>
            </w:r>
            <w:r>
              <w:rPr>
                <w:rFonts w:ascii="Montserrat" w:hAnsi="Montserrat" w:eastAsia="Montserrat"/>
                <w:sz w:val="14"/>
              </w:rPr>
              <w:t xml:space="preserve">Notes:</w:t>
            </w:r>
            <w:r>
              <w:br/>
            </w:r>
            <w:r>
              <w:br/>
            </w:r>
            <w:r>
              <w:br/>
            </w:r>
          </w:p>
        </w:tc>
      </w:tr>
      <w:tr>
        <w:tc>
          <w:tcPr>
            <w:tcW w:w="17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Q2 - Promoting independence through technology and support</w:t>
            </w:r>
          </w:p>
        </w:tc>
        <w:tc>
          <w:tcPr>
            <w:tcW w:w="15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1428: 2.1</w:t>
            </w:r>
          </w:p>
        </w:tc>
        <w:tc>
          <w:tcPr>
            <w:tcW w:w="230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Response is missing, inaccurate or shows limited awareness of technologies or approaches that support independence. Little or no link to dignity, empowerment or risk management.</w:t>
            </w:r>
          </w:p>
        </w:tc>
        <w:tc>
          <w:tcPr>
            <w:tcW w:w="250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Identifies one or more technologies or support approaches, but explanation of how they promote independence is limited. Suitability, safety or person-centred outcomes may not be clearly addressed.</w:t>
            </w:r>
          </w:p>
        </w:tc>
        <w:tc>
          <w:tcPr>
            <w:tcW w:w="28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Clearly identifies technologies and explains how they support independence, safety and person-centred outcomes. Includes an example, but assessment of suitability, dignity or risk management could be explained in more depth.</w:t>
            </w:r>
          </w:p>
        </w:tc>
        <w:tc>
          <w:tcPr>
            <w:tcW w:w="32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Detailed identification and explanation of assistive technologies and support approaches. Clearly explains how technology promotes independence, dignity, empowerment, safety and positive risk-taking. Shows how suitability is assessed for the individual and includes a strong real example from practice.</w:t>
            </w:r>
          </w:p>
        </w:tc>
        <w:tc>
          <w:tcPr>
            <w:tcW w:w="180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  <w:b/>
              </w:rPr>
              <w:t xml:space="preserve">Decision:</w:t>
            </w:r>
          </w:p>
          <w:p>
            <w:pPr>
              <w:spacing w:before="0" w:after="0" w:line="240" w:lineRule="auto"/>
            </w:pPr>
            <w:sdt>
              <w:sdtPr>
                <w:alias w:val="Not Met"/>
                <w:tag w:val="Not Met"/>
                <w:id w:val="939715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14"/>
                  </w:rPr>
                  <w:t>☐</w:t>
                </w:r>
              </w:sdtContent>
            </w:sdt>
            <w:r>
              <w:rPr>
                <w:rFonts w:ascii="Montserrat" w:hAnsi="Montserrat" w:eastAsia="Montserrat"/>
                <w:sz w:val="14"/>
              </w:rPr>
              <w:t xml:space="preserve"> Not Met</w:t>
            </w:r>
          </w:p>
          <w:p>
            <w:pPr>
              <w:spacing w:before="0" w:after="0" w:line="240" w:lineRule="auto"/>
            </w:pPr>
            <w:sdt>
              <w:sdtPr>
                <w:alias w:val="Partially Met"/>
                <w:tag w:val="Partially Met"/>
                <w:id w:val="495279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14"/>
                  </w:rPr>
                  <w:t>☐</w:t>
                </w:r>
              </w:sdtContent>
            </w:sdt>
            <w:r>
              <w:rPr>
                <w:rFonts w:ascii="Montserrat" w:hAnsi="Montserrat" w:eastAsia="Montserrat"/>
                <w:sz w:val="14"/>
              </w:rPr>
              <w:t xml:space="preserve"> Partially Met</w:t>
            </w:r>
          </w:p>
          <w:p>
            <w:pPr>
              <w:spacing w:before="0" w:after="0" w:line="240" w:lineRule="auto"/>
            </w:pPr>
            <w:sdt>
              <w:sdtPr>
                <w:alias w:val="Met with Development"/>
                <w:tag w:val="Met with Development"/>
                <w:id w:val="5313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14"/>
                  </w:rPr>
                  <w:t>☐</w:t>
                </w:r>
              </w:sdtContent>
            </w:sdt>
            <w:r>
              <w:rPr>
                <w:rFonts w:ascii="Montserrat" w:hAnsi="Montserrat" w:eastAsia="Montserrat"/>
                <w:sz w:val="14"/>
              </w:rPr>
              <w:t xml:space="preserve"> Met with Development</w:t>
            </w:r>
          </w:p>
          <w:p>
            <w:pPr>
              <w:spacing w:before="0" w:after="0" w:line="240" w:lineRule="auto"/>
            </w:pPr>
            <w:sdt>
              <w:sdtPr>
                <w:alias w:val="Fully Met"/>
                <w:tag w:val="Fully Met"/>
                <w:id w:val="429029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14"/>
                  </w:rPr>
                  <w:t>☐</w:t>
                </w:r>
              </w:sdtContent>
            </w:sdt>
            <w:r>
              <w:rPr>
                <w:rFonts w:ascii="Montserrat" w:hAnsi="Montserrat" w:eastAsia="Montserrat"/>
                <w:sz w:val="14"/>
              </w:rPr>
              <w:t xml:space="preserve"> Fully Met</w:t>
            </w:r>
          </w:p>
          <w:p>
            <w:pPr>
              <w:spacing w:before="0" w:after="0" w:line="240" w:lineRule="auto"/>
            </w:pPr>
            <w:r>
              <w:br/>
            </w:r>
            <w:r>
              <w:rPr>
                <w:rFonts w:ascii="Montserrat" w:hAnsi="Montserrat" w:eastAsia="Montserrat"/>
                <w:sz w:val="14"/>
              </w:rPr>
              <w:t xml:space="preserve">Notes:</w:t>
            </w:r>
            <w:r>
              <w:br/>
            </w:r>
            <w:r>
              <w:br/>
            </w:r>
            <w:r>
              <w:br/>
            </w:r>
          </w:p>
        </w:tc>
      </w:tr>
      <w:tr>
        <w:tc>
          <w:tcPr>
            <w:tcW w:w="17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Q3 - Risk assessments and enabling positive risk-taking</w:t>
            </w:r>
          </w:p>
        </w:tc>
        <w:tc>
          <w:tcPr>
            <w:tcW w:w="15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1428: 3.1, 3.2, 3.3, 3.4, 3.5</w:t>
            </w:r>
          </w:p>
        </w:tc>
        <w:tc>
          <w:tcPr>
            <w:tcW w:w="230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Response is missing, inaccurate or shows limited understanding of risk assessments. Little or no link to choice, independence, person-centred practice or positive risk-taking.</w:t>
            </w:r>
          </w:p>
        </w:tc>
        <w:tc>
          <w:tcPr>
            <w:tcW w:w="250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Basic description of risk assessments, but limited explanation of how they enable independence. Role in completing, reviewing or updating assessments may be unclear. Example may be missing or weak.</w:t>
            </w:r>
          </w:p>
        </w:tc>
        <w:tc>
          <w:tcPr>
            <w:tcW w:w="28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Clear explanation of how risk assessments support safe choice and independence. Describes own role, review processes and who should be involved, but the link to positive risk-taking or balanced judgement could be stronger.</w:t>
            </w:r>
          </w:p>
        </w:tc>
        <w:tc>
          <w:tcPr>
            <w:tcW w:w="325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</w:rPr>
              <w:t xml:space="preserve">Strong explanation of how risk assessments enable person-centred practice, choice and independence rather than simply restricting risk. Clearly describes different assessment methods, own role, review triggers and involvement of individuals and others. Includes a strong real example showing balanced judgement between safety and autonomy.</w:t>
            </w:r>
          </w:p>
        </w:tc>
        <w:tc>
          <w:tcPr>
            <w:tcW w:w="1800" w:type="dxa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Montserrat" w:hAnsi="Montserrat" w:eastAsia="Montserrat"/>
                <w:sz w:val="14"/>
                <w:b/>
              </w:rPr>
              <w:t xml:space="preserve">Decision:</w:t>
            </w:r>
          </w:p>
          <w:p>
            <w:pPr>
              <w:spacing w:before="0" w:after="0" w:line="240" w:lineRule="auto"/>
            </w:pPr>
            <w:sdt>
              <w:sdtPr>
                <w:alias w:val="Not Met"/>
                <w:tag w:val="Not Met"/>
                <w:id w:val="871166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14"/>
                  </w:rPr>
                  <w:t>☐</w:t>
                </w:r>
              </w:sdtContent>
            </w:sdt>
            <w:r>
              <w:rPr>
                <w:rFonts w:ascii="Montserrat" w:hAnsi="Montserrat" w:eastAsia="Montserrat"/>
                <w:sz w:val="14"/>
              </w:rPr>
              <w:t xml:space="preserve"> Not Met</w:t>
            </w:r>
          </w:p>
          <w:p>
            <w:pPr>
              <w:spacing w:before="0" w:after="0" w:line="240" w:lineRule="auto"/>
            </w:pPr>
            <w:sdt>
              <w:sdtPr>
                <w:alias w:val="Partially Met"/>
                <w:tag w:val="Partially Met"/>
                <w:id w:val="606868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14"/>
                  </w:rPr>
                  <w:t>☐</w:t>
                </w:r>
              </w:sdtContent>
            </w:sdt>
            <w:r>
              <w:rPr>
                <w:rFonts w:ascii="Montserrat" w:hAnsi="Montserrat" w:eastAsia="Montserrat"/>
                <w:sz w:val="14"/>
              </w:rPr>
              <w:t xml:space="preserve"> Partially Met</w:t>
            </w:r>
          </w:p>
          <w:p>
            <w:pPr>
              <w:spacing w:before="0" w:after="0" w:line="240" w:lineRule="auto"/>
            </w:pPr>
            <w:sdt>
              <w:sdtPr>
                <w:alias w:val="Met with Development"/>
                <w:tag w:val="Met with Development"/>
                <w:id w:val="795542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14"/>
                  </w:rPr>
                  <w:t>☐</w:t>
                </w:r>
              </w:sdtContent>
            </w:sdt>
            <w:r>
              <w:rPr>
                <w:rFonts w:ascii="Montserrat" w:hAnsi="Montserrat" w:eastAsia="Montserrat"/>
                <w:sz w:val="14"/>
              </w:rPr>
              <w:t xml:space="preserve"> Met with Development</w:t>
            </w:r>
          </w:p>
          <w:p>
            <w:pPr>
              <w:spacing w:before="0" w:after="0" w:line="240" w:lineRule="auto"/>
            </w:pPr>
            <w:sdt>
              <w:sdtPr>
                <w:alias w:val="Fully Met"/>
                <w:tag w:val="Fully Met"/>
                <w:id w:val="481516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14"/>
                  </w:rPr>
                  <w:t>☐</w:t>
                </w:r>
              </w:sdtContent>
            </w:sdt>
            <w:r>
              <w:rPr>
                <w:rFonts w:ascii="Montserrat" w:hAnsi="Montserrat" w:eastAsia="Montserrat"/>
                <w:sz w:val="14"/>
              </w:rPr>
              <w:t xml:space="preserve"> Fully Met</w:t>
            </w:r>
          </w:p>
          <w:p>
            <w:pPr>
              <w:spacing w:before="0" w:after="0" w:line="240" w:lineRule="auto"/>
            </w:pPr>
            <w:r>
              <w:br/>
            </w:r>
            <w:r>
              <w:rPr>
                <w:rFonts w:ascii="Montserrat" w:hAnsi="Montserrat" w:eastAsia="Montserrat"/>
                <w:sz w:val="14"/>
              </w:rPr>
              <w:t xml:space="preserve">Notes: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sectPr>
        <w:pgSz w:w="16838" w:h="11906" w:orient="landscape"/>
        <w:pgMar w:top="397" w:right="397" w:bottom="397" w:left="397" w:header="720" w:footer="720" w:gutter="0"/>
      </w:sect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