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http://schemas.openxmlformats.org/wordprocessingml/2006/main" xmlns:w14="http://schemas.microsoft.com/office/word/2010/wordml" xmlns:mc="http://schemas.openxmlformats.org/markup-compatibility/2006" mc:Ignorable="w14">
  <w:body>
    <w:tbl>
      <w:tblPr>
        <w:tblW w:w="16000" w:type="dxa"/>
        <w:jc w:val="center"/>
        <w:tblLayout w:type="fixed"/>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CellMar>
          <w:top w:w="60" w:type="dxa"/>
          <w:start w:w="60" w:type="dxa"/>
          <w:bottom w:w="60" w:type="dxa"/>
          <w:end w:w="60" w:type="dxa"/>
        </w:tblCellMar>
      </w:tblPr>
      <w:tblGrid>
        <w:gridCol w:w="1750"/>
        <w:gridCol w:w="1550"/>
        <w:gridCol w:w="2300"/>
        <w:gridCol w:w="2500"/>
        <w:gridCol w:w="2850"/>
        <w:gridCol w:w="3250"/>
        <w:gridCol w:w="1800"/>
      </w:tblGrid>
      <w:tr>
        <w:trPr>
          <w:tblHeader/>
        </w:trPr>
        <w:tc>
          <w:tcPr>
            <w:tcW w:w="1750" w:type="dxa"/>
            <w:tcMar>
              <w:top w:w="60" w:type="dxa"/>
              <w:start w:w="60" w:type="dxa"/>
              <w:bottom w:w="60" w:type="dxa"/>
              <w:end w:w="60" w:type="dxa"/>
            </w:tcMar>
            <w:vAlign w:val="top"/>
            <w:shd w:fill="D9EAF7"/>
          </w:tcPr>
          <w:p>
            <w:pPr>
              <w:spacing w:before="0" w:after="0" w:line="240" w:lineRule="auto"/>
              <w:jc w:val="center"/>
            </w:pPr>
            <w:r>
              <w:rPr>
                <w:rFonts w:ascii="Montserrat" w:hAnsi="Montserrat" w:eastAsia="Montserrat"/>
                <w:sz w:val="14"/>
                <w:b/>
              </w:rPr>
              <w:t xml:space="preserve">Q</w:t>
            </w:r>
          </w:p>
        </w:tc>
        <w:tc>
          <w:tcPr>
            <w:tcW w:w="1550" w:type="dxa"/>
            <w:tcMar>
              <w:top w:w="60" w:type="dxa"/>
              <w:start w:w="60" w:type="dxa"/>
              <w:bottom w:w="60" w:type="dxa"/>
              <w:end w:w="60" w:type="dxa"/>
            </w:tcMar>
            <w:vAlign w:val="top"/>
            <w:shd w:fill="D9EAF7"/>
          </w:tcPr>
          <w:p>
            <w:pPr>
              <w:spacing w:before="0" w:after="0" w:line="240" w:lineRule="auto"/>
              <w:jc w:val="center"/>
            </w:pPr>
            <w:r>
              <w:rPr>
                <w:rFonts w:ascii="Montserrat" w:hAnsi="Montserrat" w:eastAsia="Montserrat"/>
                <w:sz w:val="14"/>
                <w:b/>
              </w:rPr>
              <w:t xml:space="preserve">Criteria</w:t>
            </w:r>
          </w:p>
        </w:tc>
        <w:tc>
          <w:tcPr>
            <w:tcW w:w="2300" w:type="dxa"/>
            <w:tcMar>
              <w:top w:w="60" w:type="dxa"/>
              <w:start w:w="60" w:type="dxa"/>
              <w:bottom w:w="60" w:type="dxa"/>
              <w:end w:w="60" w:type="dxa"/>
            </w:tcMar>
            <w:vAlign w:val="top"/>
            <w:shd w:fill="D9EAF7"/>
          </w:tcPr>
          <w:p>
            <w:pPr>
              <w:spacing w:before="0" w:after="0" w:line="240" w:lineRule="auto"/>
              <w:jc w:val="center"/>
            </w:pPr>
            <w:r>
              <w:rPr>
                <w:rFonts w:ascii="Montserrat" w:hAnsi="Montserrat" w:eastAsia="Montserrat"/>
                <w:sz w:val="14"/>
                <w:b/>
              </w:rPr>
              <w:t xml:space="preserve">Not Met</w:t>
            </w:r>
          </w:p>
        </w:tc>
        <w:tc>
          <w:tcPr>
            <w:tcW w:w="2500" w:type="dxa"/>
            <w:tcMar>
              <w:top w:w="60" w:type="dxa"/>
              <w:start w:w="60" w:type="dxa"/>
              <w:bottom w:w="60" w:type="dxa"/>
              <w:end w:w="60" w:type="dxa"/>
            </w:tcMar>
            <w:vAlign w:val="top"/>
            <w:shd w:fill="D9EAF7"/>
          </w:tcPr>
          <w:p>
            <w:pPr>
              <w:spacing w:before="0" w:after="0" w:line="240" w:lineRule="auto"/>
              <w:jc w:val="center"/>
            </w:pPr>
            <w:r>
              <w:rPr>
                <w:rFonts w:ascii="Montserrat" w:hAnsi="Montserrat" w:eastAsia="Montserrat"/>
                <w:sz w:val="14"/>
                <w:b/>
              </w:rPr>
              <w:t xml:space="preserve">Partially Met</w:t>
            </w:r>
          </w:p>
        </w:tc>
        <w:tc>
          <w:tcPr>
            <w:tcW w:w="2850" w:type="dxa"/>
            <w:tcMar>
              <w:top w:w="60" w:type="dxa"/>
              <w:start w:w="60" w:type="dxa"/>
              <w:bottom w:w="60" w:type="dxa"/>
              <w:end w:w="60" w:type="dxa"/>
            </w:tcMar>
            <w:vAlign w:val="top"/>
            <w:shd w:fill="D9EAF7"/>
          </w:tcPr>
          <w:p>
            <w:pPr>
              <w:spacing w:before="0" w:after="0" w:line="240" w:lineRule="auto"/>
              <w:jc w:val="center"/>
            </w:pPr>
            <w:r>
              <w:rPr>
                <w:rFonts w:ascii="Montserrat" w:hAnsi="Montserrat" w:eastAsia="Montserrat"/>
                <w:sz w:val="14"/>
                <w:b/>
              </w:rPr>
              <w:t xml:space="preserve">Met with Development</w:t>
            </w:r>
          </w:p>
        </w:tc>
        <w:tc>
          <w:tcPr>
            <w:tcW w:w="3250" w:type="dxa"/>
            <w:tcMar>
              <w:top w:w="60" w:type="dxa"/>
              <w:start w:w="60" w:type="dxa"/>
              <w:bottom w:w="60" w:type="dxa"/>
              <w:end w:w="60" w:type="dxa"/>
            </w:tcMar>
            <w:vAlign w:val="top"/>
            <w:shd w:fill="D9EAF7"/>
          </w:tcPr>
          <w:p>
            <w:pPr>
              <w:spacing w:before="0" w:after="0" w:line="240" w:lineRule="auto"/>
              <w:jc w:val="center"/>
            </w:pPr>
            <w:r>
              <w:rPr>
                <w:rFonts w:ascii="Montserrat" w:hAnsi="Montserrat" w:eastAsia="Montserrat"/>
                <w:sz w:val="14"/>
                <w:b/>
              </w:rPr>
              <w:t xml:space="preserve">Fully Met</w:t>
            </w:r>
          </w:p>
        </w:tc>
        <w:tc>
          <w:tcPr>
            <w:tcW w:w="1800" w:type="dxa"/>
            <w:tcMar>
              <w:top w:w="60" w:type="dxa"/>
              <w:start w:w="60" w:type="dxa"/>
              <w:bottom w:w="60" w:type="dxa"/>
              <w:end w:w="60" w:type="dxa"/>
            </w:tcMar>
            <w:vAlign w:val="top"/>
            <w:shd w:fill="D9EAF7"/>
          </w:tcPr>
          <w:p>
            <w:pPr>
              <w:spacing w:before="0" w:after="0" w:line="240" w:lineRule="auto"/>
              <w:jc w:val="center"/>
            </w:pPr>
            <w:r>
              <w:rPr>
                <w:rFonts w:ascii="Montserrat" w:hAnsi="Montserrat" w:eastAsia="Montserrat"/>
                <w:sz w:val="14"/>
                <w:b/>
              </w:rPr>
              <w:t xml:space="preserve">Assessor decision / notes</w:t>
            </w:r>
          </w:p>
        </w:tc>
      </w:tr>
      <w:tr>
        <w:tc>
          <w:tcPr>
            <w:tcW w:w="17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Q1 - Legislation, external influences and definitions in practice</w:t>
            </w:r>
          </w:p>
        </w:tc>
        <w:tc>
          <w:tcPr>
            <w:tcW w:w="15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1430: 1.1, 1.2</w:t>
            </w:r>
            <w:r>
              <w:br/>
            </w:r>
            <w:r>
              <w:rPr>
                <w:rFonts w:ascii="Montserrat" w:hAnsi="Montserrat" w:eastAsia="Montserrat"/>
                <w:sz w:val="14"/>
              </w:rPr>
              <w:t xml:space="preserve">1430: 2.1</w:t>
            </w:r>
          </w:p>
        </w:tc>
        <w:tc>
          <w:tcPr>
            <w:tcW w:w="230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Response is missing, very limited or inaccurate. Limited understanding of equality legislation, organisational policy, external influences or key equality and human rights terms. Definitions may be incorrect or not linked to care practice.</w:t>
            </w:r>
          </w:p>
        </w:tc>
        <w:tc>
          <w:tcPr>
            <w:tcW w:w="250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Basic explanation of legislation, policies or external influences, but links to the learner’s role are limited. Provides some definitions, but they may be brief, generic or not clearly applied to the setting.</w:t>
            </w:r>
          </w:p>
        </w:tc>
        <w:tc>
          <w:tcPr>
            <w:tcW w:w="28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Clear explanation of how legislation, policies, codes of practice and external factors influence the work role. Defines key terms accurately, but application to daily practice, decision-making or accountability could be stronger.</w:t>
            </w:r>
          </w:p>
        </w:tc>
        <w:tc>
          <w:tcPr>
            <w:tcW w:w="32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Detailed and accurate explanation of how legislation, organisational policy, codes of practice and external factors influence behaviour, decisions and accountability. Defines diversity, equality, inclusion, discrimination, unconscious bias, protected characteristics and human rights clearly and applies them directly to real adult care practice.</w:t>
            </w:r>
          </w:p>
        </w:tc>
        <w:tc>
          <w:tcPr>
            <w:tcW w:w="1800" w:type="dxa"/>
            <w:tcMar>
              <w:top w:w="60" w:type="dxa"/>
              <w:start w:w="60" w:type="dxa"/>
              <w:bottom w:w="60" w:type="dxa"/>
              <w:end w:w="60" w:type="dxa"/>
            </w:tcMar>
            <w:vAlign w:val="top"/>
          </w:tcPr>
          <w:p>
            <w:pPr>
              <w:spacing w:before="0" w:after="0" w:line="240" w:lineRule="auto"/>
            </w:pPr>
            <w:r>
              <w:rPr>
                <w:rFonts w:ascii="Montserrat" w:hAnsi="Montserrat" w:eastAsia="Montserrat"/>
                <w:sz w:val="14"/>
                <w:b/>
              </w:rPr>
              <w:t xml:space="preserve">Decision:</w:t>
            </w:r>
          </w:p>
          <w:p>
            <w:pPr>
              <w:spacing w:before="0" w:after="0" w:line="240" w:lineRule="auto"/>
            </w:pPr>
            <w:sdt>
              <w:sdtPr>
                <w:alias w:val="Not Met"/>
                <w:tag w:val="Not Met"/>
                <w:id w:val="545996613"/>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Not Met</w:t>
            </w:r>
          </w:p>
          <w:p>
            <w:pPr>
              <w:spacing w:before="0" w:after="0" w:line="240" w:lineRule="auto"/>
            </w:pPr>
            <w:sdt>
              <w:sdtPr>
                <w:alias w:val="Partially Met"/>
                <w:tag w:val="Partially Met"/>
                <w:id w:val="275625316"/>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Partially Met</w:t>
            </w:r>
          </w:p>
          <w:p>
            <w:pPr>
              <w:spacing w:before="0" w:after="0" w:line="240" w:lineRule="auto"/>
            </w:pPr>
            <w:sdt>
              <w:sdtPr>
                <w:alias w:val="Met with Development"/>
                <w:tag w:val="Met with Development"/>
                <w:id w:val="759023767"/>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Met with Development</w:t>
            </w:r>
          </w:p>
          <w:p>
            <w:pPr>
              <w:spacing w:before="0" w:after="0" w:line="240" w:lineRule="auto"/>
            </w:pPr>
            <w:sdt>
              <w:sdtPr>
                <w:alias w:val="Fully Met"/>
                <w:tag w:val="Fully Met"/>
                <w:id w:val="691209729"/>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Fully Met</w:t>
            </w:r>
          </w:p>
          <w:p>
            <w:pPr>
              <w:spacing w:before="0" w:after="0" w:line="240" w:lineRule="auto"/>
            </w:pPr>
            <w:r>
              <w:br/>
            </w:r>
            <w:r>
              <w:rPr>
                <w:rFonts w:ascii="Montserrat" w:hAnsi="Montserrat" w:eastAsia="Montserrat"/>
                <w:sz w:val="14"/>
              </w:rPr>
              <w:t xml:space="preserve">Notes:</w:t>
            </w:r>
            <w:r>
              <w:br/>
            </w:r>
            <w:r>
              <w:br/>
            </w:r>
            <w:r>
              <w:br/>
            </w:r>
          </w:p>
        </w:tc>
      </w:tr>
      <w:tr>
        <w:tc>
          <w:tcPr>
            <w:tcW w:w="17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Q2 - Inclusive practice and promoting positive outcomes</w:t>
            </w:r>
          </w:p>
        </w:tc>
        <w:tc>
          <w:tcPr>
            <w:tcW w:w="15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1430: 2.2, 2.3, 2.4, 2.5</w:t>
            </w:r>
          </w:p>
        </w:tc>
        <w:tc>
          <w:tcPr>
            <w:tcW w:w="230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Response is missing, inaccurate or shows limited understanding of inclusive practice. Little or no link to equality, diversity, human rights, person-centred care or improved outcomes.</w:t>
            </w:r>
          </w:p>
        </w:tc>
        <w:tc>
          <w:tcPr>
            <w:tcW w:w="250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Basic description of inclusive practice or organisational approaches. May mention respect or fairness, but gives limited explanation of impact on wellbeing, confidence, participation or quality of care. Example may be missing or weak.</w:t>
            </w:r>
          </w:p>
        </w:tc>
        <w:tc>
          <w:tcPr>
            <w:tcW w:w="28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Clear explanation of how inclusive practice promotes equality, diversity and human rights. Describes organisational and personal responsibilities with an example, but impact on outcomes or person-centred practice could be developed further.</w:t>
            </w:r>
          </w:p>
        </w:tc>
        <w:tc>
          <w:tcPr>
            <w:tcW w:w="32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Detailed explanation of how inclusive cultures promote equality, respect, rights and belonging. Clearly describes the organisation’s role and the learner’s personal responsibility in embedding inclusive practice. Includes a strong real example linked to improved wellbeing, confidence, participation and person-centred outcomes.</w:t>
            </w:r>
          </w:p>
        </w:tc>
        <w:tc>
          <w:tcPr>
            <w:tcW w:w="1800" w:type="dxa"/>
            <w:tcMar>
              <w:top w:w="60" w:type="dxa"/>
              <w:start w:w="60" w:type="dxa"/>
              <w:bottom w:w="60" w:type="dxa"/>
              <w:end w:w="60" w:type="dxa"/>
            </w:tcMar>
            <w:vAlign w:val="top"/>
          </w:tcPr>
          <w:p>
            <w:pPr>
              <w:spacing w:before="0" w:after="0" w:line="240" w:lineRule="auto"/>
            </w:pPr>
            <w:r>
              <w:rPr>
                <w:rFonts w:ascii="Montserrat" w:hAnsi="Montserrat" w:eastAsia="Montserrat"/>
                <w:sz w:val="14"/>
                <w:b/>
              </w:rPr>
              <w:t xml:space="preserve">Decision:</w:t>
            </w:r>
          </w:p>
          <w:p>
            <w:pPr>
              <w:spacing w:before="0" w:after="0" w:line="240" w:lineRule="auto"/>
            </w:pPr>
            <w:sdt>
              <w:sdtPr>
                <w:alias w:val="Not Met"/>
                <w:tag w:val="Not Met"/>
                <w:id w:val="50783983"/>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Not Met</w:t>
            </w:r>
          </w:p>
          <w:p>
            <w:pPr>
              <w:spacing w:before="0" w:after="0" w:line="240" w:lineRule="auto"/>
            </w:pPr>
            <w:sdt>
              <w:sdtPr>
                <w:alias w:val="Partially Met"/>
                <w:tag w:val="Partially Met"/>
                <w:id w:val="747480281"/>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Partially Met</w:t>
            </w:r>
          </w:p>
          <w:p>
            <w:pPr>
              <w:spacing w:before="0" w:after="0" w:line="240" w:lineRule="auto"/>
            </w:pPr>
            <w:sdt>
              <w:sdtPr>
                <w:alias w:val="Met with Development"/>
                <w:tag w:val="Met with Development"/>
                <w:id w:val="893234015"/>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Met with Development</w:t>
            </w:r>
          </w:p>
          <w:p>
            <w:pPr>
              <w:spacing w:before="0" w:after="0" w:line="240" w:lineRule="auto"/>
            </w:pPr>
            <w:sdt>
              <w:sdtPr>
                <w:alias w:val="Fully Met"/>
                <w:tag w:val="Fully Met"/>
                <w:id w:val="883825901"/>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Fully Met</w:t>
            </w:r>
          </w:p>
          <w:p>
            <w:pPr>
              <w:spacing w:before="0" w:after="0" w:line="240" w:lineRule="auto"/>
            </w:pPr>
            <w:r>
              <w:br/>
            </w:r>
            <w:r>
              <w:rPr>
                <w:rFonts w:ascii="Montserrat" w:hAnsi="Montserrat" w:eastAsia="Montserrat"/>
                <w:sz w:val="14"/>
              </w:rPr>
              <w:t xml:space="preserve">Notes:</w:t>
            </w:r>
            <w:r>
              <w:br/>
            </w:r>
            <w:r>
              <w:br/>
            </w:r>
            <w:r>
              <w:br/>
            </w:r>
          </w:p>
        </w:tc>
      </w:tr>
      <w:tr>
        <w:tc>
          <w:tcPr>
            <w:tcW w:w="17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Q3 - Challenging discrimination and unconscious bias</w:t>
            </w:r>
          </w:p>
        </w:tc>
        <w:tc>
          <w:tcPr>
            <w:tcW w:w="15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1430: 3.1, 3.2, 3.3, 3.4</w:t>
            </w:r>
          </w:p>
        </w:tc>
        <w:tc>
          <w:tcPr>
            <w:tcW w:w="230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Response is missing, inaccurate or shows limited awareness of discrimination, unconscious bias or reporting procedures. Little or no understanding of the impact on individuals or human rights.</w:t>
            </w:r>
          </w:p>
        </w:tc>
        <w:tc>
          <w:tcPr>
            <w:tcW w:w="250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Basic description of discrimination and some effects, but analysis of unconscious bias is limited. Response to discriminatory practice may be unclear, generic or missing reporting detail.</w:t>
            </w:r>
          </w:p>
        </w:tc>
        <w:tc>
          <w:tcPr>
            <w:tcW w:w="28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Clear description of the effects of discrimination and explanation of how to respond and report concerns. Includes some analysis of unconscious bias and an example, but professional challenge, impact or reflection could be stronger.</w:t>
            </w:r>
          </w:p>
        </w:tc>
        <w:tc>
          <w:tcPr>
            <w:tcW w:w="3250" w:type="dxa"/>
            <w:tcMar>
              <w:top w:w="60" w:type="dxa"/>
              <w:start w:w="60" w:type="dxa"/>
              <w:bottom w:w="60" w:type="dxa"/>
              <w:end w:w="60" w:type="dxa"/>
            </w:tcMar>
            <w:vAlign w:val="top"/>
          </w:tcPr>
          <w:p>
            <w:pPr>
              <w:spacing w:before="0" w:after="0" w:line="240" w:lineRule="auto"/>
            </w:pPr>
            <w:r>
              <w:rPr>
                <w:rFonts w:ascii="Montserrat" w:hAnsi="Montserrat" w:eastAsia="Montserrat"/>
                <w:sz w:val="14"/>
              </w:rPr>
              <w:t xml:space="preserve">Detailed description of emotional, physical and social effects of discrimination. Strong analysis of how unconscious bias can influence decisions and behaviour. Clearly explains respectful challenge, reporting procedures and professional responsibility. Includes a relevant example showing courage, professionalism and commitment to human rights.</w:t>
            </w:r>
          </w:p>
        </w:tc>
        <w:tc>
          <w:tcPr>
            <w:tcW w:w="1800" w:type="dxa"/>
            <w:tcMar>
              <w:top w:w="60" w:type="dxa"/>
              <w:start w:w="60" w:type="dxa"/>
              <w:bottom w:w="60" w:type="dxa"/>
              <w:end w:w="60" w:type="dxa"/>
            </w:tcMar>
            <w:vAlign w:val="top"/>
          </w:tcPr>
          <w:p>
            <w:pPr>
              <w:spacing w:before="0" w:after="0" w:line="240" w:lineRule="auto"/>
            </w:pPr>
            <w:r>
              <w:rPr>
                <w:rFonts w:ascii="Montserrat" w:hAnsi="Montserrat" w:eastAsia="Montserrat"/>
                <w:sz w:val="14"/>
                <w:b/>
              </w:rPr>
              <w:t xml:space="preserve">Decision:</w:t>
            </w:r>
          </w:p>
          <w:p>
            <w:pPr>
              <w:spacing w:before="0" w:after="0" w:line="240" w:lineRule="auto"/>
            </w:pPr>
            <w:sdt>
              <w:sdtPr>
                <w:alias w:val="Not Met"/>
                <w:tag w:val="Not Met"/>
                <w:id w:val="542271072"/>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Not Met</w:t>
            </w:r>
          </w:p>
          <w:p>
            <w:pPr>
              <w:spacing w:before="0" w:after="0" w:line="240" w:lineRule="auto"/>
            </w:pPr>
            <w:sdt>
              <w:sdtPr>
                <w:alias w:val="Partially Met"/>
                <w:tag w:val="Partially Met"/>
                <w:id w:val="629995545"/>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Partially Met</w:t>
            </w:r>
          </w:p>
          <w:p>
            <w:pPr>
              <w:spacing w:before="0" w:after="0" w:line="240" w:lineRule="auto"/>
            </w:pPr>
            <w:sdt>
              <w:sdtPr>
                <w:alias w:val="Met with Development"/>
                <w:tag w:val="Met with Development"/>
                <w:id w:val="454045096"/>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Met with Development</w:t>
            </w:r>
          </w:p>
          <w:p>
            <w:pPr>
              <w:spacing w:before="0" w:after="0" w:line="240" w:lineRule="auto"/>
            </w:pPr>
            <w:sdt>
              <w:sdtPr>
                <w:alias w:val="Fully Met"/>
                <w:tag w:val="Fully Met"/>
                <w:id w:val="570146307"/>
                <w14:checkbox>
                  <w14:checked w14:val="0"/>
                  <w14:checkedState w14:val="2612" w14:font="MS Gothic"/>
                  <w14:uncheckedState w14:val="2610" w14:font="MS Gothic"/>
                </w14:checkbox>
              </w:sdtPr>
              <w:sdtContent>
                <w:r>
                  <w:rPr>
                    <w:rFonts w:ascii="MS Gothic" w:hAnsi="MS Gothic" w:eastAsia="MS Gothic"/>
                    <w:sz w:val="14"/>
                  </w:rPr>
                  <w:t>☐</w:t>
                </w:r>
              </w:sdtContent>
            </w:sdt>
            <w:r>
              <w:rPr>
                <w:rFonts w:ascii="Montserrat" w:hAnsi="Montserrat" w:eastAsia="Montserrat"/>
                <w:sz w:val="14"/>
              </w:rPr>
              <w:t xml:space="preserve"> Fully Met</w:t>
            </w:r>
          </w:p>
          <w:p>
            <w:pPr>
              <w:spacing w:before="0" w:after="0" w:line="240" w:lineRule="auto"/>
            </w:pPr>
            <w:r>
              <w:br/>
            </w:r>
            <w:r>
              <w:rPr>
                <w:rFonts w:ascii="Montserrat" w:hAnsi="Montserrat" w:eastAsia="Montserrat"/>
                <w:sz w:val="14"/>
              </w:rPr>
              <w:t xml:space="preserve">Notes:</w:t>
            </w:r>
            <w:r>
              <w:br/>
            </w:r>
            <w:r>
              <w:br/>
            </w:r>
            <w:r>
              <w:br/>
            </w:r>
          </w:p>
        </w:tc>
      </w:tr>
    </w:tbl>
    <w:p>
      <w:sectPr>
        <w:pgSz w:w="16838" w:h="11906" w:orient="landscape"/>
        <w:pgMar w:top="397" w:right="397" w:bottom="397" w:left="397" w:header="720" w:footer="720" w:gutter="0"/>
      </w:sectP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