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w14="http://schemas.microsoft.com/office/word/2010/wordml" xmlns:mc="http://schemas.openxmlformats.org/markup-compatibility/2006" mc:Ignorable="w14">
  <w:body>
    <w:tbl>
      <w:tblPr>
        <w:tblW w:w="16000" w:type="dxa"/>
        <w:jc w:val="center"/>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start w:w="60" w:type="dxa"/>
          <w:bottom w:w="60" w:type="dxa"/>
          <w:end w:w="60" w:type="dxa"/>
        </w:tblCellMar>
      </w:tblPr>
      <w:tblGrid>
        <w:gridCol w:w="1750"/>
        <w:gridCol w:w="1550"/>
        <w:gridCol w:w="2300"/>
        <w:gridCol w:w="2500"/>
        <w:gridCol w:w="2850"/>
        <w:gridCol w:w="3250"/>
        <w:gridCol w:w="1800"/>
      </w:tblGrid>
      <w:tr>
        <w:trPr>
          <w:tblHeader/>
        </w:trPr>
        <w:tc>
          <w:tcPr>
            <w:tcW w:w="17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Q</w:t>
            </w:r>
          </w:p>
        </w:tc>
        <w:tc>
          <w:tcPr>
            <w:tcW w:w="15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Criteria</w:t>
            </w:r>
          </w:p>
        </w:tc>
        <w:tc>
          <w:tcPr>
            <w:tcW w:w="230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Not Met</w:t>
            </w:r>
          </w:p>
        </w:tc>
        <w:tc>
          <w:tcPr>
            <w:tcW w:w="250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Partially Met</w:t>
            </w:r>
          </w:p>
        </w:tc>
        <w:tc>
          <w:tcPr>
            <w:tcW w:w="28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Met with Development</w:t>
            </w:r>
          </w:p>
        </w:tc>
        <w:tc>
          <w:tcPr>
            <w:tcW w:w="32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Fully Met</w:t>
            </w:r>
          </w:p>
        </w:tc>
        <w:tc>
          <w:tcPr>
            <w:tcW w:w="180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Assessor decision / notes</w:t>
            </w:r>
          </w:p>
        </w:tc>
      </w:tr>
      <w:tr>
        <w:tc>
          <w:tcPr>
            <w:tcW w:w="17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Q1 - Health and safety responsibilities and safe working practice</w:t>
            </w:r>
          </w:p>
        </w:tc>
        <w:tc>
          <w:tcPr>
            <w:tcW w:w="15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1431: 1.1, 1.2, 1.3, 1.4</w:t>
            </w:r>
          </w:p>
        </w:tc>
        <w:tc>
          <w:tcPr>
            <w:tcW w:w="23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Response is missing, inaccurate or shows limited knowledge of health and safety legislation, policies or responsibilities. Little or no understanding of professional boundaries or tasks requiring specialist training.</w:t>
            </w:r>
          </w:p>
        </w:tc>
        <w:tc>
          <w:tcPr>
            <w:tcW w:w="25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Identifies some legislation or responsibilities, but explanation is basic or not clearly applied to care practice. Limited detail on employer, manager, colleague and own responsibilities. Example may be vague.</w:t>
            </w:r>
          </w:p>
        </w:tc>
        <w:tc>
          <w:tcPr>
            <w:tcW w:w="28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Clear explanation of relevant legislation, policies and shared responsibilities. Identifies tasks that require specialist training and includes an example, but links to accountability, boundaries or safe practice could be stronger.</w:t>
            </w:r>
          </w:p>
        </w:tc>
        <w:tc>
          <w:tcPr>
            <w:tcW w:w="32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Detailed explanation of relevant health and safety legislation, policies and procedures. Clearly explains responsibilities of self, employer, managers and colleagues, including tasks that must not be completed without specialist training. Includes a strong real example showing accountability, safe practice and professional boundaries.</w:t>
            </w:r>
          </w:p>
        </w:tc>
        <w:tc>
          <w:tcPr>
            <w:tcW w:w="1800" w:type="dxa"/>
            <w:tcMar>
              <w:top w:w="60" w:type="dxa"/>
              <w:start w:w="60" w:type="dxa"/>
              <w:bottom w:w="60" w:type="dxa"/>
              <w:end w:w="60" w:type="dxa"/>
            </w:tcMar>
            <w:vAlign w:val="top"/>
          </w:tcPr>
          <w:p>
            <w:pPr>
              <w:spacing w:before="0" w:after="0" w:line="240" w:lineRule="auto"/>
            </w:pPr>
            <w:r>
              <w:rPr>
                <w:rFonts w:ascii="Montserrat" w:hAnsi="Montserrat" w:eastAsia="Montserrat"/>
                <w:sz w:val="14"/>
                <w:b/>
              </w:rPr>
              <w:t xml:space="preserve">Decision:</w:t>
            </w:r>
          </w:p>
          <w:p>
            <w:pPr>
              <w:spacing w:before="0" w:after="0" w:line="240" w:lineRule="auto"/>
            </w:pPr>
            <w:sdt>
              <w:sdtPr>
                <w:alias w:val="Not Met"/>
                <w:tag w:val="Not Met"/>
                <w:id w:val="751233492"/>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Not Met</w:t>
            </w:r>
          </w:p>
          <w:p>
            <w:pPr>
              <w:spacing w:before="0" w:after="0" w:line="240" w:lineRule="auto"/>
            </w:pPr>
            <w:sdt>
              <w:sdtPr>
                <w:alias w:val="Partially Met"/>
                <w:tag w:val="Partially Met"/>
                <w:id w:val="649004214"/>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Partially Met</w:t>
            </w:r>
          </w:p>
          <w:p>
            <w:pPr>
              <w:spacing w:before="0" w:after="0" w:line="240" w:lineRule="auto"/>
            </w:pPr>
            <w:sdt>
              <w:sdtPr>
                <w:alias w:val="Met with Development"/>
                <w:tag w:val="Met with Development"/>
                <w:id w:val="432250641"/>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Met with Development</w:t>
            </w:r>
          </w:p>
          <w:p>
            <w:pPr>
              <w:spacing w:before="0" w:after="0" w:line="240" w:lineRule="auto"/>
            </w:pPr>
            <w:sdt>
              <w:sdtPr>
                <w:alias w:val="Fully Met"/>
                <w:tag w:val="Fully Met"/>
                <w:id w:val="673622019"/>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Fully Met</w:t>
            </w:r>
          </w:p>
          <w:p>
            <w:pPr>
              <w:spacing w:before="0" w:after="0" w:line="240" w:lineRule="auto"/>
            </w:pPr>
            <w:r>
              <w:br/>
            </w:r>
            <w:r>
              <w:rPr>
                <w:rFonts w:ascii="Montserrat" w:hAnsi="Montserrat" w:eastAsia="Montserrat"/>
                <w:sz w:val="14"/>
              </w:rPr>
              <w:t xml:space="preserve">Notes:</w:t>
            </w:r>
            <w:r>
              <w:br/>
            </w:r>
            <w:r>
              <w:br/>
            </w:r>
            <w:r>
              <w:br/>
            </w:r>
          </w:p>
        </w:tc>
      </w:tr>
      <w:tr>
        <w:tc>
          <w:tcPr>
            <w:tcW w:w="17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Q2 - Responding to accidents and sudden illness</w:t>
            </w:r>
          </w:p>
        </w:tc>
        <w:tc>
          <w:tcPr>
            <w:tcW w:w="15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1431: 2.1, 2.2</w:t>
            </w:r>
          </w:p>
        </w:tc>
        <w:tc>
          <w:tcPr>
            <w:tcW w:w="23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Response is missing, inaccurate or shows limited awareness of accidents, sudden illness or emergency procedures. Reporting, recording or escalation is missing or unsafe.</w:t>
            </w:r>
          </w:p>
        </w:tc>
        <w:tc>
          <w:tcPr>
            <w:tcW w:w="25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Basic description of accidents or sudden illnesses, but response procedures are limited. May miss immediate safety actions, reporting, recording or escalation detail. Example may be unclear.</w:t>
            </w:r>
          </w:p>
        </w:tc>
        <w:tc>
          <w:tcPr>
            <w:tcW w:w="28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Clear description of accidents and sudden illnesses with a relevant response process. Includes reporting and escalation, but the step-by-step explanation, safeguarding link or real example could be stronger.</w:t>
            </w:r>
          </w:p>
        </w:tc>
        <w:tc>
          <w:tcPr>
            <w:tcW w:w="32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Detailed description of possible accidents and sudden illnesses in the setting. Clearly explains immediate actions, safety checks, reporting, recording and escalation. Includes a strong real example and demonstrates calm decision-making, safeguarding awareness and accountability.</w:t>
            </w:r>
          </w:p>
        </w:tc>
        <w:tc>
          <w:tcPr>
            <w:tcW w:w="1800" w:type="dxa"/>
            <w:tcMar>
              <w:top w:w="60" w:type="dxa"/>
              <w:start w:w="60" w:type="dxa"/>
              <w:bottom w:w="60" w:type="dxa"/>
              <w:end w:w="60" w:type="dxa"/>
            </w:tcMar>
            <w:vAlign w:val="top"/>
          </w:tcPr>
          <w:p>
            <w:pPr>
              <w:spacing w:before="0" w:after="0" w:line="240" w:lineRule="auto"/>
            </w:pPr>
            <w:r>
              <w:rPr>
                <w:rFonts w:ascii="Montserrat" w:hAnsi="Montserrat" w:eastAsia="Montserrat"/>
                <w:sz w:val="14"/>
                <w:b/>
              </w:rPr>
              <w:t xml:space="preserve">Decision:</w:t>
            </w:r>
          </w:p>
          <w:p>
            <w:pPr>
              <w:spacing w:before="0" w:after="0" w:line="240" w:lineRule="auto"/>
            </w:pPr>
            <w:sdt>
              <w:sdtPr>
                <w:alias w:val="Not Met"/>
                <w:tag w:val="Not Met"/>
                <w:id w:val="863881531"/>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Not Met</w:t>
            </w:r>
          </w:p>
          <w:p>
            <w:pPr>
              <w:spacing w:before="0" w:after="0" w:line="240" w:lineRule="auto"/>
            </w:pPr>
            <w:sdt>
              <w:sdtPr>
                <w:alias w:val="Partially Met"/>
                <w:tag w:val="Partially Met"/>
                <w:id w:val="882488821"/>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Partially Met</w:t>
            </w:r>
          </w:p>
          <w:p>
            <w:pPr>
              <w:spacing w:before="0" w:after="0" w:line="240" w:lineRule="auto"/>
            </w:pPr>
            <w:sdt>
              <w:sdtPr>
                <w:alias w:val="Met with Development"/>
                <w:tag w:val="Met with Development"/>
                <w:id w:val="940425654"/>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Met with Development</w:t>
            </w:r>
          </w:p>
          <w:p>
            <w:pPr>
              <w:spacing w:before="0" w:after="0" w:line="240" w:lineRule="auto"/>
            </w:pPr>
            <w:sdt>
              <w:sdtPr>
                <w:alias w:val="Fully Met"/>
                <w:tag w:val="Fully Met"/>
                <w:id w:val="34320292"/>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Fully Met</w:t>
            </w:r>
          </w:p>
          <w:p>
            <w:pPr>
              <w:spacing w:before="0" w:after="0" w:line="240" w:lineRule="auto"/>
            </w:pPr>
            <w:r>
              <w:br/>
            </w:r>
            <w:r>
              <w:rPr>
                <w:rFonts w:ascii="Montserrat" w:hAnsi="Montserrat" w:eastAsia="Montserrat"/>
                <w:sz w:val="14"/>
              </w:rPr>
              <w:t xml:space="preserve">Notes:</w:t>
            </w:r>
            <w:r>
              <w:br/>
            </w:r>
            <w:r>
              <w:br/>
            </w:r>
            <w:r>
              <w:br/>
            </w:r>
          </w:p>
        </w:tc>
      </w:tr>
      <w:tr>
        <w:tc>
          <w:tcPr>
            <w:tcW w:w="17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Q3 - Infection prevention and control</w:t>
            </w:r>
          </w:p>
        </w:tc>
        <w:tc>
          <w:tcPr>
            <w:tcW w:w="15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1431: 4.1, 4.2, 4.3, 4.4, 4.5</w:t>
            </w:r>
            <w:r>
              <w:br/>
            </w:r>
            <w:r>
              <w:rPr>
                <w:rFonts w:ascii="Montserrat" w:hAnsi="Montserrat" w:eastAsia="Montserrat"/>
                <w:sz w:val="14"/>
              </w:rPr>
              <w:t xml:space="preserve">1431: 5.2</w:t>
            </w:r>
            <w:r>
              <w:br/>
            </w:r>
            <w:r>
              <w:rPr>
                <w:rFonts w:ascii="Montserrat" w:hAnsi="Montserrat" w:eastAsia="Montserrat"/>
                <w:sz w:val="14"/>
              </w:rPr>
              <w:t xml:space="preserve">1431: 7.1</w:t>
            </w:r>
            <w:r>
              <w:br/>
            </w:r>
            <w:r>
              <w:rPr>
                <w:rFonts w:ascii="Montserrat" w:hAnsi="Montserrat" w:eastAsia="Montserrat"/>
                <w:sz w:val="14"/>
              </w:rPr>
              <w:t xml:space="preserve">5066: 1.1, 1.2</w:t>
            </w:r>
            <w:r>
              <w:br/>
            </w:r>
            <w:r>
              <w:rPr>
                <w:rFonts w:ascii="Montserrat" w:hAnsi="Montserrat" w:eastAsia="Montserrat"/>
                <w:sz w:val="14"/>
              </w:rPr>
              <w:t xml:space="preserve">5066: 2.6</w:t>
            </w:r>
            <w:r>
              <w:br/>
            </w:r>
            <w:r>
              <w:rPr>
                <w:rFonts w:ascii="Montserrat" w:hAnsi="Montserrat" w:eastAsia="Montserrat"/>
                <w:sz w:val="14"/>
              </w:rPr>
              <w:t xml:space="preserve">5066: 3.3</w:t>
            </w:r>
            <w:r>
              <w:br/>
            </w:r>
            <w:r>
              <w:rPr>
                <w:rFonts w:ascii="Montserrat" w:hAnsi="Montserrat" w:eastAsia="Montserrat"/>
                <w:sz w:val="14"/>
              </w:rPr>
              <w:t xml:space="preserve">5066: 4.1, 4.2, 4.3, 4.4, 4.5</w:t>
            </w:r>
            <w:r>
              <w:br/>
            </w:r>
            <w:r>
              <w:rPr>
                <w:rFonts w:ascii="Montserrat" w:hAnsi="Montserrat" w:eastAsia="Montserrat"/>
                <w:sz w:val="14"/>
              </w:rPr>
              <w:t xml:space="preserve">5066: 5.1, 5.2</w:t>
            </w:r>
          </w:p>
        </w:tc>
        <w:tc>
          <w:tcPr>
            <w:tcW w:w="23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Response is missing, inaccurate or shows limited understanding of infection prevention and control. Little or no explanation of how infection spreads, reporting, outbreak response or own responsibilities.</w:t>
            </w:r>
          </w:p>
        </w:tc>
        <w:tc>
          <w:tcPr>
            <w:tcW w:w="25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Basic description of infection control, such as hand hygiene or PPE, but limited explanation of the chain of infection, early signs, cleaning, hazardous substances, external bodies, equipment handling or reporting.</w:t>
            </w:r>
          </w:p>
        </w:tc>
        <w:tc>
          <w:tcPr>
            <w:tcW w:w="28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Clear explanation of infection spread and prevention responsibilities. Covers several required areas and includes an example, but analysis of outbreak management, leadership responsibility, external bodies or reporting could be stronger.</w:t>
            </w:r>
          </w:p>
        </w:tc>
        <w:tc>
          <w:tcPr>
            <w:tcW w:w="32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Comprehensive explanation of types of infection, chain of infection, early signs, hand hygiene, cleaning, decontamination, hazardous substances, equipment handling and reporting. Strong analysis of own role in routine care and outbreaks, including supporting others, external bodies and differences in policy implementation. Includes a strong applied example showing leadership, accountability and infection control awareness.</w:t>
            </w:r>
          </w:p>
        </w:tc>
        <w:tc>
          <w:tcPr>
            <w:tcW w:w="1800" w:type="dxa"/>
            <w:tcMar>
              <w:top w:w="60" w:type="dxa"/>
              <w:start w:w="60" w:type="dxa"/>
              <w:bottom w:w="60" w:type="dxa"/>
              <w:end w:w="60" w:type="dxa"/>
            </w:tcMar>
            <w:vAlign w:val="top"/>
          </w:tcPr>
          <w:p>
            <w:pPr>
              <w:spacing w:before="0" w:after="0" w:line="240" w:lineRule="auto"/>
            </w:pPr>
            <w:r>
              <w:rPr>
                <w:rFonts w:ascii="Montserrat" w:hAnsi="Montserrat" w:eastAsia="Montserrat"/>
                <w:sz w:val="14"/>
                <w:b/>
              </w:rPr>
              <w:t xml:space="preserve">Decision:</w:t>
            </w:r>
          </w:p>
          <w:p>
            <w:pPr>
              <w:spacing w:before="0" w:after="0" w:line="240" w:lineRule="auto"/>
            </w:pPr>
            <w:sdt>
              <w:sdtPr>
                <w:alias w:val="Not Met"/>
                <w:tag w:val="Not Met"/>
                <w:id w:val="757169473"/>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Not Met</w:t>
            </w:r>
          </w:p>
          <w:p>
            <w:pPr>
              <w:spacing w:before="0" w:after="0" w:line="240" w:lineRule="auto"/>
            </w:pPr>
            <w:sdt>
              <w:sdtPr>
                <w:alias w:val="Partially Met"/>
                <w:tag w:val="Partially Met"/>
                <w:id w:val="936271549"/>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Partially Met</w:t>
            </w:r>
          </w:p>
          <w:p>
            <w:pPr>
              <w:spacing w:before="0" w:after="0" w:line="240" w:lineRule="auto"/>
            </w:pPr>
            <w:sdt>
              <w:sdtPr>
                <w:alias w:val="Met with Development"/>
                <w:tag w:val="Met with Development"/>
                <w:id w:val="428710123"/>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Met with Development</w:t>
            </w:r>
          </w:p>
          <w:p>
            <w:pPr>
              <w:spacing w:before="0" w:after="0" w:line="240" w:lineRule="auto"/>
            </w:pPr>
            <w:sdt>
              <w:sdtPr>
                <w:alias w:val="Fully Met"/>
                <w:tag w:val="Fully Met"/>
                <w:id w:val="111531750"/>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Fully Met</w:t>
            </w:r>
          </w:p>
          <w:p>
            <w:pPr>
              <w:spacing w:before="0" w:after="0" w:line="240" w:lineRule="auto"/>
            </w:pPr>
            <w:r>
              <w:br/>
            </w:r>
            <w:r>
              <w:rPr>
                <w:rFonts w:ascii="Montserrat" w:hAnsi="Montserrat" w:eastAsia="Montserrat"/>
                <w:sz w:val="14"/>
              </w:rPr>
              <w:t xml:space="preserve">Notes:</w:t>
            </w:r>
            <w:r>
              <w:br/>
            </w:r>
            <w:r>
              <w:br/>
            </w:r>
            <w:r>
              <w:br/>
            </w:r>
          </w:p>
        </w:tc>
      </w:tr>
      <w:tr>
        <w:tc>
          <w:tcPr>
            <w:tcW w:w="17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Q4 - Moving and handling, fire safety and security</w:t>
            </w:r>
          </w:p>
        </w:tc>
        <w:tc>
          <w:tcPr>
            <w:tcW w:w="15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1431: 6.1, 6.2</w:t>
            </w:r>
            <w:r>
              <w:br/>
            </w:r>
            <w:r>
              <w:rPr>
                <w:rFonts w:ascii="Montserrat" w:hAnsi="Montserrat" w:eastAsia="Montserrat"/>
                <w:sz w:val="14"/>
              </w:rPr>
              <w:t xml:space="preserve">1431: 8.1, 8.2</w:t>
            </w:r>
            <w:r>
              <w:br/>
            </w:r>
            <w:r>
              <w:rPr>
                <w:rFonts w:ascii="Montserrat" w:hAnsi="Montserrat" w:eastAsia="Montserrat"/>
                <w:sz w:val="14"/>
              </w:rPr>
              <w:t xml:space="preserve">1431: 9.1</w:t>
            </w:r>
          </w:p>
        </w:tc>
        <w:tc>
          <w:tcPr>
            <w:tcW w:w="23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Response is missing, inaccurate or shows limited understanding of moving and handling, fire safety or security. Little or no link to legislation, safe working procedures or accountability.</w:t>
            </w:r>
          </w:p>
        </w:tc>
        <w:tc>
          <w:tcPr>
            <w:tcW w:w="25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Basic description of safe practice, fire procedures or security, but explanation is limited. May not clearly link to legislation, risk management or own responsibilities. Example may be weak or missing.</w:t>
            </w:r>
          </w:p>
        </w:tc>
        <w:tc>
          <w:tcPr>
            <w:tcW w:w="28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Clear explanation of moving and handling, fire safety and security processes with an example. Shows understanding of risk awareness, but legislative links, emergency response or personal accountability could be developed further.</w:t>
            </w:r>
          </w:p>
        </w:tc>
        <w:tc>
          <w:tcPr>
            <w:tcW w:w="32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Strong explanation of moving and handling legislation and safe principles, fire prevention and emergency procedures, and security measures. Clearly explains why others need to know whereabouts and how this protects safety. Includes a relevant real example showing risk awareness, safe working practice and personal accountability.</w:t>
            </w:r>
          </w:p>
        </w:tc>
        <w:tc>
          <w:tcPr>
            <w:tcW w:w="1800" w:type="dxa"/>
            <w:tcMar>
              <w:top w:w="60" w:type="dxa"/>
              <w:start w:w="60" w:type="dxa"/>
              <w:bottom w:w="60" w:type="dxa"/>
              <w:end w:w="60" w:type="dxa"/>
            </w:tcMar>
            <w:vAlign w:val="top"/>
          </w:tcPr>
          <w:p>
            <w:pPr>
              <w:spacing w:before="0" w:after="0" w:line="240" w:lineRule="auto"/>
            </w:pPr>
            <w:r>
              <w:rPr>
                <w:rFonts w:ascii="Montserrat" w:hAnsi="Montserrat" w:eastAsia="Montserrat"/>
                <w:sz w:val="14"/>
                <w:b/>
              </w:rPr>
              <w:t xml:space="preserve">Decision:</w:t>
            </w:r>
          </w:p>
          <w:p>
            <w:pPr>
              <w:spacing w:before="0" w:after="0" w:line="240" w:lineRule="auto"/>
            </w:pPr>
            <w:sdt>
              <w:sdtPr>
                <w:alias w:val="Not Met"/>
                <w:tag w:val="Not Met"/>
                <w:id w:val="780774185"/>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Not Met</w:t>
            </w:r>
          </w:p>
          <w:p>
            <w:pPr>
              <w:spacing w:before="0" w:after="0" w:line="240" w:lineRule="auto"/>
            </w:pPr>
            <w:sdt>
              <w:sdtPr>
                <w:alias w:val="Partially Met"/>
                <w:tag w:val="Partially Met"/>
                <w:id w:val="571990646"/>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Partially Met</w:t>
            </w:r>
          </w:p>
          <w:p>
            <w:pPr>
              <w:spacing w:before="0" w:after="0" w:line="240" w:lineRule="auto"/>
            </w:pPr>
            <w:sdt>
              <w:sdtPr>
                <w:alias w:val="Met with Development"/>
                <w:tag w:val="Met with Development"/>
                <w:id w:val="856014455"/>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Met with Development</w:t>
            </w:r>
          </w:p>
          <w:p>
            <w:pPr>
              <w:spacing w:before="0" w:after="0" w:line="240" w:lineRule="auto"/>
            </w:pPr>
            <w:sdt>
              <w:sdtPr>
                <w:alias w:val="Fully Met"/>
                <w:tag w:val="Fully Met"/>
                <w:id w:val="193716899"/>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Fully Met</w:t>
            </w:r>
          </w:p>
          <w:p>
            <w:pPr>
              <w:spacing w:before="0" w:after="0" w:line="240" w:lineRule="auto"/>
            </w:pPr>
            <w:r>
              <w:br/>
            </w:r>
            <w:r>
              <w:rPr>
                <w:rFonts w:ascii="Montserrat" w:hAnsi="Montserrat" w:eastAsia="Montserrat"/>
                <w:sz w:val="14"/>
              </w:rPr>
              <w:t xml:space="preserve">Notes:</w:t>
            </w:r>
            <w:r>
              <w:br/>
            </w:r>
            <w:r>
              <w:br/>
            </w:r>
            <w:r>
              <w:br/>
            </w:r>
          </w:p>
        </w:tc>
      </w:tr>
    </w:tbl>
    <w:p>
      <w:sectPr>
        <w:pgSz w:w="16838" w:h="11906" w:orient="landscape"/>
        <w:pgMar w:top="397" w:right="397" w:bottom="397" w:left="397" w:header="720" w:footer="720" w:gutter="0"/>
      </w:sect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