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X54cd307e615825903a4e33dd06757783330d89e"/>
    <w:p>
      <w:pPr>
        <w:pStyle w:val="Heading1"/>
      </w:pPr>
      <w:r>
        <w:t xml:space="preserve">AIrep001 — Management Information (MI) Report Writing Process</w:t>
      </w:r>
    </w:p>
    <w:p>
      <w:pPr>
        <w:pStyle w:val="FirstParagraph"/>
      </w:pPr>
      <w:r>
        <w:rPr>
          <w:b/>
          <w:bCs/>
        </w:rPr>
        <w:t xml:space="preserve">Document reference:</w:t>
      </w:r>
      <w:r>
        <w:t xml:space="preserve"> </w:t>
      </w:r>
      <w:r>
        <w:t xml:space="preserve">AIrep001</w:t>
      </w:r>
      <w:r>
        <w:t xml:space="preserve"> </w:t>
      </w:r>
      <w:r>
        <w:rPr>
          <w:b/>
          <w:bCs/>
        </w:rPr>
        <w:t xml:space="preserve">Version:</w:t>
      </w:r>
      <w:r>
        <w:t xml:space="preserve"> </w:t>
      </w:r>
      <w:r>
        <w:t xml:space="preserve">1.2</w:t>
      </w:r>
      <w:r>
        <w:t xml:space="preserve"> </w:t>
      </w:r>
      <w:r>
        <w:rPr>
          <w:b/>
          <w:bCs/>
        </w:rPr>
        <w:t xml:space="preserve">Issue date:</w:t>
      </w:r>
      <w:r>
        <w:t xml:space="preserve"> </w:t>
      </w:r>
      <w:r>
        <w:t xml:space="preserve">12 May 2026</w:t>
      </w:r>
      <w:r>
        <w:t xml:space="preserve"> </w:t>
      </w:r>
      <w:r>
        <w:rPr>
          <w:b/>
          <w:bCs/>
        </w:rPr>
        <w:t xml:space="preserve">Owner:</w:t>
      </w:r>
      <w:r>
        <w:t xml:space="preserve"> </w:t>
      </w:r>
      <w:r>
        <w:t xml:space="preserve">Managing Director, DLB Investigations Ltd</w:t>
      </w:r>
      <w:r>
        <w:t xml:space="preserve"> </w:t>
      </w:r>
      <w:r>
        <w:rPr>
          <w:b/>
          <w:bCs/>
        </w:rPr>
        <w:t xml:space="preserve">Approved by:</w:t>
      </w:r>
      <w:r>
        <w:t xml:space="preserve"> </w:t>
      </w:r>
      <w:r>
        <w:t xml:space="preserve">Managing Director</w:t>
      </w:r>
      <w:r>
        <w:t xml:space="preserve"> </w:t>
      </w:r>
      <w:r>
        <w:rPr>
          <w:b/>
          <w:bCs/>
        </w:rPr>
        <w:t xml:space="preserve">Next review date:</w:t>
      </w:r>
      <w:r>
        <w:t xml:space="preserve"> </w:t>
      </w:r>
      <w:r>
        <w:t xml:space="preserve">11 May 2027</w:t>
      </w:r>
      <w:r>
        <w:t xml:space="preserve"> </w:t>
      </w:r>
      <w:r>
        <w:rPr>
          <w:b/>
          <w:bCs/>
        </w:rPr>
        <w:t xml:space="preserve">Classification:</w:t>
      </w:r>
      <w:r>
        <w:t xml:space="preserve"> </w:t>
      </w:r>
      <w:r>
        <w:t xml:space="preserve">Internal</w:t>
      </w:r>
      <w:r>
        <w:t xml:space="preserve"> </w:t>
      </w:r>
      <w:r>
        <w:rPr>
          <w:b/>
          <w:bCs/>
        </w:rPr>
        <w:t xml:space="preserve">Related document:</w:t>
      </w:r>
      <w:r>
        <w:t xml:space="preserve"> </w:t>
      </w:r>
      <w:r>
        <w:t xml:space="preserve">AIarch001 (technical/security architecture — see</w:t>
      </w:r>
      <w:r>
        <w:t xml:space="preserve"> </w:t>
      </w:r>
      <w:r>
        <w:rPr>
          <w:rStyle w:val="VerbatimChar"/>
        </w:rPr>
        <w:t xml:space="preserve">docs/AIarch001-MI-Architecture.md</w:t>
      </w:r>
      <w:r>
        <w:t xml:space="preserve">)</w:t>
      </w:r>
    </w:p>
    <w:p>
      <w:r>
        <w:pict>
          <v:rect style="width:0;height:1.5pt" o:hralign="center" o:hrstd="t" o:hr="t"/>
        </w:pict>
      </w:r>
    </w:p>
    <w:bookmarkStart w:id="9" w:name="purpose"/>
    <w:p>
      <w:pPr>
        <w:pStyle w:val="Heading2"/>
      </w:pPr>
      <w:r>
        <w:t xml:space="preserve">1. Purpose</w:t>
      </w:r>
    </w:p>
    <w:p>
      <w:pPr>
        <w:pStyle w:val="FirstParagraph"/>
      </w:pPr>
      <w:r>
        <w:t xml:space="preserve">This procedure defines how DLB Investigations Ltd produces and distributes the monthly Management Information (MI) report to clients via the DLB MI Portal. It exists to ensure that:</w:t>
      </w:r>
    </w:p>
    <w:p>
      <w:pPr>
        <w:pStyle w:val="Compact"/>
        <w:numPr>
          <w:ilvl w:val="0"/>
          <w:numId w:val="1001"/>
        </w:numPr>
      </w:pPr>
      <w:r>
        <w:t xml:space="preserve">MI is released to clients on a consistent, predictable cadence</w:t>
      </w:r>
    </w:p>
    <w:p>
      <w:pPr>
        <w:pStyle w:val="Compact"/>
        <w:numPr>
          <w:ilvl w:val="0"/>
          <w:numId w:val="1001"/>
        </w:numPr>
      </w:pPr>
      <w:r>
        <w:t xml:space="preserve">The figures presented are accurate, complete and verifiable against source data</w:t>
      </w:r>
    </w:p>
    <w:p>
      <w:pPr>
        <w:pStyle w:val="Compact"/>
        <w:numPr>
          <w:ilvl w:val="0"/>
          <w:numId w:val="1001"/>
        </w:numPr>
      </w:pPr>
      <w:r>
        <w:t xml:space="preserve">The process can be performed reliably by any trained employee, not solely by the originator</w:t>
      </w:r>
    </w:p>
    <w:p>
      <w:pPr>
        <w:pStyle w:val="Compact"/>
        <w:numPr>
          <w:ilvl w:val="0"/>
          <w:numId w:val="1001"/>
        </w:numPr>
      </w:pPr>
      <w:r>
        <w:t xml:space="preserve">Each release is auditable and exceptions are recorded</w:t>
      </w:r>
    </w:p>
    <w:p>
      <w:pPr>
        <w:pStyle w:val="FirstParagraph"/>
      </w:pPr>
      <w:r>
        <w:t xml:space="preserve">It supports compliance with ISO 9001:2015 clauses 7.5 (Documented Information), 8.1 (Operational Planning and Control), 8.5 (Production and Service Provision) and 9.1 (Monitoring, Measurement, Analysis and Evaluation).</w:t>
      </w:r>
    </w:p>
    <w:bookmarkEnd w:id="9"/>
    <w:bookmarkStart w:id="10" w:name="scope"/>
    <w:p>
      <w:pPr>
        <w:pStyle w:val="Heading2"/>
      </w:pPr>
      <w:r>
        <w:t xml:space="preserve">2. Scope</w:t>
      </w:r>
    </w:p>
    <w:p>
      <w:pPr>
        <w:pStyle w:val="FirstParagraph"/>
      </w:pPr>
      <w:r>
        <w:t xml:space="preserve">This procedure applies to:</w:t>
      </w:r>
    </w:p>
    <w:p>
      <w:pPr>
        <w:pStyle w:val="Compact"/>
        <w:numPr>
          <w:ilvl w:val="0"/>
          <w:numId w:val="1002"/>
        </w:numPr>
      </w:pPr>
      <w:r>
        <w:t xml:space="preserve">Every monthly MI release covering all clients listed in</w:t>
      </w:r>
      <w:r>
        <w:t xml:space="preserve"> </w:t>
      </w:r>
      <w:r>
        <w:rPr>
          <w:rStyle w:val="VerbatimChar"/>
        </w:rPr>
        <w:t xml:space="preserve">scripts/client-map.json</w:t>
      </w:r>
    </w:p>
    <w:p>
      <w:pPr>
        <w:pStyle w:val="Compact"/>
        <w:numPr>
          <w:ilvl w:val="0"/>
          <w:numId w:val="1002"/>
        </w:numPr>
      </w:pPr>
      <w:r>
        <w:t xml:space="preserve">All staff who hold the</w:t>
      </w:r>
      <w:r>
        <w:t xml:space="preserve"> </w:t>
      </w:r>
      <w:r>
        <w:rPr>
          <w:b/>
          <w:bCs/>
        </w:rPr>
        <w:t xml:space="preserve">MI Analyst</w:t>
      </w:r>
      <w:r>
        <w:t xml:space="preserve"> </w:t>
      </w:r>
      <w:r>
        <w:t xml:space="preserve">role or its designated backup</w:t>
      </w:r>
    </w:p>
    <w:p>
      <w:pPr>
        <w:pStyle w:val="Compact"/>
        <w:numPr>
          <w:ilvl w:val="0"/>
          <w:numId w:val="1002"/>
        </w:numPr>
      </w:pPr>
      <w:r>
        <w:t xml:space="preserve">All systems involved in the MI production chain: TrackOps, the DLB MI Portal GitHub repository (</w:t>
      </w:r>
      <w:r>
        <w:rPr>
          <w:rStyle w:val="VerbatimChar"/>
        </w:rPr>
        <w:t xml:space="preserve">dlbltd/MI-Portal</w:t>
      </w:r>
      <w:r>
        <w:t xml:space="preserve">), GitHub Actions, GitHub Pages and Microsoft 365 (mailbox</w:t>
      </w:r>
      <w:r>
        <w:t xml:space="preserve"> </w:t>
      </w:r>
      <w:r>
        <w:rPr>
          <w:rStyle w:val="VerbatimChar"/>
        </w:rPr>
        <w:t xml:space="preserve">midata@dlbinvestigations.co.uk</w:t>
      </w:r>
      <w:r>
        <w:t xml:space="preserve">)</w:t>
      </w:r>
    </w:p>
    <w:p>
      <w:pPr>
        <w:pStyle w:val="FirstParagraph"/>
      </w:pPr>
      <w:r>
        <w:t xml:space="preserve">Out of scope: production of bespoke ad-hoc MI for individual client requests; reporting against the internal SLA dashboard.</w:t>
      </w:r>
    </w:p>
    <w:bookmarkEnd w:id="10"/>
    <w:bookmarkStart w:id="11" w:name="responsibilities"/>
    <w:p>
      <w:pPr>
        <w:pStyle w:val="Heading2"/>
      </w:pPr>
      <w:r>
        <w:t xml:space="preserve">3.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Responsibility</w:t>
            </w:r>
          </w:p>
        </w:tc>
      </w:tr>
      <w:tr>
        <w:tc>
          <w:tcPr/>
          <w:p>
            <w:pPr>
              <w:pStyle w:val="Compact"/>
            </w:pPr>
            <w:r>
              <w:rPr>
                <w:b/>
                <w:bCs/>
              </w:rPr>
              <w:t xml:space="preserve">Process Owner</w:t>
            </w:r>
            <w:r>
              <w:t xml:space="preserve"> </w:t>
            </w:r>
            <w:r>
              <w:t xml:space="preserve">(Managing Director)</w:t>
            </w:r>
          </w:p>
        </w:tc>
        <w:tc>
          <w:tcPr/>
          <w:p>
            <w:pPr>
              <w:pStyle w:val="Compact"/>
            </w:pPr>
            <w:r>
              <w:t xml:space="preserve">Approves this procedure and its revisions. Owns the relationship with TrackOps and Microsoft for upstream issues. Holds final authority over data corrections.</w:t>
            </w:r>
          </w:p>
        </w:tc>
      </w:tr>
      <w:tr>
        <w:tc>
          <w:tcPr/>
          <w:p>
            <w:pPr>
              <w:pStyle w:val="Compact"/>
            </w:pPr>
            <w:r>
              <w:rPr>
                <w:b/>
                <w:bCs/>
              </w:rPr>
              <w:t xml:space="preserve">MI Analyst</w:t>
            </w:r>
            <w:r>
              <w:t xml:space="preserve"> </w:t>
            </w:r>
            <w:r>
              <w:t xml:space="preserve">(primary)</w:t>
            </w:r>
          </w:p>
        </w:tc>
        <w:tc>
          <w:tcPr/>
          <w:p>
            <w:pPr>
              <w:pStyle w:val="Compact"/>
            </w:pPr>
            <w:r>
              <w:t xml:space="preserve">Executes the monthly release on schedule. Performs all verification checks. Maintains the recipient list and client mapping.</w:t>
            </w:r>
          </w:p>
        </w:tc>
      </w:tr>
      <w:tr>
        <w:tc>
          <w:tcPr/>
          <w:p>
            <w:pPr>
              <w:pStyle w:val="Compact"/>
            </w:pPr>
            <w:r>
              <w:rPr>
                <w:b/>
                <w:bCs/>
              </w:rPr>
              <w:t xml:space="preserve">MI Analyst (Backup)</w:t>
            </w:r>
          </w:p>
        </w:tc>
        <w:tc>
          <w:tcPr/>
          <w:p>
            <w:pPr>
              <w:pStyle w:val="Compact"/>
            </w:pPr>
            <w:r>
              <w:t xml:space="preserve">Performs the release in the primary’s absence. Must complete the training checklist (Annex A) before being entrusted with a live run.</w:t>
            </w:r>
          </w:p>
        </w:tc>
      </w:tr>
      <w:tr>
        <w:tc>
          <w:tcPr/>
          <w:p>
            <w:pPr>
              <w:pStyle w:val="Compact"/>
            </w:pPr>
            <w:r>
              <w:rPr>
                <w:b/>
                <w:bCs/>
              </w:rPr>
              <w:t xml:space="preserve">IT / Systems</w:t>
            </w:r>
          </w:p>
        </w:tc>
        <w:tc>
          <w:tcPr/>
          <w:p>
            <w:pPr>
              <w:pStyle w:val="Compact"/>
            </w:pPr>
            <w:r>
              <w:t xml:space="preserve">Maintains GitHub repository access. Holds the Azure AD app registration credentials. Rotates Microsoft Graph client secrets per the schedule in Annex B.</w:t>
            </w:r>
          </w:p>
        </w:tc>
      </w:tr>
    </w:tbl>
    <w:bookmarkEnd w:id="11"/>
    <w:bookmarkStart w:id="12" w:name="definitions"/>
    <w:p>
      <w:pPr>
        <w:pStyle w:val="Heading2"/>
      </w:pPr>
      <w:r>
        <w:t xml:space="preserve">4. Definitions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MI</w:t>
            </w:r>
          </w:p>
        </w:tc>
        <w:tc>
          <w:tcPr/>
          <w:p>
            <w:pPr>
              <w:pStyle w:val="Compact"/>
            </w:pPr>
            <w:r>
              <w:t xml:space="preserve">Management Information — the monthly performance report produced for each insurer/legal client</w:t>
            </w:r>
          </w:p>
        </w:tc>
      </w:tr>
      <w:tr>
        <w:tc>
          <w:tcPr/>
          <w:p>
            <w:pPr>
              <w:pStyle w:val="Compact"/>
            </w:pPr>
            <w:r>
              <w:rPr>
                <w:b/>
                <w:bCs/>
              </w:rPr>
              <w:t xml:space="preserve">TrackOps</w:t>
            </w:r>
          </w:p>
        </w:tc>
        <w:tc>
          <w:tcPr/>
          <w:p>
            <w:pPr>
              <w:pStyle w:val="Compact"/>
            </w:pPr>
            <w:r>
              <w:t xml:space="preserve">Case management system used by DLB at</w:t>
            </w:r>
            <w:r>
              <w:t xml:space="preserve"> </w:t>
            </w:r>
            <w:r>
              <w:rPr>
                <w:rStyle w:val="VerbatimChar"/>
              </w:rPr>
              <w:t xml:space="preserve">https://dlbinvestigations.viewcases.com</w:t>
            </w:r>
            <w:r>
              <w:t xml:space="preserve">. Source of truth for case data.</w:t>
            </w:r>
          </w:p>
        </w:tc>
      </w:tr>
      <w:tr>
        <w:tc>
          <w:tcPr/>
          <w:p>
            <w:pPr>
              <w:pStyle w:val="Compact"/>
            </w:pPr>
            <w:r>
              <w:rPr>
                <w:b/>
                <w:bCs/>
              </w:rPr>
              <w:t xml:space="preserve">MI Portal</w:t>
            </w:r>
          </w:p>
        </w:tc>
        <w:tc>
          <w:tcPr/>
          <w:p>
            <w:pPr>
              <w:pStyle w:val="Compact"/>
            </w:pPr>
            <w:r>
              <w:t xml:space="preserve">Static website at</w:t>
            </w:r>
            <w:r>
              <w:t xml:space="preserve"> </w:t>
            </w:r>
            <w:r>
              <w:rPr>
                <w:rStyle w:val="VerbatimChar"/>
              </w:rPr>
              <w:t xml:space="preserve">https://mi.dlbinvestigations.co.uk/</w:t>
            </w:r>
            <w:r>
              <w:t xml:space="preserve"> </w:t>
            </w:r>
            <w:r>
              <w:t xml:space="preserve">(custom domain CNAME’d to GitHub Pages at</w:t>
            </w:r>
            <w:r>
              <w:t xml:space="preserve"> </w:t>
            </w:r>
            <w:r>
              <w:rPr>
                <w:rStyle w:val="VerbatimChar"/>
              </w:rPr>
              <w:t xml:space="preserve">dlbltd.github.io</w:t>
            </w:r>
            <w:r>
              <w:t xml:space="preserve">). Per-client dashboard rendered from generated JS data files.</w:t>
            </w:r>
          </w:p>
        </w:tc>
      </w:tr>
      <w:tr>
        <w:tc>
          <w:tcPr/>
          <w:p>
            <w:pPr>
              <w:pStyle w:val="Compact"/>
            </w:pPr>
            <w:r>
              <w:rPr>
                <w:b/>
                <w:bCs/>
              </w:rPr>
              <w:t xml:space="preserve">SLA</w:t>
            </w:r>
          </w:p>
        </w:tc>
        <w:tc>
          <w:tcPr/>
          <w:p>
            <w:pPr>
              <w:pStyle w:val="Compact"/>
            </w:pPr>
            <w:r>
              <w:t xml:space="preserve">Service Level Agreement. See</w:t>
            </w:r>
            <w:r>
              <w:t xml:space="preserve"> </w:t>
            </w:r>
            <w:r>
              <w:rPr>
                <w:rStyle w:val="VerbatimChar"/>
              </w:rPr>
              <w:t xml:space="preserve">scripts/process-csv.js</w:t>
            </w:r>
            <w:r>
              <w:t xml:space="preserve"> </w:t>
            </w:r>
            <w:r>
              <w:t xml:space="preserve">header comments for the precise thresholds applied per case type.</w:t>
            </w:r>
          </w:p>
        </w:tc>
      </w:tr>
      <w:tr>
        <w:tc>
          <w:tcPr/>
          <w:p>
            <w:pPr>
              <w:pStyle w:val="Compact"/>
            </w:pPr>
            <w:r>
              <w:rPr>
                <w:b/>
                <w:bCs/>
              </w:rPr>
              <w:t xml:space="preserve">RTC case</w:t>
            </w:r>
          </w:p>
        </w:tc>
        <w:tc>
          <w:tcPr/>
          <w:p>
            <w:pPr>
              <w:pStyle w:val="Compact"/>
            </w:pPr>
            <w:r>
              <w:t xml:space="preserve">A case whose Case Type is</w:t>
            </w:r>
            <w:r>
              <w:t xml:space="preserve"> </w:t>
            </w:r>
            <w:r>
              <w:t xml:space="preserve">“RTC”</w:t>
            </w:r>
            <w:r>
              <w:t xml:space="preserve"> </w:t>
            </w:r>
            <w:r>
              <w:t xml:space="preserve">or whose Services/Flags contain the term</w:t>
            </w:r>
            <w:r>
              <w:t xml:space="preserve"> </w:t>
            </w:r>
            <w:r>
              <w:t xml:space="preserve">“RTC”</w:t>
            </w:r>
            <w:r>
              <w:t xml:space="preserve">. Subject to the 48-hour report SLA.</w:t>
            </w:r>
          </w:p>
        </w:tc>
      </w:tr>
      <w:tr>
        <w:tc>
          <w:tcPr/>
          <w:p>
            <w:pPr>
              <w:pStyle w:val="Compact"/>
            </w:pPr>
            <w:r>
              <w:rPr>
                <w:b/>
                <w:bCs/>
              </w:rPr>
              <w:t xml:space="preserve">General case</w:t>
            </w:r>
          </w:p>
        </w:tc>
        <w:tc>
          <w:tcPr/>
          <w:p>
            <w:pPr>
              <w:pStyle w:val="Compact"/>
            </w:pPr>
            <w:r>
              <w:t xml:space="preserve">Any case that is not RTC. Subject to the 5-day update and 72-hour report SLAs.</w:t>
            </w:r>
          </w:p>
        </w:tc>
      </w:tr>
      <w:tr>
        <w:tc>
          <w:tcPr/>
          <w:p>
            <w:pPr>
              <w:pStyle w:val="Compact"/>
            </w:pPr>
            <w:r>
              <w:rPr>
                <w:b/>
                <w:bCs/>
              </w:rPr>
              <w:t xml:space="preserve">Release cycle</w:t>
            </w:r>
          </w:p>
        </w:tc>
        <w:tc>
          <w:tcPr/>
          <w:p>
            <w:pPr>
              <w:pStyle w:val="Compact"/>
            </w:pPr>
            <w:r>
              <w:t xml:space="preserve">One full execution of this procedure for a given calendar month.</w:t>
            </w:r>
          </w:p>
        </w:tc>
      </w:tr>
    </w:tbl>
    <w:bookmarkEnd w:id="12"/>
    <w:bookmarkStart w:id="13" w:name="references"/>
    <w:p>
      <w:pPr>
        <w:pStyle w:val="Heading2"/>
      </w:pPr>
      <w:r>
        <w:t xml:space="preserve">5. References</w:t>
      </w:r>
    </w:p>
    <w:p>
      <w:pPr>
        <w:pStyle w:val="Compact"/>
        <w:numPr>
          <w:ilvl w:val="0"/>
          <w:numId w:val="1003"/>
        </w:numPr>
      </w:pPr>
      <w:r>
        <w:t xml:space="preserve">ISO 9001:2015 — Quality management systems — Requirements</w:t>
      </w:r>
    </w:p>
    <w:p>
      <w:pPr>
        <w:pStyle w:val="Compact"/>
        <w:numPr>
          <w:ilvl w:val="0"/>
          <w:numId w:val="1003"/>
        </w:numPr>
      </w:pPr>
      <w:r>
        <w:rPr>
          <w:rStyle w:val="VerbatimChar"/>
        </w:rPr>
        <w:t xml:space="preserve">scripts/process-csv.js</w:t>
      </w:r>
      <w:r>
        <w:t xml:space="preserve"> </w:t>
      </w:r>
      <w:r>
        <w:t xml:space="preserve">— CSV processor (source code documents SLA rules in comments)</w:t>
      </w:r>
    </w:p>
    <w:p>
      <w:pPr>
        <w:pStyle w:val="Compact"/>
        <w:numPr>
          <w:ilvl w:val="0"/>
          <w:numId w:val="1003"/>
        </w:numPr>
      </w:pPr>
      <w:r>
        <w:rPr>
          <w:rStyle w:val="VerbatimChar"/>
        </w:rPr>
        <w:t xml:space="preserve">scripts/client-map.json</w:t>
      </w:r>
      <w:r>
        <w:t xml:space="preserve"> </w:t>
      </w:r>
      <w:r>
        <w:t xml:space="preserve">— TrackOps client-name → MI-Portal file mapping</w:t>
      </w:r>
    </w:p>
    <w:p>
      <w:pPr>
        <w:pStyle w:val="Compact"/>
        <w:numPr>
          <w:ilvl w:val="0"/>
          <w:numId w:val="1003"/>
        </w:numPr>
      </w:pPr>
      <w:r>
        <w:rPr>
          <w:rStyle w:val="VerbatimChar"/>
        </w:rPr>
        <w:t xml:space="preserve">scripts/client-recipients.json</w:t>
      </w:r>
      <w:r>
        <w:t xml:space="preserve"> </w:t>
      </w:r>
      <w:r>
        <w:t xml:space="preserve">— Email addresses per client</w:t>
      </w:r>
    </w:p>
    <w:p>
      <w:pPr>
        <w:pStyle w:val="Compact"/>
        <w:numPr>
          <w:ilvl w:val="0"/>
          <w:numId w:val="1003"/>
        </w:numPr>
      </w:pPr>
      <w:r>
        <w:rPr>
          <w:rStyle w:val="VerbatimChar"/>
        </w:rPr>
        <w:t xml:space="preserve">.github/workflows/monthly-mi-email.yml</w:t>
      </w:r>
      <w:r>
        <w:t xml:space="preserve"> </w:t>
      </w:r>
      <w:r>
        <w:t xml:space="preserve">— Scheduled mailer configuration</w:t>
      </w:r>
    </w:p>
    <w:p>
      <w:pPr>
        <w:pStyle w:val="Compact"/>
        <w:numPr>
          <w:ilvl w:val="0"/>
          <w:numId w:val="1003"/>
        </w:numPr>
      </w:pPr>
      <w:r>
        <w:t xml:space="preserve">DLB-QMS-FORM-MI-01 — Monthly MI Release Record (Annex C of this document)</w:t>
      </w:r>
    </w:p>
    <w:bookmarkEnd w:id="13"/>
    <w:bookmarkStart w:id="14" w:name="process-flow"/>
    <w:p>
      <w:pPr>
        <w:pStyle w:val="Heading2"/>
      </w:pPr>
      <w:r>
        <w:t xml:space="preserve">6. Process flow</w:t>
      </w:r>
    </w:p>
    <w:p>
      <w:pPr>
        <w:pStyle w:val="SourceCode"/>
      </w:pPr>
      <w:r>
        <w:rPr>
          <w:rStyle w:val="VerbatimChar"/>
        </w:rPr>
        <w:t xml:space="preserve">┌─────────────────────────┐</w:t>
      </w:r>
      <w:r>
        <w:br/>
      </w:r>
      <w:r>
        <w:rPr>
          <w:rStyle w:val="VerbatimChar"/>
        </w:rPr>
        <w:t xml:space="preserve">│  Day -2 (3rd of month)  │   Pre-release data quality review</w:t>
      </w:r>
      <w:r>
        <w:br/>
      </w:r>
      <w:r>
        <w:rPr>
          <w:rStyle w:val="VerbatimChar"/>
        </w:rPr>
        <w:t xml:space="preserve">│  Review TrackOps data   │   Fix any source typos</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Day 0  (5th of month)  │   Production day</w:t>
      </w:r>
      <w:r>
        <w:br/>
      </w:r>
      <w:r>
        <w:rPr>
          <w:rStyle w:val="VerbatimChar"/>
        </w:rPr>
        <w:t xml:space="preserve">│  Export CSV             │</w:t>
      </w:r>
      <w:r>
        <w:br/>
      </w:r>
      <w:r>
        <w:rPr>
          <w:rStyle w:val="VerbatimChar"/>
        </w:rPr>
        <w:t xml:space="preserve">│  Run processor          │</w:t>
      </w:r>
      <w:r>
        <w:br/>
      </w:r>
      <w:r>
        <w:rPr>
          <w:rStyle w:val="VerbatimChar"/>
        </w:rPr>
        <w:t xml:space="preserve">│  Verify outputs         │</w:t>
      </w:r>
      <w:r>
        <w:br/>
      </w:r>
      <w:r>
        <w:rPr>
          <w:rStyle w:val="VerbatimChar"/>
        </w:rPr>
        <w:t xml:space="preserve">│  Publish to portal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Day 0, 08:00 UTC       │   Automated mailer</w:t>
      </w:r>
      <w:r>
        <w:br/>
      </w:r>
      <w:r>
        <w:rPr>
          <w:rStyle w:val="VerbatimChar"/>
        </w:rPr>
        <w:t xml:space="preserve">│  GitHub Actions fires   │   No manual intervention</w:t>
      </w:r>
      <w:r>
        <w:br/>
      </w:r>
      <w:r>
        <w:rPr>
          <w:rStyle w:val="VerbatimChar"/>
        </w:rPr>
        <w:t xml:space="preserve">│  Sends to all clients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Day +1                 │   Post-release verification</w:t>
      </w:r>
      <w:r>
        <w:br/>
      </w:r>
      <w:r>
        <w:rPr>
          <w:rStyle w:val="VerbatimChar"/>
        </w:rPr>
        <w:t xml:space="preserve">│  Check Sent Items       │</w:t>
      </w:r>
      <w:r>
        <w:br/>
      </w:r>
      <w:r>
        <w:rPr>
          <w:rStyle w:val="VerbatimChar"/>
        </w:rPr>
        <w:t xml:space="preserve">│  Record completion      │</w:t>
      </w:r>
      <w:r>
        <w:br/>
      </w:r>
      <w:r>
        <w:rPr>
          <w:rStyle w:val="VerbatimChar"/>
        </w:rPr>
        <w:t xml:space="preserve">└─────────────────────────┘</w:t>
      </w:r>
    </w:p>
    <w:bookmarkEnd w:id="14"/>
    <w:bookmarkStart w:id="24" w:name="procedure"/>
    <w:p>
      <w:pPr>
        <w:pStyle w:val="Heading2"/>
      </w:pPr>
      <w:r>
        <w:t xml:space="preserve">7. Procedure</w:t>
      </w:r>
    </w:p>
    <w:bookmarkStart w:id="15" w:name="Xab263608315f63d8dad7a72ac5b3963b7da756d"/>
    <w:p>
      <w:pPr>
        <w:pStyle w:val="Heading3"/>
      </w:pPr>
      <w:r>
        <w:t xml:space="preserve">7.1 Pre-release data quality review (Day -2, ~30 min)</w:t>
      </w:r>
    </w:p>
    <w:p>
      <w:pPr>
        <w:pStyle w:val="FirstParagraph"/>
      </w:pPr>
      <w:r>
        <w:t xml:space="preserve">The MI Analyst shall, two working days before each release:</w:t>
      </w:r>
    </w:p>
    <w:p>
      <w:pPr>
        <w:pStyle w:val="Compact"/>
        <w:numPr>
          <w:ilvl w:val="0"/>
          <w:numId w:val="1004"/>
        </w:numPr>
      </w:pPr>
      <w:r>
        <w:t xml:space="preserve">Sign into TrackOps at</w:t>
      </w:r>
      <w:r>
        <w:t xml:space="preserve"> </w:t>
      </w:r>
      <w:r>
        <w:rPr>
          <w:rStyle w:val="VerbatimChar"/>
        </w:rPr>
        <w:t xml:space="preserve">https://dlbinvestigations.viewcases.com</w:t>
      </w:r>
      <w:r>
        <w:t xml:space="preserve">.</w:t>
      </w:r>
    </w:p>
    <w:p>
      <w:pPr>
        <w:pStyle w:val="Compact"/>
        <w:numPr>
          <w:ilvl w:val="0"/>
          <w:numId w:val="1004"/>
        </w:numPr>
      </w:pPr>
      <w:r>
        <w:t xml:space="preserve">Open the Cases view filtered to the current calendar year.</w:t>
      </w:r>
    </w:p>
    <w:p>
      <w:pPr>
        <w:pStyle w:val="Compact"/>
        <w:numPr>
          <w:ilvl w:val="0"/>
          <w:numId w:val="1004"/>
        </w:numPr>
      </w:pPr>
      <w:r>
        <w:t xml:space="preserve">Spot-check 10 cases that are marked Invoiced or Invoice Paid and verify that the following fields are populated:</w:t>
      </w:r>
    </w:p>
    <w:p>
      <w:pPr>
        <w:pStyle w:val="Compact"/>
        <w:numPr>
          <w:ilvl w:val="1"/>
          <w:numId w:val="1005"/>
        </w:numPr>
      </w:pPr>
      <w:r>
        <w:rPr>
          <w:b/>
          <w:bCs/>
        </w:rPr>
        <w:t xml:space="preserve">Date Created</w:t>
      </w:r>
    </w:p>
    <w:p>
      <w:pPr>
        <w:pStyle w:val="Compact"/>
        <w:numPr>
          <w:ilvl w:val="1"/>
          <w:numId w:val="1005"/>
        </w:numPr>
      </w:pPr>
      <w:r>
        <w:rPr>
          <w:b/>
          <w:bCs/>
        </w:rPr>
        <w:t xml:space="preserve">Date client first updated?</w:t>
      </w:r>
    </w:p>
    <w:p>
      <w:pPr>
        <w:pStyle w:val="Compact"/>
        <w:numPr>
          <w:ilvl w:val="1"/>
          <w:numId w:val="1005"/>
        </w:numPr>
      </w:pPr>
      <w:r>
        <w:rPr>
          <w:b/>
          <w:bCs/>
        </w:rPr>
        <w:t xml:space="preserve">Date statement obtained</w:t>
      </w:r>
      <w:r>
        <w:t xml:space="preserve"> </w:t>
      </w:r>
      <w:r>
        <w:t xml:space="preserve">(where applicable to the case type)</w:t>
      </w:r>
    </w:p>
    <w:p>
      <w:pPr>
        <w:pStyle w:val="Compact"/>
        <w:numPr>
          <w:ilvl w:val="1"/>
          <w:numId w:val="1005"/>
        </w:numPr>
      </w:pPr>
      <w:r>
        <w:rPr>
          <w:b/>
          <w:bCs/>
        </w:rPr>
        <w:t xml:space="preserve">Date Report sent to client?</w:t>
      </w:r>
    </w:p>
    <w:p>
      <w:pPr>
        <w:pStyle w:val="Compact"/>
        <w:numPr>
          <w:ilvl w:val="0"/>
          <w:numId w:val="1004"/>
        </w:numPr>
      </w:pPr>
      <w:r>
        <w:t xml:space="preserve">Flag any cases with implausibly old or future dates (e.g. a</w:t>
      </w:r>
      <w:r>
        <w:t xml:space="preserve"> </w:t>
      </w:r>
      <w:r>
        <w:t xml:space="preserve">“Date client first updated?”</w:t>
      </w:r>
      <w:r>
        <w:t xml:space="preserve"> </w:t>
      </w:r>
      <w:r>
        <w:t xml:space="preserve">earlier than</w:t>
      </w:r>
      <w:r>
        <w:t xml:space="preserve"> </w:t>
      </w:r>
      <w:r>
        <w:t xml:space="preserve">“Date Created”</w:t>
      </w:r>
      <w:r>
        <w:t xml:space="preserve"> </w:t>
      </w:r>
      <w:r>
        <w:t xml:space="preserve">indicates a data-entry typo and should be corrected at source).</w:t>
      </w:r>
    </w:p>
    <w:p>
      <w:pPr>
        <w:pStyle w:val="Compact"/>
        <w:numPr>
          <w:ilvl w:val="0"/>
          <w:numId w:val="1004"/>
        </w:numPr>
      </w:pPr>
      <w:r>
        <w:t xml:space="preserve">Record the spot-check on the Monthly MI Release Record (Annex C).</w:t>
      </w:r>
    </w:p>
    <w:bookmarkEnd w:id="15"/>
    <w:bookmarkStart w:id="19" w:name="X6b5a6cdc7782e4cd09dd714fb06d8023e5f8bbc"/>
    <w:p>
      <w:pPr>
        <w:pStyle w:val="Heading3"/>
      </w:pPr>
      <w:r>
        <w:t xml:space="preserve">7.2 Production day — export and process (Day 0, ~10 min)</w:t>
      </w:r>
    </w:p>
    <w:bookmarkStart w:id="16" w:name="export-the-csvs-from-trackops"/>
    <w:p>
      <w:pPr>
        <w:pStyle w:val="Heading4"/>
      </w:pPr>
      <w:r>
        <w:t xml:space="preserve">7.2.1 Export the CSVs from TrackOps</w:t>
      </w:r>
    </w:p>
    <w:p>
      <w:pPr>
        <w:pStyle w:val="FirstParagraph"/>
      </w:pPr>
      <w:r>
        <w:rPr>
          <w:b/>
          <w:bCs/>
        </w:rPr>
        <w:t xml:space="preserve">Two exports are required each month</w:t>
      </w:r>
      <w:r>
        <w:t xml:space="preserve"> </w:t>
      </w:r>
      <w:r>
        <w:t xml:space="preserve">— one for cases (activity / SLA data) and one for invoice line items (revenue breakdown). Both use the same date range and the same export workflow.</w:t>
      </w:r>
    </w:p>
    <w:p>
      <w:pPr>
        <w:pStyle w:val="BodyText"/>
      </w:pPr>
      <w:r>
        <w:rPr>
          <w:b/>
          <w:bCs/>
        </w:rPr>
        <w:t xml:space="preserve">Step 1 — Set the date range and export the Case List</w:t>
      </w:r>
    </w:p>
    <w:p>
      <w:pPr>
        <w:pStyle w:val="BodyText"/>
      </w:pPr>
      <w:r>
        <w:t xml:space="preserve">The MI Analyst shall:</w:t>
      </w:r>
    </w:p>
    <w:p>
      <w:pPr>
        <w:pStyle w:val="Compact"/>
        <w:numPr>
          <w:ilvl w:val="0"/>
          <w:numId w:val="1006"/>
        </w:numPr>
      </w:pPr>
      <w:r>
        <w:t xml:space="preserve">Open</w:t>
      </w:r>
      <w:r>
        <w:t xml:space="preserve"> </w:t>
      </w:r>
      <w:r>
        <w:rPr>
          <w:b/>
          <w:bCs/>
        </w:rPr>
        <w:t xml:space="preserve">TrackOps</w:t>
      </w:r>
      <w:r>
        <w:t xml:space="preserve"> </w:t>
      </w:r>
      <w:r>
        <w:t xml:space="preserve">at</w:t>
      </w:r>
      <w:r>
        <w:t xml:space="preserve"> </w:t>
      </w:r>
      <w:r>
        <w:rPr>
          <w:rStyle w:val="VerbatimChar"/>
        </w:rPr>
        <w:t xml:space="preserve">https://dlbinvestigations.viewcases.com</w:t>
      </w:r>
      <w:r>
        <w:t xml:space="preserve"> </w:t>
      </w:r>
      <w:r>
        <w:t xml:space="preserve">and sign in.</w:t>
      </w:r>
    </w:p>
    <w:p>
      <w:pPr>
        <w:pStyle w:val="Compact"/>
        <w:numPr>
          <w:ilvl w:val="0"/>
          <w:numId w:val="1006"/>
        </w:numPr>
      </w:pPr>
      <w:r>
        <w:t xml:space="preserve">Navigate to the</w:t>
      </w:r>
      <w:r>
        <w:t xml:space="preserve"> </w:t>
      </w:r>
      <w:r>
        <w:rPr>
          <w:b/>
          <w:bCs/>
        </w:rPr>
        <w:t xml:space="preserve">Case List</w:t>
      </w:r>
      <w:r>
        <w:t xml:space="preserve">.</w:t>
      </w:r>
    </w:p>
    <w:p>
      <w:pPr>
        <w:pStyle w:val="Compact"/>
        <w:numPr>
          <w:ilvl w:val="0"/>
          <w:numId w:val="1006"/>
        </w:numPr>
      </w:pPr>
      <w:r>
        <w:t xml:space="preserve">Click</w:t>
      </w:r>
      <w:r>
        <w:t xml:space="preserve"> </w:t>
      </w:r>
      <w:r>
        <w:rPr>
          <w:b/>
          <w:bCs/>
        </w:rPr>
        <w:t xml:space="preserve">Advanced</w:t>
      </w:r>
      <w:r>
        <w:t xml:space="preserve"> </w:t>
      </w:r>
      <w:r>
        <w:t xml:space="preserve">to expand the advanced filters panel.</w:t>
      </w:r>
    </w:p>
    <w:p>
      <w:pPr>
        <w:pStyle w:val="Compact"/>
        <w:numPr>
          <w:ilvl w:val="0"/>
          <w:numId w:val="1006"/>
        </w:numPr>
      </w:pPr>
      <w:r>
        <w:rPr>
          <w:b/>
          <w:bCs/>
        </w:rPr>
        <w:t xml:space="preserve">Scroll to the bottom of the screen.</w:t>
      </w:r>
      <w:r>
        <w:t xml:space="preserve"> </w:t>
      </w:r>
      <w:r>
        <w:t xml:space="preserve">In the</w:t>
      </w:r>
      <w:r>
        <w:t xml:space="preserve"> </w:t>
      </w:r>
      <w:r>
        <w:rPr>
          <w:b/>
          <w:bCs/>
        </w:rPr>
        <w:t xml:space="preserve">right-hand sidebar at the foot of the page</w:t>
      </w:r>
      <w:r>
        <w:t xml:space="preserve"> </w:t>
      </w:r>
      <w:r>
        <w:t xml:space="preserve">there is a date-range filter.</w:t>
      </w:r>
    </w:p>
    <w:p>
      <w:pPr>
        <w:pStyle w:val="Compact"/>
        <w:numPr>
          <w:ilvl w:val="0"/>
          <w:numId w:val="1006"/>
        </w:numPr>
      </w:pPr>
      <w:r>
        <w:t xml:space="preserve">Enter the date range:</w:t>
      </w:r>
    </w:p>
    <w:p>
      <w:pPr>
        <w:pStyle w:val="Compact"/>
        <w:numPr>
          <w:ilvl w:val="1"/>
          <w:numId w:val="1007"/>
        </w:numPr>
      </w:pPr>
      <w:r>
        <w:rPr>
          <w:b/>
          <w:bCs/>
        </w:rPr>
        <w:t xml:space="preserve">From:</w:t>
      </w:r>
      <w:r>
        <w:t xml:space="preserve"> </w:t>
      </w:r>
      <w:r>
        <w:rPr>
          <w:rStyle w:val="VerbatimChar"/>
        </w:rPr>
        <w:t xml:space="preserve">1 January</w:t>
      </w:r>
      <w:r>
        <w:t xml:space="preserve"> </w:t>
      </w:r>
      <w:r>
        <w:t xml:space="preserve">of the current calendar year (e.g. </w:t>
      </w:r>
      <w:r>
        <w:rPr>
          <w:rStyle w:val="VerbatimChar"/>
        </w:rPr>
        <w:t xml:space="preserve">1/1/26</w:t>
      </w:r>
      <w:r>
        <w:t xml:space="preserve">)</w:t>
      </w:r>
    </w:p>
    <w:p>
      <w:pPr>
        <w:pStyle w:val="Compact"/>
        <w:numPr>
          <w:ilvl w:val="1"/>
          <w:numId w:val="1007"/>
        </w:numPr>
      </w:pPr>
      <w:r>
        <w:rPr>
          <w:b/>
          <w:bCs/>
        </w:rPr>
        <w:t xml:space="preserve">To:</w:t>
      </w:r>
      <w:r>
        <w:t xml:space="preserve"> </w:t>
      </w:r>
      <w:r>
        <w:t xml:space="preserve">the</w:t>
      </w:r>
      <w:r>
        <w:t xml:space="preserve"> </w:t>
      </w:r>
      <w:r>
        <w:rPr>
          <w:b/>
          <w:bCs/>
        </w:rPr>
        <w:t xml:space="preserve">last day of the last full calendar month</w:t>
      </w:r>
      <w:r>
        <w:t xml:space="preserve"> </w:t>
      </w:r>
      <w:r>
        <w:t xml:space="preserve">that precedes today’s date.</w:t>
      </w:r>
    </w:p>
    <w:p>
      <w:pPr>
        <w:pStyle w:val="Compact"/>
        <w:numPr>
          <w:ilvl w:val="2"/>
          <w:numId w:val="1008"/>
        </w:numPr>
      </w:pPr>
      <w:r>
        <w:rPr>
          <w:b/>
          <w:bCs/>
        </w:rPr>
        <w:t xml:space="preserve">Example:</w:t>
      </w:r>
      <w:r>
        <w:t xml:space="preserve"> </w:t>
      </w:r>
      <w:r>
        <w:t xml:space="preserve">if today is</w:t>
      </w:r>
      <w:r>
        <w:t xml:space="preserve"> </w:t>
      </w:r>
      <w:r>
        <w:rPr>
          <w:rStyle w:val="VerbatimChar"/>
        </w:rPr>
        <w:t xml:space="preserve">11/5/26</w:t>
      </w:r>
      <w:r>
        <w:t xml:space="preserve"> </w:t>
      </w:r>
      <w:r>
        <w:t xml:space="preserve">(11 May 2026), the end date is</w:t>
      </w:r>
      <w:r>
        <w:t xml:space="preserve"> </w:t>
      </w:r>
      <w:r>
        <w:rPr>
          <w:rStyle w:val="VerbatimChar"/>
        </w:rPr>
        <w:t xml:space="preserve">30/4/26</w:t>
      </w:r>
      <w:r>
        <w:t xml:space="preserve"> </w:t>
      </w:r>
      <w:r>
        <w:t xml:space="preserve">(30 April 2026).</w:t>
      </w:r>
    </w:p>
    <w:p>
      <w:pPr>
        <w:pStyle w:val="Compact"/>
        <w:numPr>
          <w:ilvl w:val="2"/>
          <w:numId w:val="1008"/>
        </w:numPr>
      </w:pPr>
      <w:r>
        <w:rPr>
          <w:b/>
          <w:bCs/>
        </w:rPr>
        <w:t xml:space="preserve">Example:</w:t>
      </w:r>
      <w:r>
        <w:t xml:space="preserve"> </w:t>
      </w:r>
      <w:r>
        <w:t xml:space="preserve">if today is</w:t>
      </w:r>
      <w:r>
        <w:t xml:space="preserve"> </w:t>
      </w:r>
      <w:r>
        <w:rPr>
          <w:rStyle w:val="VerbatimChar"/>
        </w:rPr>
        <w:t xml:space="preserve">5/12/26</w:t>
      </w:r>
      <w:r>
        <w:t xml:space="preserve"> </w:t>
      </w:r>
      <w:r>
        <w:t xml:space="preserve">(5 December 2026), the end date is</w:t>
      </w:r>
      <w:r>
        <w:t xml:space="preserve"> </w:t>
      </w:r>
      <w:r>
        <w:rPr>
          <w:rStyle w:val="VerbatimChar"/>
        </w:rPr>
        <w:t xml:space="preserve">30/11/26</w:t>
      </w:r>
      <w:r>
        <w:t xml:space="preserve"> </w:t>
      </w:r>
      <w:r>
        <w:t xml:space="preserve">(30 November 2026).</w:t>
      </w:r>
    </w:p>
    <w:p>
      <w:pPr>
        <w:pStyle w:val="Compact"/>
        <w:numPr>
          <w:ilvl w:val="1"/>
          <w:numId w:val="1007"/>
        </w:numPr>
      </w:pPr>
      <w:r>
        <w:t xml:space="preserve">The current month is</w:t>
      </w:r>
      <w:r>
        <w:t xml:space="preserve"> </w:t>
      </w:r>
      <w:r>
        <w:rPr>
          <w:b/>
          <w:bCs/>
        </w:rPr>
        <w:t xml:space="preserve">always excluded</w:t>
      </w:r>
      <w:r>
        <w:t xml:space="preserve"> </w:t>
      </w:r>
      <w:r>
        <w:t xml:space="preserve">because it is not yet complete and would skew month-end aggregates.</w:t>
      </w:r>
    </w:p>
    <w:p>
      <w:pPr>
        <w:pStyle w:val="Compact"/>
        <w:numPr>
          <w:ilvl w:val="0"/>
          <w:numId w:val="1006"/>
        </w:numPr>
      </w:pPr>
      <w:r>
        <w:t xml:space="preserve">Apply the filter and wait until the filtered case list is fully loaded on screen.</w:t>
      </w:r>
    </w:p>
    <w:p>
      <w:pPr>
        <w:pStyle w:val="Compact"/>
        <w:numPr>
          <w:ilvl w:val="0"/>
          <w:numId w:val="1006"/>
        </w:numPr>
      </w:pPr>
      <w:r>
        <w:t xml:space="preserve">At the</w:t>
      </w:r>
      <w:r>
        <w:t xml:space="preserve"> </w:t>
      </w:r>
      <w:r>
        <w:rPr>
          <w:b/>
          <w:bCs/>
        </w:rPr>
        <w:t xml:space="preserve">top right of the screen</w:t>
      </w:r>
      <w:r>
        <w:t xml:space="preserve">, click</w:t>
      </w:r>
      <w:r>
        <w:t xml:space="preserve"> </w:t>
      </w:r>
      <w:r>
        <w:rPr>
          <w:b/>
          <w:bCs/>
        </w:rPr>
        <w:t xml:space="preserve">Export</w:t>
      </w:r>
      <w:r>
        <w:t xml:space="preserve">. Select</w:t>
      </w:r>
      <w:r>
        <w:t xml:space="preserve"> </w:t>
      </w:r>
      <w:r>
        <w:rPr>
          <w:b/>
          <w:bCs/>
        </w:rPr>
        <w:t xml:space="preserve">CSV</w:t>
      </w:r>
      <w:r>
        <w:t xml:space="preserve"> </w:t>
      </w:r>
      <w:r>
        <w:t xml:space="preserve">if prompted for a format.</w:t>
      </w:r>
    </w:p>
    <w:p>
      <w:pPr>
        <w:pStyle w:val="Compact"/>
        <w:numPr>
          <w:ilvl w:val="0"/>
          <w:numId w:val="1006"/>
        </w:numPr>
      </w:pPr>
      <w:r>
        <w:t xml:space="preserve">Save the downloaded file. By default it lands in</w:t>
      </w:r>
      <w:r>
        <w:t xml:space="preserve"> </w:t>
      </w:r>
      <w:r>
        <w:rPr>
          <w:rStyle w:val="VerbatimChar"/>
        </w:rPr>
        <w:t xml:space="preserve">~/Downloads/</w:t>
      </w:r>
      <w:r>
        <w:t xml:space="preserve"> </w:t>
      </w:r>
      <w:r>
        <w:t xml:space="preserve">with a name of the form</w:t>
      </w:r>
      <w:r>
        <w:t xml:space="preserve"> </w:t>
      </w:r>
      <w:r>
        <w:rPr>
          <w:rStyle w:val="VerbatimChar"/>
        </w:rPr>
        <w:t xml:space="preserve">cases_YYYY-MM-DD_-_YYYY-MM-DD_&lt;timestamp&gt;.csv</w:t>
      </w:r>
      <w:r>
        <w:t xml:space="preserve">. Do not rename it — the processor accepts the default name.</w:t>
      </w:r>
    </w:p>
    <w:p>
      <w:pPr>
        <w:pStyle w:val="FirstParagraph"/>
      </w:pPr>
      <w:r>
        <w:rPr>
          <w:b/>
          <w:bCs/>
        </w:rPr>
        <w:t xml:space="preserve">Step 2 — Export the Invoice Details</w:t>
      </w:r>
    </w:p>
    <w:p>
      <w:pPr>
        <w:pStyle w:val="Compact"/>
        <w:numPr>
          <w:ilvl w:val="0"/>
          <w:numId w:val="1009"/>
        </w:numPr>
      </w:pPr>
      <w:r>
        <w:t xml:space="preserve">In TrackOps, navigate to the</w:t>
      </w:r>
      <w:r>
        <w:t xml:space="preserve"> </w:t>
      </w:r>
      <w:r>
        <w:rPr>
          <w:b/>
          <w:bCs/>
        </w:rPr>
        <w:t xml:space="preserve">Invoices</w:t>
      </w:r>
      <w:r>
        <w:t xml:space="preserve"> </w:t>
      </w:r>
      <w:r>
        <w:t xml:space="preserve">view (Reports → Invoices, or top navigation).</w:t>
      </w:r>
    </w:p>
    <w:p>
      <w:pPr>
        <w:pStyle w:val="Compact"/>
        <w:numPr>
          <w:ilvl w:val="0"/>
          <w:numId w:val="1009"/>
        </w:numPr>
      </w:pPr>
      <w:r>
        <w:t xml:space="preserve">Apply the</w:t>
      </w:r>
      <w:r>
        <w:t xml:space="preserve"> </w:t>
      </w:r>
      <w:r>
        <w:rPr>
          <w:b/>
          <w:bCs/>
        </w:rPr>
        <w:t xml:space="preserve">same date range</w:t>
      </w:r>
      <w:r>
        <w:t xml:space="preserve"> </w:t>
      </w:r>
      <w:r>
        <w:t xml:space="preserve">as in step 5 (1 January [current year] to the last day of the last full calendar month).</w:t>
      </w:r>
    </w:p>
    <w:p>
      <w:pPr>
        <w:pStyle w:val="Compact"/>
        <w:numPr>
          <w:ilvl w:val="0"/>
          <w:numId w:val="1009"/>
        </w:numPr>
      </w:pPr>
      <w:r>
        <w:t xml:space="preserve">Choose the export format:</w:t>
      </w:r>
      <w:r>
        <w:t xml:space="preserve"> </w:t>
      </w:r>
      <w:r>
        <w:rPr>
          <w:b/>
          <w:bCs/>
        </w:rPr>
        <w:t xml:space="preserve">“Invoice Details”</w:t>
      </w:r>
      <w:r>
        <w:t xml:space="preserve"> </w:t>
      </w:r>
      <w:r>
        <w:t xml:space="preserve">(or equivalently named — one row per line item, not one row per invoice). This is critical — the case-level invoice totals on their own are not enough; we need the line-item breakdown to differentiate RTC services from Full Investigations, Cold Calls, Interpreters etc.</w:t>
      </w:r>
    </w:p>
    <w:p>
      <w:pPr>
        <w:pStyle w:val="Compact"/>
        <w:numPr>
          <w:ilvl w:val="0"/>
          <w:numId w:val="1009"/>
        </w:numPr>
      </w:pPr>
      <w:r>
        <w:t xml:space="preserve">Click</w:t>
      </w:r>
      <w:r>
        <w:t xml:space="preserve"> </w:t>
      </w:r>
      <w:r>
        <w:rPr>
          <w:b/>
          <w:bCs/>
        </w:rPr>
        <w:t xml:space="preserve">Export</w:t>
      </w:r>
      <w:r>
        <w:t xml:space="preserve"> </w:t>
      </w:r>
      <w:r>
        <w:t xml:space="preserve">and save. The default filename is of the form</w:t>
      </w:r>
      <w:r>
        <w:t xml:space="preserve"> </w:t>
      </w:r>
      <w:r>
        <w:rPr>
          <w:rStyle w:val="VerbatimChar"/>
        </w:rPr>
        <w:t xml:space="preserve">invoice_details_YYYY-MM-DD_-_YYYY-MM-DD_&lt;timestamp&gt;.csv</w:t>
      </w:r>
      <w:r>
        <w:t xml:space="preserve">. Save to</w:t>
      </w:r>
      <w:r>
        <w:t xml:space="preserve"> </w:t>
      </w:r>
      <w:r>
        <w:rPr>
          <w:rStyle w:val="VerbatimChar"/>
        </w:rPr>
        <w:t xml:space="preserve">~/Downloads/</w:t>
      </w:r>
      <w:r>
        <w:t xml:space="preserve">.</w:t>
      </w:r>
    </w:p>
    <w:p>
      <w:pPr>
        <w:pStyle w:val="FirstParagraph"/>
      </w:pPr>
      <w:r>
        <w:t xml:space="preserve">You should now have</w:t>
      </w:r>
      <w:r>
        <w:t xml:space="preserve"> </w:t>
      </w:r>
      <w:r>
        <w:rPr>
          <w:b/>
          <w:bCs/>
        </w:rPr>
        <w:t xml:space="preserve">two files</w:t>
      </w:r>
      <w:r>
        <w:t xml:space="preserve"> </w:t>
      </w:r>
      <w:r>
        <w:t xml:space="preserve">in your Downloads folder, both for the same period:</w:t>
      </w:r>
    </w:p>
    <w:p>
      <w:pPr>
        <w:pStyle w:val="SourceCode"/>
      </w:pPr>
      <w:r>
        <w:rPr>
          <w:rStyle w:val="VerbatimChar"/>
        </w:rPr>
        <w:t xml:space="preserve">~/Downloads/cases_2026-01-01_-_2026-04-30_&lt;timestamp&gt;.csv</w:t>
      </w:r>
      <w:r>
        <w:br/>
      </w:r>
      <w:r>
        <w:rPr>
          <w:rStyle w:val="VerbatimChar"/>
        </w:rPr>
        <w:t xml:space="preserve">~/Downloads/invoice_details_2026-01-01_-_2026-04-30_&lt;timestamp&gt;.csv</w:t>
      </w:r>
    </w:p>
    <w:bookmarkEnd w:id="16"/>
    <w:bookmarkStart w:id="17" w:name="process-the-csvs"/>
    <w:p>
      <w:pPr>
        <w:pStyle w:val="Heading4"/>
      </w:pPr>
      <w:r>
        <w:t xml:space="preserve">7.2.2 Process the CSVs</w:t>
      </w:r>
    </w:p>
    <w:p>
      <w:pPr>
        <w:pStyle w:val="FirstParagraph"/>
      </w:pPr>
      <w:r>
        <w:t xml:space="preserve">The MI Analyst has two routes — either is acceptable, both produce identical output.</w:t>
      </w:r>
    </w:p>
    <w:p>
      <w:pPr>
        <w:pStyle w:val="BodyText"/>
      </w:pPr>
      <w:r>
        <w:rPr>
          <w:b/>
          <w:bCs/>
        </w:rPr>
        <w:t xml:space="preserve">Route A — via Claude Code</w:t>
      </w:r>
      <w:r>
        <w:t xml:space="preserve"> </w:t>
      </w:r>
      <w:r>
        <w:t xml:space="preserve">(recommended for non-technical users)</w:t>
      </w:r>
    </w:p>
    <w:p>
      <w:pPr>
        <w:numPr>
          <w:ilvl w:val="0"/>
          <w:numId w:val="1010"/>
        </w:numPr>
      </w:pPr>
      <w:r>
        <w:t xml:space="preserve">Open</w:t>
      </w:r>
      <w:r>
        <w:t xml:space="preserve"> </w:t>
      </w:r>
      <w:r>
        <w:rPr>
          <w:b/>
          <w:bCs/>
        </w:rPr>
        <w:t xml:space="preserve">Terminal.app</w:t>
      </w:r>
      <w:r>
        <w:t xml:space="preserve"> </w:t>
      </w:r>
      <w:r>
        <w:t xml:space="preserve">on the workstation.</w:t>
      </w:r>
    </w:p>
    <w:p>
      <w:pPr>
        <w:numPr>
          <w:ilvl w:val="0"/>
          <w:numId w:val="1010"/>
        </w:numPr>
      </w:pPr>
      <w:r>
        <w:t xml:space="preserve">Change into the MI Portal project directory:</w:t>
      </w:r>
    </w:p>
    <w:p>
      <w:pPr>
        <w:pStyle w:val="SourceCode"/>
        <w:numPr>
          <w:ilvl w:val="0"/>
          <w:numId w:val="1000"/>
        </w:numPr>
      </w:pPr>
      <w:r>
        <w:rPr>
          <w:rStyle w:val="BuiltInTok"/>
        </w:rPr>
        <w:t xml:space="preserve">cd</w:t>
      </w:r>
      <w:r>
        <w:rPr>
          <w:rStyle w:val="NormalTok"/>
        </w:rPr>
        <w:t xml:space="preserve"> /Users/daveb/Desktop/MI-Portal</w:t>
      </w:r>
    </w:p>
    <w:p>
      <w:pPr>
        <w:numPr>
          <w:ilvl w:val="0"/>
          <w:numId w:val="1000"/>
        </w:numPr>
      </w:pPr>
      <w:r>
        <w:rPr>
          <w:i/>
          <w:iCs/>
        </w:rPr>
        <w:t xml:space="preserve">(or the equivalent path if the repository is cloned elsewhere on the analyst’s machine)</w:t>
      </w:r>
    </w:p>
    <w:p>
      <w:pPr>
        <w:numPr>
          <w:ilvl w:val="0"/>
          <w:numId w:val="1010"/>
        </w:numPr>
      </w:pPr>
      <w:r>
        <w:t xml:space="preserve">Start a Claude Code session by typing</w:t>
      </w:r>
      <w:r>
        <w:t xml:space="preserve"> </w:t>
      </w:r>
      <w:r>
        <w:rPr>
          <w:rStyle w:val="VerbatimChar"/>
        </w:rPr>
        <w:t xml:space="preserve">claude</w:t>
      </w:r>
      <w:r>
        <w:t xml:space="preserve"> </w:t>
      </w:r>
      <w:r>
        <w:t xml:space="preserve">and pressing</w:t>
      </w:r>
      <w:r>
        <w:t xml:space="preserve"> </w:t>
      </w:r>
      <w:r>
        <w:rPr>
          <w:b/>
          <w:bCs/>
        </w:rPr>
        <w:t xml:space="preserve">Return</w:t>
      </w:r>
      <w:r>
        <w:t xml:space="preserve">. Claude Code is installed system-wide; if the command is not recognised, install it once per the instructions at https://docs.claude.com/claude-code.</w:t>
      </w:r>
    </w:p>
    <w:p>
      <w:pPr>
        <w:numPr>
          <w:ilvl w:val="0"/>
          <w:numId w:val="1010"/>
        </w:numPr>
      </w:pPr>
      <w:r>
        <w:t xml:space="preserve">At the Claude Code prompt, paste the</w:t>
      </w:r>
      <w:r>
        <w:t xml:space="preserve"> </w:t>
      </w:r>
      <w:r>
        <w:rPr>
          <w:b/>
          <w:bCs/>
        </w:rPr>
        <w:t xml:space="preserve">full paths of both CSV files</w:t>
      </w:r>
      <w:r>
        <w:t xml:space="preserve"> </w:t>
      </w:r>
      <w:r>
        <w:t xml:space="preserve">saved in §7.2.1 and ask Claude to update the MI. A working prompt is:</w:t>
      </w:r>
    </w:p>
    <w:p>
      <w:pPr>
        <w:pStyle w:val="BlockText"/>
        <w:numPr>
          <w:ilvl w:val="0"/>
          <w:numId w:val="1000"/>
        </w:numPr>
      </w:pPr>
      <w:r>
        <w:t xml:space="preserve">Please update the MI from these CSVs:</w:t>
      </w:r>
      <w:r>
        <w:t xml:space="preserve"> </w:t>
      </w:r>
      <w:r>
        <w:t xml:space="preserve">Cases:</w:t>
      </w:r>
      <w:r>
        <w:t xml:space="preserve"> </w:t>
      </w:r>
      <w:r>
        <w:rPr>
          <w:rStyle w:val="VerbatimChar"/>
        </w:rPr>
        <w:t xml:space="preserve">/Users/daveb/Downloads/cases_2026-01-01_-_2026-04-30_&lt;timestamp&gt;.csv</w:t>
      </w:r>
      <w:r>
        <w:t xml:space="preserve"> </w:t>
      </w:r>
      <w:r>
        <w:t xml:space="preserve">Invoices:</w:t>
      </w:r>
      <w:r>
        <w:t xml:space="preserve"> </w:t>
      </w:r>
      <w:r>
        <w:rPr>
          <w:rStyle w:val="VerbatimChar"/>
        </w:rPr>
        <w:t xml:space="preserve">/Users/daveb/Downloads/invoice_details_2026-01-01_-_2026-04-30_&lt;timestamp&gt;.csv</w:t>
      </w:r>
    </w:p>
    <w:p>
      <w:pPr>
        <w:numPr>
          <w:ilvl w:val="0"/>
          <w:numId w:val="1010"/>
        </w:numPr>
      </w:pPr>
      <w:r>
        <w:t xml:space="preserve">Claude will run the processor, summarise the per-client output, perform the verification checks listed in §7.2.3, and offer to commit and push the changes. Approve the commit when prompted.</w:t>
      </w:r>
    </w:p>
    <w:p>
      <w:pPr>
        <w:pStyle w:val="FirstParagraph"/>
      </w:pPr>
      <w:r>
        <w:rPr>
          <w:b/>
          <w:bCs/>
        </w:rPr>
        <w:t xml:space="preserve">Route B — direct terminal command</w:t>
      </w:r>
      <w:r>
        <w:t xml:space="preserve"> </w:t>
      </w:r>
      <w:r>
        <w:t xml:space="preserve">(for technical users)</w:t>
      </w:r>
    </w:p>
    <w:p>
      <w:pPr>
        <w:pStyle w:val="SourceCode"/>
      </w:pPr>
      <w:r>
        <w:rPr>
          <w:rStyle w:val="BuiltInTok"/>
        </w:rPr>
        <w:t xml:space="preserve">cd</w:t>
      </w:r>
      <w:r>
        <w:rPr>
          <w:rStyle w:val="NormalTok"/>
        </w:rPr>
        <w:t xml:space="preserve"> /Users/daveb/Desktop/MI-Portal</w:t>
      </w:r>
      <w:r>
        <w:br/>
      </w:r>
      <w:r>
        <w:rPr>
          <w:rStyle w:val="FunctionTok"/>
        </w:rPr>
        <w:t xml:space="preserve">git</w:t>
      </w:r>
      <w:r>
        <w:rPr>
          <w:rStyle w:val="NormalTok"/>
        </w:rPr>
        <w:t xml:space="preserve"> pull origin main</w:t>
      </w:r>
      <w:r>
        <w:br/>
      </w:r>
      <w:r>
        <w:rPr>
          <w:rStyle w:val="ExtensionTok"/>
        </w:rPr>
        <w:t xml:space="preserve">node</w:t>
      </w:r>
      <w:r>
        <w:rPr>
          <w:rStyle w:val="NormalTok"/>
        </w:rPr>
        <w:t xml:space="preserve"> scripts/process-csv.js </w:t>
      </w:r>
      <w:r>
        <w:rPr>
          <w:rStyle w:val="DataTypeTok"/>
        </w:rPr>
        <w:t xml:space="preserve">\</w:t>
      </w:r>
      <w:r>
        <w:br/>
      </w:r>
      <w:r>
        <w:rPr>
          <w:rStyle w:val="NormalTok"/>
        </w:rPr>
        <w:t xml:space="preserve">    ~/Downloads/cases_</w:t>
      </w:r>
      <w:r>
        <w:rPr>
          <w:rStyle w:val="PreprocessorTok"/>
        </w:rPr>
        <w:t xml:space="preserve">*</w:t>
      </w:r>
      <w:r>
        <w:rPr>
          <w:rStyle w:val="NormalTok"/>
        </w:rPr>
        <w:t xml:space="preserve">_</w:t>
      </w:r>
      <w:r>
        <w:rPr>
          <w:rStyle w:val="OperatorTok"/>
        </w:rPr>
        <w:t xml:space="preserve">&lt;</w:t>
      </w:r>
      <w:r>
        <w:rPr>
          <w:rStyle w:val="NormalTok"/>
        </w:rPr>
        <w:t xml:space="preserve">timestamp</w:t>
      </w:r>
      <w:r>
        <w:rPr>
          <w:rStyle w:val="OperatorTok"/>
        </w:rPr>
        <w:t xml:space="preserve">&gt;</w:t>
      </w:r>
      <w:r>
        <w:rPr>
          <w:rStyle w:val="NormalTok"/>
        </w:rPr>
        <w:t xml:space="preserve">.csv </w:t>
      </w:r>
      <w:r>
        <w:rPr>
          <w:rStyle w:val="DataTypeTok"/>
        </w:rPr>
        <w:t xml:space="preserve">\</w:t>
      </w:r>
      <w:r>
        <w:br/>
      </w:r>
      <w:r>
        <w:rPr>
          <w:rStyle w:val="NormalTok"/>
        </w:rPr>
        <w:t xml:space="preserve">    </w:t>
      </w:r>
      <w:r>
        <w:rPr>
          <w:rStyle w:val="AttributeTok"/>
        </w:rPr>
        <w:t xml:space="preserve">--invoices</w:t>
      </w:r>
      <w:r>
        <w:rPr>
          <w:rStyle w:val="NormalTok"/>
        </w:rPr>
        <w:t xml:space="preserve"> ~/Downloads/invoice_details_</w:t>
      </w:r>
      <w:r>
        <w:rPr>
          <w:rStyle w:val="PreprocessorTok"/>
        </w:rPr>
        <w:t xml:space="preserve">*</w:t>
      </w:r>
      <w:r>
        <w:rPr>
          <w:rStyle w:val="NormalTok"/>
        </w:rPr>
        <w:t xml:space="preserve">_</w:t>
      </w:r>
      <w:r>
        <w:rPr>
          <w:rStyle w:val="OperatorTok"/>
        </w:rPr>
        <w:t xml:space="preserve">&lt;</w:t>
      </w:r>
      <w:r>
        <w:rPr>
          <w:rStyle w:val="NormalTok"/>
        </w:rPr>
        <w:t xml:space="preserve">timestamp</w:t>
      </w:r>
      <w:r>
        <w:rPr>
          <w:rStyle w:val="OperatorTok"/>
        </w:rPr>
        <w:t xml:space="preserve">&gt;</w:t>
      </w:r>
      <w:r>
        <w:rPr>
          <w:rStyle w:val="NormalTok"/>
        </w:rPr>
        <w:t xml:space="preserve">.csv</w:t>
      </w:r>
    </w:p>
    <w:p>
      <w:pPr>
        <w:pStyle w:val="FirstParagraph"/>
      </w:pPr>
      <w:r>
        <w:t xml:space="preserve">The</w:t>
      </w:r>
      <w:r>
        <w:t xml:space="preserve"> </w:t>
      </w:r>
      <w:r>
        <w:rPr>
          <w:rStyle w:val="VerbatimChar"/>
        </w:rPr>
        <w:t xml:space="preserve">--invoices</w:t>
      </w:r>
      <w:r>
        <w:t xml:space="preserve"> </w:t>
      </w:r>
      <w:r>
        <w:t xml:space="preserve">flag is</w:t>
      </w:r>
      <w:r>
        <w:t xml:space="preserve"> </w:t>
      </w:r>
      <w:r>
        <w:rPr>
          <w:b/>
          <w:bCs/>
        </w:rPr>
        <w:t xml:space="preserve">strongly recommended</w:t>
      </w:r>
      <w:r>
        <w:t xml:space="preserve"> </w:t>
      </w:r>
      <w:r>
        <w:t xml:space="preserve">but technically optional. If omitted, the dashboard will fall back to a less-accurate case-level revenue view (no service-type breakdown).</w:t>
      </w:r>
    </w:p>
    <w:bookmarkEnd w:id="17"/>
    <w:bookmarkStart w:id="18" w:name="verify-the-output"/>
    <w:p>
      <w:pPr>
        <w:pStyle w:val="Heading4"/>
      </w:pPr>
      <w:r>
        <w:t xml:space="preserve">7.2.3 Verify the output</w:t>
      </w:r>
    </w:p>
    <w:p>
      <w:pPr>
        <w:pStyle w:val="FirstParagraph"/>
      </w:pPr>
      <w:r>
        <w:t xml:space="preserve">The MI Analyst shall review the script (or Claude Code) output. Each client line shows the case count (total) and RTC count in parentheses, plus SLA percentages for each measurable SLA dimension.</w:t>
      </w:r>
    </w:p>
    <w:p>
      <w:pPr>
        <w:pStyle w:val="BodyText"/>
      </w:pPr>
      <w:r>
        <w:rPr>
          <w:b/>
          <w:bCs/>
        </w:rPr>
        <w:t xml:space="preserve">Verification checks</w:t>
      </w:r>
      <w:r>
        <w:t xml:space="preserve"> </w:t>
      </w:r>
      <w:r>
        <w:t xml:space="preserve">— all must pass before continuing to §7.3:</w:t>
      </w:r>
    </w:p>
    <w:p>
      <w:pPr>
        <w:pStyle w:val="Compact"/>
        <w:numPr>
          <w:ilvl w:val="0"/>
          <w:numId w:val="1011"/>
        </w:numPr>
      </w:pPr>
      <w:r>
        <w:rPr>
          <w:b/>
          <w:bCs/>
        </w:rPr>
        <w:t xml:space="preserve">No</w:t>
      </w:r>
      <w:r>
        <w:rPr>
          <w:b/>
          <w:bCs/>
        </w:rPr>
        <w:t xml:space="preserve"> </w:t>
      </w:r>
      <w:r>
        <w:rPr>
          <w:b/>
          <w:bCs/>
        </w:rPr>
        <w:t xml:space="preserve">“Unmatched client names”</w:t>
      </w:r>
      <w:r>
        <w:t xml:space="preserve"> </w:t>
      </w:r>
      <w:r>
        <w:t xml:space="preserve">appear in the output. If any do, add the client name (lowercased) to</w:t>
      </w:r>
      <w:r>
        <w:t xml:space="preserve"> </w:t>
      </w:r>
      <w:r>
        <w:rPr>
          <w:rStyle w:val="VerbatimChar"/>
        </w:rPr>
        <w:t xml:space="preserve">scripts/client-map.json</w:t>
      </w:r>
      <w:r>
        <w:t xml:space="preserve"> </w:t>
      </w:r>
      <w:r>
        <w:t xml:space="preserve">mapping to the correct file, then re-run.</w:t>
      </w:r>
    </w:p>
    <w:p>
      <w:pPr>
        <w:pStyle w:val="Compact"/>
        <w:numPr>
          <w:ilvl w:val="0"/>
          <w:numId w:val="1012"/>
        </w:numPr>
      </w:pPr>
      <w:r>
        <w:rPr>
          <w:b/>
          <w:bCs/>
        </w:rPr>
        <w:t xml:space="preserve">Total case count matches expectation</w:t>
      </w:r>
      <w:r>
        <w:t xml:space="preserve"> </w:t>
      </w:r>
      <w:r>
        <w:t xml:space="preserve">for the period (compare to the TrackOps Case List total).</w:t>
      </w:r>
    </w:p>
    <w:p>
      <w:pPr>
        <w:pStyle w:val="Compact"/>
        <w:numPr>
          <w:ilvl w:val="0"/>
          <w:numId w:val="1013"/>
        </w:numPr>
      </w:pPr>
      <w:r>
        <w:rPr>
          <w:b/>
          <w:bCs/>
        </w:rPr>
        <w:t xml:space="preserve">No script errors</w:t>
      </w:r>
      <w:r>
        <w:t xml:space="preserve"> </w:t>
      </w:r>
      <w:r>
        <w:t xml:space="preserve">(</w:t>
      </w:r>
      <w:r>
        <w:t xml:space="preserve">“ReferenceError”</w:t>
      </w:r>
      <w:r>
        <w:t xml:space="preserve">,</w:t>
      </w:r>
      <w:r>
        <w:t xml:space="preserve"> </w:t>
      </w:r>
      <w:r>
        <w:t xml:space="preserve">“SyntaxError”</w:t>
      </w:r>
      <w:r>
        <w:t xml:space="preserve"> </w:t>
      </w:r>
      <w:r>
        <w:t xml:space="preserve">etc.).</w:t>
      </w:r>
    </w:p>
    <w:p>
      <w:pPr>
        <w:pStyle w:val="FirstParagraph"/>
      </w:pPr>
      <w:r>
        <w:t xml:space="preserve">Open</w:t>
      </w:r>
      <w:r>
        <w:t xml:space="preserve"> </w:t>
      </w:r>
      <w:r>
        <w:rPr>
          <w:rStyle w:val="VerbatimChar"/>
        </w:rPr>
        <w:t xml:space="preserve">clients/zego.js</w:t>
      </w:r>
      <w:r>
        <w:t xml:space="preserve"> </w:t>
      </w:r>
      <w:r>
        <w:t xml:space="preserve">in a text editor and confirm the header reads</w:t>
      </w:r>
      <w:r>
        <w:t xml:space="preserve"> </w:t>
      </w:r>
      <w:r>
        <w:rPr>
          <w:rStyle w:val="VerbatimChar"/>
        </w:rPr>
        <w:t xml:space="preserve">Period: Jan–Dec [year]</w:t>
      </w:r>
      <w:r>
        <w:t xml:space="preserve"> </w:t>
      </w:r>
      <w:r>
        <w:t xml:space="preserve">and</w:t>
      </w:r>
      <w:r>
        <w:t xml:space="preserve"> </w:t>
      </w:r>
      <w:r>
        <w:rPr>
          <w:rStyle w:val="VerbatimChar"/>
        </w:rPr>
        <w:t xml:space="preserve">Updated: [today's date]</w:t>
      </w:r>
      <w:r>
        <w:t xml:space="preserve">.</w:t>
      </w:r>
    </w:p>
    <w:bookmarkEnd w:id="18"/>
    <w:bookmarkEnd w:id="19"/>
    <w:bookmarkStart w:id="20" w:name="production-day-publish-day-0-5-min"/>
    <w:p>
      <w:pPr>
        <w:pStyle w:val="Heading3"/>
      </w:pPr>
      <w:r>
        <w:t xml:space="preserve">7.3 Production day — publish (Day 0, ~5 min)</w:t>
      </w:r>
    </w:p>
    <w:p>
      <w:pPr>
        <w:numPr>
          <w:ilvl w:val="0"/>
          <w:numId w:val="1014"/>
        </w:numPr>
      </w:pPr>
      <w:r>
        <w:t xml:space="preserve">Review the changes:</w:t>
      </w:r>
    </w:p>
    <w:p>
      <w:pPr>
        <w:pStyle w:val="SourceCode"/>
        <w:numPr>
          <w:ilvl w:val="0"/>
          <w:numId w:val="1000"/>
        </w:numPr>
      </w:pPr>
      <w:r>
        <w:rPr>
          <w:rStyle w:val="FunctionTok"/>
        </w:rPr>
        <w:t xml:space="preserve">git</w:t>
      </w:r>
      <w:r>
        <w:rPr>
          <w:rStyle w:val="NormalTok"/>
        </w:rPr>
        <w:t xml:space="preserve"> status</w:t>
      </w:r>
      <w:r>
        <w:br/>
      </w:r>
      <w:r>
        <w:rPr>
          <w:rStyle w:val="FunctionTok"/>
        </w:rPr>
        <w:t xml:space="preserve">git</w:t>
      </w:r>
      <w:r>
        <w:rPr>
          <w:rStyle w:val="NormalTok"/>
        </w:rPr>
        <w:t xml:space="preserve"> diff </w:t>
      </w:r>
      <w:r>
        <w:rPr>
          <w:rStyle w:val="AttributeTok"/>
        </w:rPr>
        <w:t xml:space="preserve">--stat</w:t>
      </w:r>
      <w:r>
        <w:rPr>
          <w:rStyle w:val="NormalTok"/>
        </w:rPr>
        <w:t xml:space="preserve"> clients/</w:t>
      </w:r>
    </w:p>
    <w:p>
      <w:pPr>
        <w:numPr>
          <w:ilvl w:val="0"/>
          <w:numId w:val="1000"/>
        </w:numPr>
      </w:pPr>
      <w:r>
        <w:t xml:space="preserve">This will list which client files were modified. Large unexpected diffs (e.g. a client suddenly losing 50% of cases) shall be investigated before publishing.</w:t>
      </w:r>
    </w:p>
    <w:p>
      <w:pPr>
        <w:numPr>
          <w:ilvl w:val="0"/>
          <w:numId w:val="1014"/>
        </w:numPr>
      </w:pPr>
      <w:r>
        <w:t xml:space="preserve">Commit and push:</w:t>
      </w:r>
    </w:p>
    <w:p>
      <w:pPr>
        <w:pStyle w:val="SourceCode"/>
        <w:numPr>
          <w:ilvl w:val="0"/>
          <w:numId w:val="1000"/>
        </w:numPr>
      </w:pPr>
      <w:r>
        <w:rPr>
          <w:rStyle w:val="FunctionTok"/>
        </w:rPr>
        <w:t xml:space="preserve">git</w:t>
      </w:r>
      <w:r>
        <w:rPr>
          <w:rStyle w:val="NormalTok"/>
        </w:rPr>
        <w:t xml:space="preserve"> add clients/</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"MI update: [Month] [Year] — Jan–Dec [Year]"</w:t>
      </w:r>
      <w:r>
        <w:br/>
      </w:r>
      <w:r>
        <w:rPr>
          <w:rStyle w:val="FunctionTok"/>
        </w:rPr>
        <w:t xml:space="preserve">git</w:t>
      </w:r>
      <w:r>
        <w:rPr>
          <w:rStyle w:val="NormalTok"/>
        </w:rPr>
        <w:t xml:space="preserve"> push origin main</w:t>
      </w:r>
    </w:p>
    <w:p>
      <w:pPr>
        <w:numPr>
          <w:ilvl w:val="0"/>
          <w:numId w:val="1014"/>
        </w:numPr>
      </w:pPr>
      <w:r>
        <w:rPr>
          <w:b/>
          <w:bCs/>
        </w:rPr>
        <w:t xml:space="preserve">Verification</w:t>
      </w:r>
      <w:r>
        <w:t xml:space="preserve"> </w:t>
      </w:r>
      <w:r>
        <w:t xml:space="preserve">— wait ~90 seconds, then in a browser open</w:t>
      </w:r>
      <w:r>
        <w:t xml:space="preserve"> </w:t>
      </w:r>
      <w:r>
        <w:rPr>
          <w:rStyle w:val="VerbatimChar"/>
        </w:rPr>
        <w:t xml:space="preserve">https://mi.dlbinvestigations.co.uk/</w:t>
      </w:r>
      <w:r>
        <w:t xml:space="preserve">. Enter the access code</w:t>
      </w:r>
      <w:r>
        <w:t xml:space="preserve"> </w:t>
      </w:r>
      <w:r>
        <w:rPr>
          <w:rStyle w:val="VerbatimChar"/>
        </w:rPr>
        <w:t xml:space="preserve">ZEGO26</w:t>
      </w:r>
      <w:r>
        <w:t xml:space="preserve"> </w:t>
      </w:r>
      <w:r>
        <w:t xml:space="preserve">(a known RTC client). Confirm:</w:t>
      </w:r>
    </w:p>
    <w:p>
      <w:pPr>
        <w:pStyle w:val="Compact"/>
        <w:numPr>
          <w:ilvl w:val="1"/>
          <w:numId w:val="1015"/>
        </w:numPr>
      </w:pPr>
      <w:r>
        <w:t xml:space="preserve">Dashboard loads without an error banner at the top of the page</w:t>
      </w:r>
    </w:p>
    <w:p>
      <w:pPr>
        <w:pStyle w:val="Compact"/>
        <w:numPr>
          <w:ilvl w:val="1"/>
          <w:numId w:val="1016"/>
        </w:numPr>
      </w:pPr>
      <w:r>
        <w:t xml:space="preserve">Header shows the current period (e.g. </w:t>
      </w:r>
      <w:r>
        <w:t xml:space="preserve">“Jan–Dec 2026”</w:t>
      </w:r>
      <w:r>
        <w:t xml:space="preserve">) and today’s date</w:t>
      </w:r>
    </w:p>
    <w:p>
      <w:pPr>
        <w:pStyle w:val="Compact"/>
        <w:numPr>
          <w:ilvl w:val="1"/>
          <w:numId w:val="1017"/>
        </w:numPr>
      </w:pPr>
      <w:r>
        <w:t xml:space="preserve">At least one Case Detail Log row matches a case verified in §7.1 against the same TrackOps record</w:t>
      </w:r>
    </w:p>
    <w:bookmarkEnd w:id="20"/>
    <w:bookmarkStart w:id="21" w:name="automated-distribution-day-0-0800-utc"/>
    <w:p>
      <w:pPr>
        <w:pStyle w:val="Heading3"/>
      </w:pPr>
      <w:r>
        <w:t xml:space="preserve">7.4 Automated distribution (Day 0, 08:00 UTC)</w:t>
      </w:r>
    </w:p>
    <w:p>
      <w:pPr>
        <w:pStyle w:val="FirstParagraph"/>
      </w:pPr>
      <w:r>
        <w:t xml:space="preserve">This step is fully automated by the GitHub Actions workflow</w:t>
      </w:r>
      <w:r>
        <w:t xml:space="preserve"> </w:t>
      </w:r>
      <w:r>
        <w:rPr>
          <w:rStyle w:val="VerbatimChar"/>
        </w:rPr>
        <w:t xml:space="preserve">Monthly MI release email</w:t>
      </w:r>
      <w:r>
        <w:t xml:space="preserve">. The workflow:</w:t>
      </w:r>
    </w:p>
    <w:p>
      <w:pPr>
        <w:pStyle w:val="Compact"/>
        <w:numPr>
          <w:ilvl w:val="0"/>
          <w:numId w:val="1018"/>
        </w:numPr>
      </w:pPr>
      <w:r>
        <w:t xml:space="preserve">Reads</w:t>
      </w:r>
      <w:r>
        <w:t xml:space="preserve"> </w:t>
      </w:r>
      <w:r>
        <w:rPr>
          <w:rStyle w:val="VerbatimChar"/>
        </w:rPr>
        <w:t xml:space="preserve">scripts/client-recipients.json</w:t>
      </w:r>
      <w:r>
        <w:t xml:space="preserve"> </w:t>
      </w:r>
      <w:r>
        <w:t xml:space="preserve">and</w:t>
      </w:r>
      <w:r>
        <w:t xml:space="preserve"> </w:t>
      </w:r>
      <w:r>
        <w:rPr>
          <w:rStyle w:val="VerbatimChar"/>
        </w:rPr>
        <w:t xml:space="preserve">clients/*.js</w:t>
      </w:r>
    </w:p>
    <w:p>
      <w:pPr>
        <w:pStyle w:val="Compact"/>
        <w:numPr>
          <w:ilvl w:val="0"/>
          <w:numId w:val="1018"/>
        </w:numPr>
      </w:pPr>
      <w:r>
        <w:t xml:space="preserve">Acquires an OAuth access token from Microsoft via the registered Azure AD application</w:t>
      </w:r>
    </w:p>
    <w:p>
      <w:pPr>
        <w:pStyle w:val="Compact"/>
        <w:numPr>
          <w:ilvl w:val="0"/>
          <w:numId w:val="1018"/>
        </w:numPr>
      </w:pPr>
      <w:r>
        <w:t xml:space="preserve">Sends one email per recipient, each personalised with the client’s name and the release period</w:t>
      </w:r>
    </w:p>
    <w:p>
      <w:pPr>
        <w:pStyle w:val="Compact"/>
        <w:numPr>
          <w:ilvl w:val="0"/>
          <w:numId w:val="1018"/>
        </w:numPr>
      </w:pPr>
      <w:r>
        <w:t xml:space="preserve">Logs success and failure to the workflow run output</w:t>
      </w:r>
    </w:p>
    <w:p>
      <w:pPr>
        <w:pStyle w:val="FirstParagraph"/>
      </w:pPr>
      <w:r>
        <w:rPr>
          <w:b/>
          <w:bCs/>
        </w:rPr>
        <w:t xml:space="preserve">No manual action is required for this step.</w:t>
      </w:r>
      <w:r>
        <w:t xml:space="preserve"> </w:t>
      </w:r>
      <w:r>
        <w:t xml:space="preserve">The MI Analyst shall, however, confirm the run on Day +1 (§7.5).</w:t>
      </w:r>
    </w:p>
    <w:bookmarkEnd w:id="21"/>
    <w:bookmarkStart w:id="22" w:name="post-release-verification-day-1-10-min"/>
    <w:p>
      <w:pPr>
        <w:pStyle w:val="Heading3"/>
      </w:pPr>
      <w:r>
        <w:t xml:space="preserve">7.5 Post-release verification (Day +1, ~10 min)</w:t>
      </w:r>
    </w:p>
    <w:p>
      <w:pPr>
        <w:pStyle w:val="FirstParagraph"/>
      </w:pPr>
      <w:r>
        <w:t xml:space="preserve">The MI Analyst shall:</w:t>
      </w:r>
    </w:p>
    <w:p>
      <w:pPr>
        <w:pStyle w:val="Compact"/>
        <w:numPr>
          <w:ilvl w:val="0"/>
          <w:numId w:val="1019"/>
        </w:numPr>
      </w:pPr>
      <w:r>
        <w:t xml:space="preserve">Open</w:t>
      </w:r>
      <w:r>
        <w:t xml:space="preserve"> </w:t>
      </w:r>
      <w:r>
        <w:rPr>
          <w:rStyle w:val="VerbatimChar"/>
        </w:rPr>
        <w:t xml:space="preserve">https://github.com/dlbltd/MI-Portal/actions</w:t>
      </w:r>
      <w:r>
        <w:t xml:space="preserve">. Locate the most recent run of the</w:t>
      </w:r>
      <w:r>
        <w:t xml:space="preserve"> </w:t>
      </w:r>
      <w:r>
        <w:t xml:space="preserve">“Monthly MI release email”</w:t>
      </w:r>
      <w:r>
        <w:t xml:space="preserve"> </w:t>
      </w:r>
      <w:r>
        <w:t xml:space="preserve">workflow scheduled at 08:00 UTC on Day 0.</w:t>
      </w:r>
    </w:p>
    <w:p>
      <w:pPr>
        <w:pStyle w:val="Compact"/>
        <w:numPr>
          <w:ilvl w:val="0"/>
          <w:numId w:val="1019"/>
        </w:numPr>
      </w:pPr>
      <w:r>
        <w:t xml:space="preserve">Confirm the run shows a green tick (Success).</w:t>
      </w:r>
    </w:p>
    <w:p>
      <w:pPr>
        <w:pStyle w:val="Compact"/>
        <w:numPr>
          <w:ilvl w:val="0"/>
          <w:numId w:val="1019"/>
        </w:numPr>
      </w:pPr>
      <w:r>
        <w:t xml:space="preserve">Open the run, click into the</w:t>
      </w:r>
      <w:r>
        <w:t xml:space="preserve"> </w:t>
      </w:r>
      <w:r>
        <w:t xml:space="preserve">“Send monthly MI emails via Microsoft Graph”</w:t>
      </w:r>
      <w:r>
        <w:t xml:space="preserve"> </w:t>
      </w:r>
      <w:r>
        <w:t xml:space="preserve">step, and verify the log shows the expected number of</w:t>
      </w:r>
      <w:r>
        <w:t xml:space="preserve"> </w:t>
      </w:r>
      <w:r>
        <w:rPr>
          <w:rStyle w:val="VerbatimChar"/>
        </w:rPr>
        <w:t xml:space="preserve">✓</w:t>
      </w:r>
      <w:r>
        <w:t xml:space="preserve"> </w:t>
      </w:r>
      <w:r>
        <w:t xml:space="preserve">lines (one per recipient) and</w:t>
      </w:r>
      <w:r>
        <w:t xml:space="preserve"> </w:t>
      </w:r>
      <w:r>
        <w:rPr>
          <w:rStyle w:val="VerbatimChar"/>
        </w:rPr>
        <w:t xml:space="preserve">Sent N, skipped M, failed 0</w:t>
      </w:r>
      <w:r>
        <w:t xml:space="preserve">.</w:t>
      </w:r>
    </w:p>
    <w:p>
      <w:pPr>
        <w:pStyle w:val="Compact"/>
        <w:numPr>
          <w:ilvl w:val="0"/>
          <w:numId w:val="1019"/>
        </w:numPr>
      </w:pPr>
      <w:r>
        <w:t xml:space="preserve">Sign into the</w:t>
      </w:r>
      <w:r>
        <w:t xml:space="preserve"> </w:t>
      </w:r>
      <w:r>
        <w:rPr>
          <w:rStyle w:val="VerbatimChar"/>
        </w:rPr>
        <w:t xml:space="preserve">midata@dlbinvestigations.co.uk</w:t>
      </w:r>
      <w:r>
        <w:t xml:space="preserve"> </w:t>
      </w:r>
      <w:r>
        <w:t xml:space="preserve">mailbox via Outlook. Check Sent Items contains messages with subject pattern</w:t>
      </w:r>
      <w:r>
        <w:t xml:space="preserve"> </w:t>
      </w:r>
      <w:r>
        <w:rPr>
          <w:rStyle w:val="VerbatimChar"/>
        </w:rPr>
        <w:t xml:space="preserve">[Client] — [Month] [Year] MI release</w:t>
      </w:r>
      <w:r>
        <w:t xml:space="preserve">.</w:t>
      </w:r>
    </w:p>
    <w:p>
      <w:pPr>
        <w:pStyle w:val="Compact"/>
        <w:numPr>
          <w:ilvl w:val="0"/>
          <w:numId w:val="1019"/>
        </w:numPr>
      </w:pPr>
      <w:r>
        <w:rPr>
          <w:b/>
          <w:bCs/>
        </w:rPr>
        <w:t xml:space="preserve">Spot-check</w:t>
      </w:r>
      <w:r>
        <w:t xml:space="preserve"> </w:t>
      </w:r>
      <w:r>
        <w:t xml:space="preserve">one client by phone or reply-to-test: confirm receipt with their nominated MI contact.</w:t>
      </w:r>
    </w:p>
    <w:p>
      <w:pPr>
        <w:pStyle w:val="Compact"/>
        <w:numPr>
          <w:ilvl w:val="0"/>
          <w:numId w:val="1019"/>
        </w:numPr>
      </w:pPr>
      <w:r>
        <w:t xml:space="preserve">Record completion on Annex C.</w:t>
      </w:r>
    </w:p>
    <w:bookmarkEnd w:id="22"/>
    <w:bookmarkStart w:id="23" w:name="adding-or-removing-a-client"/>
    <w:p>
      <w:pPr>
        <w:pStyle w:val="Heading3"/>
      </w:pPr>
      <w:r>
        <w:t xml:space="preserve">7.6 Adding or removing a client</w:t>
      </w:r>
    </w:p>
    <w:p>
      <w:pPr>
        <w:pStyle w:val="FirstParagraph"/>
      </w:pPr>
      <w:r>
        <w:t xml:space="preserve">When a new client is onboarded or an existing client is offboarded the MI Analyst (or designate) shall:</w:t>
      </w:r>
    </w:p>
    <w:p>
      <w:pPr>
        <w:pStyle w:val="Compact"/>
        <w:numPr>
          <w:ilvl w:val="0"/>
          <w:numId w:val="1020"/>
        </w:numPr>
      </w:pPr>
      <w:r>
        <w:rPr>
          <w:b/>
          <w:bCs/>
        </w:rPr>
        <w:t xml:space="preserve">Onboarding a new client:</w:t>
      </w:r>
    </w:p>
    <w:p>
      <w:pPr>
        <w:pStyle w:val="Compact"/>
        <w:numPr>
          <w:ilvl w:val="1"/>
          <w:numId w:val="1021"/>
        </w:numPr>
      </w:pPr>
      <w:r>
        <w:t xml:space="preserve">Decide the access code (UPPERCASE, suffix with the current year, e.g. </w:t>
      </w:r>
      <w:r>
        <w:rPr>
          <w:rStyle w:val="VerbatimChar"/>
        </w:rPr>
        <w:t xml:space="preserve">NEWCLIENT26</w:t>
      </w:r>
      <w:r>
        <w:t xml:space="preserve">).</w:t>
      </w:r>
    </w:p>
    <w:p>
      <w:pPr>
        <w:pStyle w:val="Compact"/>
        <w:numPr>
          <w:ilvl w:val="1"/>
          <w:numId w:val="1021"/>
        </w:numPr>
      </w:pPr>
      <w:r>
        <w:t xml:space="preserve">Add the client to</w:t>
      </w:r>
      <w:r>
        <w:t xml:space="preserve"> </w:t>
      </w:r>
      <w:r>
        <w:rPr>
          <w:rStyle w:val="VerbatimChar"/>
        </w:rPr>
        <w:t xml:space="preserve">index.html</w:t>
      </w:r>
      <w:r>
        <w:t xml:space="preserve"> </w:t>
      </w:r>
      <w:r>
        <w:rPr>
          <w:rStyle w:val="VerbatimChar"/>
        </w:rPr>
        <w:t xml:space="preserve">CLIENT_REGISTRY</w:t>
      </w:r>
      <w:r>
        <w:t xml:space="preserve">.</w:t>
      </w:r>
    </w:p>
    <w:p>
      <w:pPr>
        <w:pStyle w:val="Compact"/>
        <w:numPr>
          <w:ilvl w:val="1"/>
          <w:numId w:val="1021"/>
        </w:numPr>
      </w:pPr>
      <w:r>
        <w:t xml:space="preserve">Add the lowercased TrackOps client name(s) to</w:t>
      </w:r>
      <w:r>
        <w:t xml:space="preserve"> </w:t>
      </w:r>
      <w:r>
        <w:rPr>
          <w:rStyle w:val="VerbatimChar"/>
        </w:rPr>
        <w:t xml:space="preserve">scripts/client-map.json</w:t>
      </w:r>
      <w:r>
        <w:t xml:space="preserve"> </w:t>
      </w:r>
      <w:r>
        <w:t xml:space="preserve">(include every alias TrackOps uses).</w:t>
      </w:r>
    </w:p>
    <w:p>
      <w:pPr>
        <w:pStyle w:val="Compact"/>
        <w:numPr>
          <w:ilvl w:val="1"/>
          <w:numId w:val="1021"/>
        </w:numPr>
      </w:pPr>
      <w:r>
        <w:t xml:space="preserve">Add recipient(s) to</w:t>
      </w:r>
      <w:r>
        <w:t xml:space="preserve"> </w:t>
      </w:r>
      <w:r>
        <w:rPr>
          <w:rStyle w:val="VerbatimChar"/>
        </w:rPr>
        <w:t xml:space="preserve">scripts/client-recipients.json</w:t>
      </w:r>
      <w:r>
        <w:t xml:space="preserve">.</w:t>
      </w:r>
    </w:p>
    <w:p>
      <w:pPr>
        <w:pStyle w:val="Compact"/>
        <w:numPr>
          <w:ilvl w:val="1"/>
          <w:numId w:val="1021"/>
        </w:numPr>
      </w:pPr>
      <w:r>
        <w:t xml:space="preserve">If the client is on the RTC service, set</w:t>
      </w:r>
      <w:r>
        <w:t xml:space="preserve"> </w:t>
      </w:r>
      <w:r>
        <w:rPr>
          <w:rStyle w:val="VerbatimChar"/>
        </w:rPr>
        <w:t xml:space="preserve">is_rtc: true</w:t>
      </w:r>
      <w:r>
        <w:t xml:space="preserve"> </w:t>
      </w:r>
      <w:r>
        <w:t xml:space="preserve">in their</w:t>
      </w:r>
      <w:r>
        <w:t xml:space="preserve"> </w:t>
      </w:r>
      <w:r>
        <w:rPr>
          <w:rStyle w:val="VerbatimChar"/>
        </w:rPr>
        <w:t xml:space="preserve">client-map.json</w:t>
      </w:r>
      <w:r>
        <w:t xml:space="preserve"> </w:t>
      </w:r>
      <w:r>
        <w:t xml:space="preserve">entry.</w:t>
      </w:r>
    </w:p>
    <w:p>
      <w:pPr>
        <w:pStyle w:val="Compact"/>
        <w:numPr>
          <w:ilvl w:val="1"/>
          <w:numId w:val="1021"/>
        </w:numPr>
      </w:pPr>
      <w:r>
        <w:t xml:space="preserve">Commit and push.</w:t>
      </w:r>
    </w:p>
    <w:p>
      <w:pPr>
        <w:pStyle w:val="Compact"/>
        <w:numPr>
          <w:ilvl w:val="0"/>
          <w:numId w:val="1020"/>
        </w:numPr>
      </w:pPr>
      <w:r>
        <w:rPr>
          <w:b/>
          <w:bCs/>
        </w:rPr>
        <w:t xml:space="preserve">Offboarding a client:</w:t>
      </w:r>
    </w:p>
    <w:p>
      <w:pPr>
        <w:pStyle w:val="Compact"/>
        <w:numPr>
          <w:ilvl w:val="1"/>
          <w:numId w:val="1022"/>
        </w:numPr>
      </w:pPr>
      <w:r>
        <w:t xml:space="preserve">Remove their entry from</w:t>
      </w:r>
      <w:r>
        <w:t xml:space="preserve"> </w:t>
      </w:r>
      <w:r>
        <w:rPr>
          <w:rStyle w:val="VerbatimChar"/>
        </w:rPr>
        <w:t xml:space="preserve">index.html</w:t>
      </w:r>
      <w:r>
        <w:t xml:space="preserve"> </w:t>
      </w:r>
      <w:r>
        <w:rPr>
          <w:rStyle w:val="VerbatimChar"/>
        </w:rPr>
        <w:t xml:space="preserve">CLIENT_REGISTRY</w:t>
      </w:r>
      <w:r>
        <w:t xml:space="preserve"> </w:t>
      </w:r>
      <w:r>
        <w:t xml:space="preserve">(revokes access).</w:t>
      </w:r>
    </w:p>
    <w:p>
      <w:pPr>
        <w:pStyle w:val="Compact"/>
        <w:numPr>
          <w:ilvl w:val="1"/>
          <w:numId w:val="1022"/>
        </w:numPr>
      </w:pPr>
      <w:r>
        <w:t xml:space="preserve">Remove from</w:t>
      </w:r>
      <w:r>
        <w:t xml:space="preserve"> </w:t>
      </w:r>
      <w:r>
        <w:rPr>
          <w:rStyle w:val="VerbatimChar"/>
        </w:rPr>
        <w:t xml:space="preserve">scripts/client-recipients.json</w:t>
      </w:r>
      <w:r>
        <w:t xml:space="preserve"> </w:t>
      </w:r>
      <w:r>
        <w:t xml:space="preserve">(stops emails).</w:t>
      </w:r>
    </w:p>
    <w:p>
      <w:pPr>
        <w:pStyle w:val="Compact"/>
        <w:numPr>
          <w:ilvl w:val="1"/>
          <w:numId w:val="1022"/>
        </w:numPr>
      </w:pPr>
      <w:r>
        <w:t xml:space="preserve">Leave</w:t>
      </w:r>
      <w:r>
        <w:t xml:space="preserve"> </w:t>
      </w:r>
      <w:r>
        <w:rPr>
          <w:rStyle w:val="VerbatimChar"/>
        </w:rPr>
        <w:t xml:space="preserve">scripts/client-map.json</w:t>
      </w:r>
      <w:r>
        <w:t xml:space="preserve"> </w:t>
      </w:r>
      <w:r>
        <w:t xml:space="preserve">and</w:t>
      </w:r>
      <w:r>
        <w:t xml:space="preserve"> </w:t>
      </w:r>
      <w:r>
        <w:rPr>
          <w:rStyle w:val="VerbatimChar"/>
        </w:rPr>
        <w:t xml:space="preserve">clients/[name].js</w:t>
      </w:r>
      <w:r>
        <w:t xml:space="preserve"> </w:t>
      </w:r>
      <w:r>
        <w:t xml:space="preserve">in place for historical reference unless the client expressly requests data deletion.</w:t>
      </w:r>
    </w:p>
    <w:p>
      <w:pPr>
        <w:pStyle w:val="FirstParagraph"/>
      </w:pPr>
      <w:r>
        <w:t xml:space="preserve">All changes shall be made via a single commit with a message of the form</w:t>
      </w:r>
      <w:r>
        <w:t xml:space="preserve"> </w:t>
      </w:r>
      <w:r>
        <w:rPr>
          <w:rStyle w:val="VerbatimChar"/>
        </w:rPr>
        <w:t xml:space="preserve">Client onboard: [Name]</w:t>
      </w:r>
      <w:r>
        <w:t xml:space="preserve"> </w:t>
      </w:r>
      <w:r>
        <w:t xml:space="preserve">or</w:t>
      </w:r>
      <w:r>
        <w:t xml:space="preserve"> </w:t>
      </w:r>
      <w:r>
        <w:rPr>
          <w:rStyle w:val="VerbatimChar"/>
        </w:rPr>
        <w:t xml:space="preserve">Client offboard: [Name]</w:t>
      </w:r>
      <w:r>
        <w:t xml:space="preserve">.</w:t>
      </w:r>
    </w:p>
    <w:bookmarkEnd w:id="23"/>
    <w:bookmarkEnd w:id="24"/>
    <w:bookmarkStart w:id="25" w:name="records-retained"/>
    <w:p>
      <w:pPr>
        <w:pStyle w:val="Heading2"/>
      </w:pPr>
      <w:r>
        <w:t xml:space="preserve">8. Records retained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Record</w:t>
            </w:r>
          </w:p>
        </w:tc>
        <w:tc>
          <w:tcPr/>
          <w:p>
            <w:pPr>
              <w:pStyle w:val="Compact"/>
            </w:pPr>
            <w:r>
              <w:t xml:space="preserve">Where</w:t>
            </w:r>
          </w:p>
        </w:tc>
        <w:tc>
          <w:tcPr/>
          <w:p>
            <w:pPr>
              <w:pStyle w:val="Compact"/>
            </w:pPr>
            <w:r>
              <w:t xml:space="preserve">Retention</w:t>
            </w:r>
          </w:p>
        </w:tc>
      </w:tr>
      <w:tr>
        <w:tc>
          <w:tcPr/>
          <w:p>
            <w:pPr>
              <w:pStyle w:val="Compact"/>
            </w:pPr>
            <w:r>
              <w:t xml:space="preserve">Per-month TrackOps CSV export</w:t>
            </w:r>
          </w:p>
        </w:tc>
        <w:tc>
          <w:tcPr/>
          <w:p>
            <w:pPr>
              <w:pStyle w:val="Compact"/>
            </w:pPr>
            <w:r>
              <w:rPr>
                <w:rStyle w:val="VerbatimChar"/>
              </w:rPr>
              <w:t xml:space="preserve">~/Downloads/</w:t>
            </w:r>
            <w:r>
              <w:t xml:space="preserve"> </w:t>
            </w:r>
            <w:r>
              <w:t xml:space="preserve">on MI Analyst’s workstation</w:t>
            </w:r>
          </w:p>
        </w:tc>
        <w:tc>
          <w:tcPr/>
          <w:p>
            <w:pPr>
              <w:pStyle w:val="Compact"/>
            </w:pPr>
            <w:r>
              <w:t xml:space="preserve">12 months</w:t>
            </w:r>
          </w:p>
        </w:tc>
      </w:tr>
      <w:tr>
        <w:tc>
          <w:tcPr/>
          <w:p>
            <w:pPr>
              <w:pStyle w:val="Compact"/>
            </w:pPr>
            <w:r>
              <w:t xml:space="preserve">Generated</w:t>
            </w:r>
            <w:r>
              <w:t xml:space="preserve"> </w:t>
            </w:r>
            <w:r>
              <w:rPr>
                <w:rStyle w:val="VerbatimChar"/>
              </w:rPr>
              <w:t xml:space="preserve">clients/*.js</w:t>
            </w:r>
            <w:r>
              <w:t xml:space="preserve"> </w:t>
            </w:r>
            <w:r>
              <w:t xml:space="preserve">files</w:t>
            </w:r>
          </w:p>
        </w:tc>
        <w:tc>
          <w:tcPr/>
          <w:p>
            <w:pPr>
              <w:pStyle w:val="Compact"/>
            </w:pPr>
            <w:r>
              <w:rPr>
                <w:rStyle w:val="VerbatimChar"/>
              </w:rPr>
              <w:t xml:space="preserve">dlbltd/MI-Portal</w:t>
            </w:r>
            <w:r>
              <w:t xml:space="preserve"> </w:t>
            </w:r>
            <w:r>
              <w:t xml:space="preserve">repository (git history)</w:t>
            </w:r>
          </w:p>
        </w:tc>
        <w:tc>
          <w:tcPr/>
          <w:p>
            <w:pPr>
              <w:pStyle w:val="Compact"/>
            </w:pPr>
            <w:r>
              <w:t xml:space="preserve">Indefinite</w:t>
            </w:r>
          </w:p>
        </w:tc>
      </w:tr>
      <w:tr>
        <w:tc>
          <w:tcPr/>
          <w:p>
            <w:pPr>
              <w:pStyle w:val="Compact"/>
            </w:pPr>
            <w:r>
              <w:t xml:space="preserve">Monthly MI Release Record (Annex C)</w:t>
            </w:r>
          </w:p>
        </w:tc>
        <w:tc>
          <w:tcPr/>
          <w:p>
            <w:pPr>
              <w:pStyle w:val="Compact"/>
            </w:pPr>
            <w:r>
              <w:t xml:space="preserve">DLB QMS folder</w:t>
            </w:r>
          </w:p>
        </w:tc>
        <w:tc>
          <w:tcPr/>
          <w:p>
            <w:pPr>
              <w:pStyle w:val="Compact"/>
            </w:pPr>
            <w:r>
              <w:t xml:space="preserve">3 years</w:t>
            </w:r>
          </w:p>
        </w:tc>
      </w:tr>
      <w:tr>
        <w:tc>
          <w:tcPr/>
          <w:p>
            <w:pPr>
              <w:pStyle w:val="Compact"/>
            </w:pPr>
            <w:r>
              <w:t xml:space="preserve">GitHub Actions run logs</w:t>
            </w:r>
          </w:p>
        </w:tc>
        <w:tc>
          <w:tcPr/>
          <w:p>
            <w:pPr>
              <w:pStyle w:val="Compact"/>
            </w:pPr>
            <w:r>
              <w:t xml:space="preserve">GitHub</w:t>
            </w:r>
          </w:p>
        </w:tc>
        <w:tc>
          <w:tcPr/>
          <w:p>
            <w:pPr>
              <w:pStyle w:val="Compact"/>
            </w:pPr>
            <w:r>
              <w:t xml:space="preserve">90 days (GitHub default)</w:t>
            </w:r>
          </w:p>
        </w:tc>
      </w:tr>
      <w:tr>
        <w:tc>
          <w:tcPr/>
          <w:p>
            <w:pPr>
              <w:pStyle w:val="Compact"/>
            </w:pPr>
            <w:r>
              <w:t xml:space="preserve">Sent emails</w:t>
            </w:r>
          </w:p>
        </w:tc>
        <w:tc>
          <w:tcPr/>
          <w:p>
            <w:pPr>
              <w:pStyle w:val="Compact"/>
            </w:pPr>
            <w:r>
              <w:rPr>
                <w:rStyle w:val="VerbatimChar"/>
              </w:rPr>
              <w:t xml:space="preserve">midata@dlbinvestigations.co.uk</w:t>
            </w:r>
            <w:r>
              <w:t xml:space="preserve"> </w:t>
            </w:r>
            <w:r>
              <w:t xml:space="preserve">Sent Items</w:t>
            </w:r>
          </w:p>
        </w:tc>
        <w:tc>
          <w:tcPr/>
          <w:p>
            <w:pPr>
              <w:pStyle w:val="Compact"/>
            </w:pPr>
            <w:r>
              <w:t xml:space="preserve">Per DLB email retention policy</w:t>
            </w:r>
          </w:p>
        </w:tc>
      </w:tr>
    </w:tbl>
    <w:bookmarkEnd w:id="25"/>
    <w:bookmarkStart w:id="26" w:name="exception-handling"/>
    <w:p>
      <w:pPr>
        <w:pStyle w:val="Heading2"/>
      </w:pPr>
      <w:r>
        <w:t xml:space="preserve">9. Exception handling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Cause</w:t>
            </w:r>
          </w:p>
        </w:tc>
        <w:tc>
          <w:tcPr/>
          <w:p>
            <w:pPr>
              <w:pStyle w:val="Compact"/>
            </w:pPr>
            <w:r>
              <w:t xml:space="preserve">Action</w:t>
            </w:r>
          </w:p>
        </w:tc>
      </w:tr>
      <w:tr>
        <w:tc>
          <w:tcPr/>
          <w:p>
            <w:pPr>
              <w:pStyle w:val="Compact"/>
            </w:pPr>
            <w:r>
              <w:rPr>
                <w:rStyle w:val="VerbatimChar"/>
              </w:rPr>
              <w:t xml:space="preserve">Missing column: X</w:t>
            </w:r>
            <w:r>
              <w:t xml:space="preserve"> </w:t>
            </w:r>
            <w:r>
              <w:t xml:space="preserve">script error</w:t>
            </w:r>
          </w:p>
        </w:tc>
        <w:tc>
          <w:tcPr/>
          <w:p>
            <w:pPr>
              <w:pStyle w:val="Compact"/>
            </w:pPr>
            <w:r>
              <w:t xml:space="preserve">TrackOps CSV export schema changed</w:t>
            </w:r>
          </w:p>
        </w:tc>
        <w:tc>
          <w:tcPr/>
          <w:p>
            <w:pPr>
              <w:pStyle w:val="Compact"/>
            </w:pPr>
            <w:r>
              <w:t xml:space="preserve">Inspect the CSV header row. Add the missing column to</w:t>
            </w:r>
            <w:r>
              <w:t xml:space="preserve"> </w:t>
            </w:r>
            <w:r>
              <w:rPr>
                <w:rStyle w:val="VerbatimChar"/>
              </w:rPr>
              <w:t xml:space="preserve">scripts/process-csv.js</w:t>
            </w:r>
            <w:r>
              <w:t xml:space="preserve"> </w:t>
            </w:r>
            <w:r>
              <w:t xml:space="preserve">(</w:t>
            </w:r>
            <w:r>
              <w:rPr>
                <w:rStyle w:val="VerbatimChar"/>
              </w:rPr>
              <w:t xml:space="preserve">need</w:t>
            </w:r>
            <w:r>
              <w:t xml:space="preserve"> </w:t>
            </w:r>
            <w:r>
              <w:t xml:space="preserve">array) and to the column accessor map. Notify Process Owner.</w:t>
            </w:r>
          </w:p>
        </w:tc>
      </w:tr>
      <w:tr>
        <w:tc>
          <w:tcPr/>
          <w:p>
            <w:pPr>
              <w:pStyle w:val="Compact"/>
            </w:pPr>
            <w:r>
              <w:t xml:space="preserve">“Unmatched client names”</w:t>
            </w:r>
            <w:r>
              <w:t xml:space="preserve"> </w:t>
            </w:r>
            <w:r>
              <w:t xml:space="preserve">in output</w:t>
            </w:r>
          </w:p>
        </w:tc>
        <w:tc>
          <w:tcPr/>
          <w:p>
            <w:pPr>
              <w:pStyle w:val="Compact"/>
            </w:pPr>
            <w:r>
              <w:t xml:space="preserve">TrackOps uses a new spelling or new client</w:t>
            </w:r>
          </w:p>
        </w:tc>
        <w:tc>
          <w:tcPr/>
          <w:p>
            <w:pPr>
              <w:pStyle w:val="Compact"/>
            </w:pPr>
            <w:r>
              <w:t xml:space="preserve">Add the lowercased name to</w:t>
            </w:r>
            <w:r>
              <w:t xml:space="preserve"> </w:t>
            </w:r>
            <w:r>
              <w:rPr>
                <w:rStyle w:val="VerbatimChar"/>
              </w:rPr>
              <w:t xml:space="preserve">scripts/client-map.json</w:t>
            </w:r>
            <w:r>
              <w:t xml:space="preserve"> </w:t>
            </w:r>
            <w:r>
              <w:t xml:space="preserve">mapping to the correct file. Re-run §7.2 step 4.</w:t>
            </w:r>
          </w:p>
        </w:tc>
      </w:tr>
      <w:tr>
        <w:tc>
          <w:tcPr/>
          <w:p>
            <w:pPr>
              <w:pStyle w:val="Compact"/>
            </w:pPr>
            <w:r>
              <w:t xml:space="preserve">Negative day-diff cases listed</w:t>
            </w:r>
          </w:p>
        </w:tc>
        <w:tc>
          <w:tcPr/>
          <w:p>
            <w:pPr>
              <w:pStyle w:val="Compact"/>
            </w:pPr>
            <w:r>
              <w:t xml:space="preserve">Data-entry typos at source (wrong year)</w:t>
            </w:r>
          </w:p>
        </w:tc>
        <w:tc>
          <w:tcPr/>
          <w:p>
            <w:pPr>
              <w:pStyle w:val="Compact"/>
            </w:pPr>
            <w:r>
              <w:t xml:space="preserve">The script already excludes these from metrics. Email the affected fee-earner with the list and ask them to correct in TrackOps before the next release.</w:t>
            </w:r>
          </w:p>
        </w:tc>
      </w:tr>
      <w:tr>
        <w:tc>
          <w:tcPr/>
          <w:p>
            <w:pPr>
              <w:pStyle w:val="Compact"/>
            </w:pPr>
            <w:r>
              <w:t xml:space="preserve">Dashboard loads but shows red error banner</w:t>
            </w:r>
          </w:p>
        </w:tc>
        <w:tc>
          <w:tcPr/>
          <w:p>
            <w:pPr>
              <w:pStyle w:val="Compact"/>
            </w:pPr>
            <w:r>
              <w:t xml:space="preserve">JavaScript error — most likely a generated</w:t>
            </w:r>
            <w:r>
              <w:t xml:space="preserve"> </w:t>
            </w:r>
            <w:r>
              <w:rPr>
                <w:rStyle w:val="VerbatimChar"/>
              </w:rPr>
              <w:t xml:space="preserve">clients/*.js</w:t>
            </w:r>
            <w:r>
              <w:t xml:space="preserve"> </w:t>
            </w:r>
            <w:r>
              <w:t xml:space="preserve">file has a syntax problem</w:t>
            </w:r>
          </w:p>
        </w:tc>
        <w:tc>
          <w:tcPr/>
          <w:p>
            <w:pPr>
              <w:pStyle w:val="Compact"/>
            </w:pPr>
            <w:r>
              <w:t xml:space="preserve">Open browser DevTools console. Read the error. Roll back the publish with</w:t>
            </w:r>
            <w:r>
              <w:t xml:space="preserve"> </w:t>
            </w:r>
            <w:r>
              <w:rPr>
                <w:rStyle w:val="VerbatimChar"/>
              </w:rPr>
              <w:t xml:space="preserve">git revert HEAD &amp;&amp; git push</w:t>
            </w:r>
            <w:r>
              <w:t xml:space="preserve"> </w:t>
            </w:r>
            <w:r>
              <w:t xml:space="preserve">and investigate.</w:t>
            </w:r>
          </w:p>
        </w:tc>
      </w:tr>
      <w:tr>
        <w:tc>
          <w:tcPr/>
          <w:p>
            <w:pPr>
              <w:pStyle w:val="Compact"/>
            </w:pPr>
            <w:r>
              <w:t xml:space="preserve">Mailer workflow fails (red cross in GitHub Actions)</w:t>
            </w:r>
          </w:p>
        </w:tc>
        <w:tc>
          <w:tcPr/>
          <w:p>
            <w:pPr>
              <w:pStyle w:val="Compact"/>
            </w:pPr>
            <w:r>
              <w:t xml:space="preserve">Most common: Microsoft Graph client secret expired; or Azure app permissions revoked</w:t>
            </w:r>
          </w:p>
        </w:tc>
        <w:tc>
          <w:tcPr/>
          <w:p>
            <w:pPr>
              <w:pStyle w:val="Compact"/>
            </w:pPr>
            <w:r>
              <w:t xml:space="preserve">Open the failing run log. If</w:t>
            </w:r>
            <w:r>
              <w:t xml:space="preserve"> </w:t>
            </w:r>
            <w:r>
              <w:t xml:space="preserve">“AADSTS7000215”</w:t>
            </w:r>
            <w:r>
              <w:t xml:space="preserve"> </w:t>
            </w:r>
            <w:r>
              <w:t xml:space="preserve">or similar, rotate the secret per Annex B. If permission error, IT to re-grant Mail.Send admin consent. Re-run the workflow manually via</w:t>
            </w:r>
            <w:r>
              <w:t xml:space="preserve"> </w:t>
            </w:r>
            <w:r>
              <w:t xml:space="preserve">“Run workflow”</w:t>
            </w:r>
            <w:r>
              <w:t xml:space="preserve"> </w:t>
            </w:r>
            <w:r>
              <w:t xml:space="preserve">once fixed.</w:t>
            </w:r>
          </w:p>
        </w:tc>
      </w:tr>
      <w:tr>
        <w:tc>
          <w:tcPr/>
          <w:p>
            <w:pPr>
              <w:pStyle w:val="Compact"/>
            </w:pPr>
            <w:r>
              <w:t xml:space="preserve">One recipient bounces</w:t>
            </w:r>
          </w:p>
        </w:tc>
        <w:tc>
          <w:tcPr/>
          <w:p>
            <w:pPr>
              <w:pStyle w:val="Compact"/>
            </w:pPr>
            <w:r>
              <w:t xml:space="preserve">Stale email address or full mailbox</w:t>
            </w:r>
          </w:p>
        </w:tc>
        <w:tc>
          <w:tcPr/>
          <w:p>
            <w:pPr>
              <w:pStyle w:val="Compact"/>
            </w:pPr>
            <w:r>
              <w:t xml:space="preserve">Update</w:t>
            </w:r>
            <w:r>
              <w:t xml:space="preserve"> </w:t>
            </w:r>
            <w:r>
              <w:rPr>
                <w:rStyle w:val="VerbatimChar"/>
              </w:rPr>
              <w:t xml:space="preserve">scripts/client-recipients.json</w:t>
            </w:r>
            <w:r>
              <w:t xml:space="preserve"> </w:t>
            </w:r>
            <w:r>
              <w:t xml:space="preserve">and commit. No need to re-run; the rest delivered.</w:t>
            </w:r>
          </w:p>
        </w:tc>
      </w:tr>
      <w:tr>
        <w:tc>
          <w:tcPr/>
          <w:p>
            <w:pPr>
              <w:pStyle w:val="Compact"/>
            </w:pPr>
            <w:r>
              <w:t xml:space="preserve">Whole pipeline missed a month</w:t>
            </w:r>
          </w:p>
        </w:tc>
        <w:tc>
          <w:tcPr/>
          <w:p>
            <w:pPr>
              <w:pStyle w:val="Compact"/>
            </w:pPr>
            <w:r>
              <w:t xml:space="preserve">Production day not actioned, or workstation unavailable</w:t>
            </w:r>
          </w:p>
        </w:tc>
        <w:tc>
          <w:tcPr/>
          <w:p>
            <w:pPr>
              <w:pStyle w:val="Compact"/>
            </w:pPr>
            <w:r>
              <w:t xml:space="preserve">Backup MI Analyst shall execute. If unavailable, Process Owner shall notify clients of the delay and target a release within 5 working days.</w:t>
            </w:r>
          </w:p>
        </w:tc>
      </w:tr>
    </w:tbl>
    <w:bookmarkEnd w:id="26"/>
    <w:bookmarkStart w:id="30" w:name="annexes"/>
    <w:p>
      <w:pPr>
        <w:pStyle w:val="Heading2"/>
      </w:pPr>
      <w:r>
        <w:t xml:space="preserve">10. Annexes</w:t>
      </w:r>
    </w:p>
    <w:bookmarkStart w:id="27" w:name="annex-a-mi-analyst-training-checklist"/>
    <w:p>
      <w:pPr>
        <w:pStyle w:val="Heading3"/>
      </w:pPr>
      <w:r>
        <w:t xml:space="preserve">Annex A — MI Analyst training checklist</w:t>
      </w:r>
    </w:p>
    <w:p>
      <w:pPr>
        <w:pStyle w:val="FirstParagraph"/>
      </w:pPr>
      <w:r>
        <w:t xml:space="preserve">A new MI Analyst shall not perform an unsupervised release until they have:</w:t>
      </w:r>
    </w:p>
    <w:p>
      <w:pPr>
        <w:pStyle w:val="Compact"/>
        <w:numPr>
          <w:ilvl w:val="0"/>
          <w:numId w:val="1023"/>
        </w:numPr>
      </w:pPr>
      <w:r>
        <w:t xml:space="preserve">Read this procedure in full</w:t>
      </w:r>
    </w:p>
    <w:p>
      <w:pPr>
        <w:pStyle w:val="Compact"/>
        <w:numPr>
          <w:ilvl w:val="0"/>
          <w:numId w:val="1024"/>
        </w:numPr>
      </w:pPr>
      <w:r>
        <w:t xml:space="preserve">Observed one full release performed by the current MI Analyst</w:t>
      </w:r>
    </w:p>
    <w:p>
      <w:pPr>
        <w:pStyle w:val="Compact"/>
        <w:numPr>
          <w:ilvl w:val="0"/>
          <w:numId w:val="1025"/>
        </w:numPr>
      </w:pPr>
      <w:r>
        <w:t xml:space="preserve">Performed one supervised release end-to-end</w:t>
      </w:r>
    </w:p>
    <w:p>
      <w:pPr>
        <w:pStyle w:val="Compact"/>
        <w:numPr>
          <w:ilvl w:val="0"/>
          <w:numId w:val="1026"/>
        </w:numPr>
      </w:pPr>
      <w:r>
        <w:t xml:space="preserve">Demonstrated correct identification of a data-quality typo in TrackOps and corrective action</w:t>
      </w:r>
    </w:p>
    <w:p>
      <w:pPr>
        <w:pStyle w:val="Compact"/>
        <w:numPr>
          <w:ilvl w:val="0"/>
          <w:numId w:val="1027"/>
        </w:numPr>
      </w:pPr>
      <w:r>
        <w:t xml:space="preserve">Demonstrated retrieval of a Microsoft Graph workflow run log and interpretation of its output</w:t>
      </w:r>
    </w:p>
    <w:p>
      <w:pPr>
        <w:pStyle w:val="Compact"/>
        <w:numPr>
          <w:ilvl w:val="0"/>
          <w:numId w:val="1028"/>
        </w:numPr>
      </w:pPr>
      <w:r>
        <w:t xml:space="preserve">Signed Annex C against their first supervised release</w:t>
      </w:r>
    </w:p>
    <w:bookmarkEnd w:id="27"/>
    <w:bookmarkStart w:id="28" w:name="annex-b-secret-rotation-schedule"/>
    <w:p>
      <w:pPr>
        <w:pStyle w:val="Heading3"/>
      </w:pPr>
      <w:r>
        <w:t xml:space="preserve">Annex B — Secret rotation schedule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Credential</w:t>
            </w:r>
          </w:p>
        </w:tc>
        <w:tc>
          <w:tcPr/>
          <w:p>
            <w:pPr>
              <w:pStyle w:val="Compact"/>
            </w:pPr>
            <w:r>
              <w:t xml:space="preserve">Rotation interval</w:t>
            </w:r>
          </w:p>
        </w:tc>
        <w:tc>
          <w:tcPr/>
          <w:p>
            <w:pPr>
              <w:pStyle w:val="Compact"/>
            </w:pPr>
            <w:r>
              <w:t xml:space="preserve">Owner</w:t>
            </w:r>
          </w:p>
        </w:tc>
        <w:tc>
          <w:tcPr/>
          <w:p>
            <w:pPr>
              <w:pStyle w:val="Compact"/>
            </w:pPr>
            <w:r>
              <w:t xml:space="preserve">Process</w:t>
            </w:r>
          </w:p>
        </w:tc>
      </w:tr>
      <w:tr>
        <w:tc>
          <w:tcPr/>
          <w:p>
            <w:pPr>
              <w:pStyle w:val="Compact"/>
            </w:pPr>
            <w:r>
              <w:t xml:space="preserve">Microsoft Graph client secret</w:t>
            </w:r>
          </w:p>
        </w:tc>
        <w:tc>
          <w:tcPr/>
          <w:p>
            <w:pPr>
              <w:pStyle w:val="Compact"/>
            </w:pPr>
            <w:r>
              <w:t xml:space="preserve">Every 18 months (or 60 days before expiry, whichever is sooner)</w:t>
            </w:r>
          </w:p>
        </w:tc>
        <w:tc>
          <w:tcPr/>
          <w:p>
            <w:pPr>
              <w:pStyle w:val="Compact"/>
            </w:pPr>
            <w:r>
              <w:t xml:space="preserve">IT</w:t>
            </w:r>
          </w:p>
        </w:tc>
        <w:tc>
          <w:tcPr/>
          <w:p>
            <w:pPr>
              <w:pStyle w:val="Compact"/>
            </w:pPr>
            <w:r>
              <w:t xml:space="preserve">Entra → App registrations → DLB MI Mailer → Certificates &amp; secrets → New secret → copy Value →</w:t>
            </w:r>
            <w:r>
              <w:t xml:space="preserve"> </w:t>
            </w:r>
            <w:r>
              <w:rPr>
                <w:rStyle w:val="VerbatimChar"/>
              </w:rPr>
              <w:t xml:space="preserve">gh secret set GRAPH_CLIENT_SECRET --repo dlbltd/MI-Portal</w:t>
            </w:r>
            <w:r>
              <w:t xml:space="preserve">. Delete old secret after first successful workflow run on the new one.</w:t>
            </w:r>
          </w:p>
        </w:tc>
      </w:tr>
      <w:tr>
        <w:tc>
          <w:tcPr/>
          <w:p>
            <w:pPr>
              <w:pStyle w:val="Compact"/>
            </w:pPr>
            <w:r>
              <w:t xml:space="preserve">TrackOps API token (when in use)</w:t>
            </w:r>
          </w:p>
        </w:tc>
        <w:tc>
          <w:tcPr/>
          <w:p>
            <w:pPr>
              <w:pStyle w:val="Compact"/>
            </w:pPr>
            <w:r>
              <w:t xml:space="preserve">Annually, or immediately on staff departure</w:t>
            </w:r>
          </w:p>
        </w:tc>
        <w:tc>
          <w:tcPr/>
          <w:p>
            <w:pPr>
              <w:pStyle w:val="Compact"/>
            </w:pPr>
            <w:r>
              <w:t xml:space="preserve">MI Analyst</w:t>
            </w:r>
          </w:p>
        </w:tc>
        <w:tc>
          <w:tcPr/>
          <w:p>
            <w:pPr>
              <w:pStyle w:val="Compact"/>
            </w:pPr>
            <w:r>
              <w:t xml:space="preserve">TrackOps → Settings → API Tokens → Reset Token.</w:t>
            </w:r>
          </w:p>
        </w:tc>
      </w:tr>
      <w:tr>
        <w:tc>
          <w:tcPr/>
          <w:p>
            <w:pPr>
              <w:pStyle w:val="Compact"/>
            </w:pPr>
            <w:r>
              <w:t xml:space="preserve">GitHub personal access token (deploy key)</w:t>
            </w:r>
          </w:p>
        </w:tc>
        <w:tc>
          <w:tcPr/>
          <w:p>
            <w:pPr>
              <w:pStyle w:val="Compact"/>
            </w:pPr>
            <w:r>
              <w:t xml:space="preserve">Annually</w:t>
            </w:r>
          </w:p>
        </w:tc>
        <w:tc>
          <w:tcPr/>
          <w:p>
            <w:pPr>
              <w:pStyle w:val="Compact"/>
            </w:pPr>
            <w:r>
              <w:t xml:space="preserve">IT</w:t>
            </w:r>
          </w:p>
        </w:tc>
        <w:tc>
          <w:tcPr/>
          <w:p>
            <w:pPr>
              <w:pStyle w:val="Compact"/>
            </w:pPr>
            <w:r>
              <w:t xml:space="preserve">Per GitHub standard practice.</w:t>
            </w:r>
          </w:p>
        </w:tc>
      </w:tr>
    </w:tbl>
    <w:bookmarkEnd w:id="28"/>
    <w:bookmarkStart w:id="29" w:name="annex-c-monthly-mi-release-record"/>
    <w:p>
      <w:pPr>
        <w:pStyle w:val="Heading3"/>
      </w:pPr>
      <w:r>
        <w:t xml:space="preserve">Annex C — Monthly MI Release Record</w:t>
      </w:r>
    </w:p>
    <w:p>
      <w:pPr>
        <w:pStyle w:val="FirstParagraph"/>
      </w:pPr>
      <w:r>
        <w:t xml:space="preserve">For each monthly release the MI Analyst shall complete:</w:t>
      </w:r>
    </w:p>
    <w:p>
      <w:pPr>
        <w:pStyle w:val="SourceCode"/>
      </w:pPr>
      <w:r>
        <w:rPr>
          <w:rStyle w:val="VerbatimChar"/>
        </w:rPr>
        <w:t xml:space="preserve">Month / Year:           __________________________</w:t>
      </w:r>
      <w:r>
        <w:br/>
      </w:r>
      <w:r>
        <w:rPr>
          <w:rStyle w:val="VerbatimChar"/>
        </w:rPr>
        <w:t xml:space="preserve">MI Analyst name:        __________________________</w:t>
      </w:r>
      <w:r>
        <w:br/>
      </w:r>
      <w:r>
        <w:rPr>
          <w:rStyle w:val="VerbatimChar"/>
        </w:rPr>
        <w:t xml:space="preserve">Pre-release review date:__________________________ (Day -2)</w:t>
      </w:r>
      <w:r>
        <w:br/>
      </w:r>
      <w:r>
        <w:rPr>
          <w:rStyle w:val="VerbatimChar"/>
        </w:rPr>
        <w:t xml:space="preserve">Spot-check cases (any 3 client + case-number pairs verified):</w:t>
      </w:r>
      <w:r>
        <w:br/>
      </w:r>
      <w:r>
        <w:rPr>
          <w:rStyle w:val="VerbatimChar"/>
        </w:rPr>
        <w:t xml:space="preserve">   1. _______________________________________________</w:t>
      </w:r>
      <w:r>
        <w:br/>
      </w:r>
      <w:r>
        <w:rPr>
          <w:rStyle w:val="VerbatimChar"/>
        </w:rPr>
        <w:t xml:space="preserve">   2. _______________________________________________</w:t>
      </w:r>
      <w:r>
        <w:br/>
      </w:r>
      <w:r>
        <w:rPr>
          <w:rStyle w:val="VerbatimChar"/>
        </w:rPr>
        <w:t xml:space="preserve">   3. _______________________________________________</w:t>
      </w:r>
      <w:r>
        <w:br/>
      </w:r>
      <w:r>
        <w:rPr>
          <w:rStyle w:val="VerbatimChar"/>
        </w:rPr>
        <w:t xml:space="preserve">Data quality issues found:    __________________________</w:t>
      </w:r>
      <w:r>
        <w:br/>
      </w:r>
      <w:r>
        <w:rPr>
          <w:rStyle w:val="VerbatimChar"/>
        </w:rPr>
        <w:t xml:space="preserve">                              __________________________</w:t>
      </w:r>
      <w:r>
        <w:br/>
      </w:r>
      <w:r>
        <w:rPr>
          <w:rStyle w:val="VerbatimChar"/>
        </w:rPr>
        <w:t xml:space="preserve">Production date:        __________________________ (Day 0)</w:t>
      </w:r>
      <w:r>
        <w:br/>
      </w:r>
      <w:r>
        <w:rPr>
          <w:rStyle w:val="VerbatimChar"/>
        </w:rPr>
        <w:t xml:space="preserve">CSV filename:           __________________________</w:t>
      </w:r>
      <w:r>
        <w:br/>
      </w:r>
      <w:r>
        <w:rPr>
          <w:rStyle w:val="VerbatimChar"/>
        </w:rPr>
        <w:t xml:space="preserve">Total cases processed:  ______</w:t>
      </w:r>
      <w:r>
        <w:br/>
      </w:r>
      <w:r>
        <w:rPr>
          <w:rStyle w:val="VerbatimChar"/>
        </w:rPr>
        <w:t xml:space="preserve">Unmatched client names: ______ (must be 0)</w:t>
      </w:r>
      <w:r>
        <w:br/>
      </w:r>
      <w:r>
        <w:rPr>
          <w:rStyle w:val="VerbatimChar"/>
        </w:rPr>
        <w:t xml:space="preserve">Dashboard verified:     [ ] Yes  [ ] No (notes: __________)</w:t>
      </w:r>
      <w:r>
        <w:br/>
      </w:r>
      <w:r>
        <w:rPr>
          <w:rStyle w:val="VerbatimChar"/>
        </w:rPr>
        <w:t xml:space="preserve">Commit SHA pushed:      __________________________</w:t>
      </w:r>
      <w:r>
        <w:br/>
      </w:r>
      <w:r>
        <w:br/>
      </w:r>
      <w:r>
        <w:rPr>
          <w:rStyle w:val="VerbatimChar"/>
        </w:rPr>
        <w:t xml:space="preserve">Mailer run date:        __________________________ (Day 0 auto)</w:t>
      </w:r>
      <w:r>
        <w:br/>
      </w:r>
      <w:r>
        <w:rPr>
          <w:rStyle w:val="VerbatimChar"/>
        </w:rPr>
        <w:t xml:space="preserve">Workflow run URL:       __________________________</w:t>
      </w:r>
      <w:r>
        <w:br/>
      </w:r>
      <w:r>
        <w:rPr>
          <w:rStyle w:val="VerbatimChar"/>
        </w:rPr>
        <w:t xml:space="preserve">Recipients sent:        ______</w:t>
      </w:r>
      <w:r>
        <w:br/>
      </w:r>
      <w:r>
        <w:rPr>
          <w:rStyle w:val="VerbatimChar"/>
        </w:rPr>
        <w:t xml:space="preserve">Recipients failed:      ______</w:t>
      </w:r>
      <w:r>
        <w:br/>
      </w:r>
      <w:r>
        <w:rPr>
          <w:rStyle w:val="VerbatimChar"/>
        </w:rPr>
        <w:t xml:space="preserve">Spot-check delivery confirmed by: ___________________ on _______</w:t>
      </w:r>
      <w:r>
        <w:br/>
      </w:r>
      <w:r>
        <w:br/>
      </w:r>
      <w:r>
        <w:rPr>
          <w:rStyle w:val="VerbatimChar"/>
        </w:rPr>
        <w:t xml:space="preserve">Sign-off:               __________________________  Date: ______</w:t>
      </w:r>
      <w:r>
        <w:br/>
      </w:r>
      <w:r>
        <w:rPr>
          <w:rStyle w:val="VerbatimChar"/>
        </w:rPr>
        <w:t xml:space="preserve">                        (MI Analyst signature)</w:t>
      </w:r>
    </w:p>
    <w:bookmarkEnd w:id="29"/>
    <w:bookmarkEnd w:id="30"/>
    <w:bookmarkStart w:id="31" w:name="revision-history"/>
    <w:p>
      <w:pPr>
        <w:pStyle w:val="Heading2"/>
      </w:pPr>
      <w:r>
        <w:t xml:space="preserve">11. Revision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Summary of changes</w:t>
            </w:r>
          </w:p>
        </w:tc>
      </w:tr>
      <w:tr>
        <w:tc>
          <w:tcPr/>
          <w:p>
            <w:pPr>
              <w:pStyle w:val="Compact"/>
            </w:pPr>
            <w:r>
              <w:t xml:space="preserve">1.0</w:t>
            </w:r>
          </w:p>
        </w:tc>
        <w:tc>
          <w:tcPr/>
          <w:p>
            <w:pPr>
              <w:pStyle w:val="Compact"/>
            </w:pPr>
            <w:r>
              <w:t xml:space="preserve">11 May 2026</w:t>
            </w:r>
          </w:p>
        </w:tc>
        <w:tc>
          <w:tcPr/>
          <w:p>
            <w:pPr>
              <w:pStyle w:val="Compact"/>
            </w:pPr>
            <w:r>
              <w:t xml:space="preserve">David Booker</w:t>
            </w:r>
          </w:p>
        </w:tc>
        <w:tc>
          <w:tcPr/>
          <w:p>
            <w:pPr>
              <w:pStyle w:val="Compact"/>
            </w:pPr>
            <w:r>
              <w:t xml:space="preserve">Initial issue. Establishes monthly release cadence on 5th of month with automated email distribution via Microsoft Graph.</w:t>
            </w:r>
          </w:p>
        </w:tc>
      </w:tr>
      <w:tr>
        <w:tc>
          <w:tcPr/>
          <w:p>
            <w:pPr>
              <w:pStyle w:val="Compact"/>
            </w:pPr>
            <w:r>
              <w:t xml:space="preserve">1.1</w:t>
            </w:r>
          </w:p>
        </w:tc>
        <w:tc>
          <w:tcPr/>
          <w:p>
            <w:pPr>
              <w:pStyle w:val="Compact"/>
            </w:pPr>
            <w:r>
              <w:t xml:space="preserve">11 May 2026</w:t>
            </w:r>
          </w:p>
        </w:tc>
        <w:tc>
          <w:tcPr/>
          <w:p>
            <w:pPr>
              <w:pStyle w:val="Compact"/>
            </w:pPr>
            <w:r>
              <w:t xml:space="preserve">David Booker</w:t>
            </w:r>
          </w:p>
        </w:tc>
        <w:tc>
          <w:tcPr/>
          <w:p>
            <w:pPr>
              <w:pStyle w:val="Compact"/>
            </w:pPr>
            <w:r>
              <w:t xml:space="preserve">Expanded §7.2 with the specific TrackOps export click-path (Case List → Advanced → date-range filter at foot of right-hand sidebar) and an explicit rule for choosing the end date (last day of the last full calendar month preceding today). Added Route A (Claude Code) alongside Route B (direct terminal command) for running the processor.</w:t>
            </w:r>
          </w:p>
        </w:tc>
      </w:tr>
      <w:tr>
        <w:tc>
          <w:tcPr/>
          <w:p>
            <w:pPr>
              <w:pStyle w:val="Compact"/>
            </w:pPr>
            <w:r>
              <w:t xml:space="preserve">1.2</w:t>
            </w:r>
          </w:p>
        </w:tc>
        <w:tc>
          <w:tcPr/>
          <w:p>
            <w:pPr>
              <w:pStyle w:val="Compact"/>
            </w:pPr>
            <w:r>
              <w:t xml:space="preserve">12 May 2026</w:t>
            </w:r>
          </w:p>
        </w:tc>
        <w:tc>
          <w:tcPr/>
          <w:p>
            <w:pPr>
              <w:pStyle w:val="Compact"/>
            </w:pPr>
            <w:r>
              <w:t xml:space="preserve">David Booker</w:t>
            </w:r>
          </w:p>
        </w:tc>
        <w:tc>
          <w:tcPr/>
          <w:p>
            <w:pPr>
              <w:pStyle w:val="Compact"/>
            </w:pPr>
            <w:r>
              <w:t xml:space="preserve">Added invoice-details CSV export as a required second monthly export (§7.2.1 Step 2). Updated Route A prompt and Route B command to take both CSVs. Driver: dashboard now uses invoice line items as the revenue source — actual billed amounts per service type — instead of inferring from case-level totals.</w:t>
            </w:r>
          </w:p>
        </w:tc>
      </w:tr>
    </w:tbl>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
  </w:num>
  <w:num w:numId="1012">
    <w:abstractNumId w:val="992"/>
  </w:num>
  <w:num w:numId="1013">
    <w:abstractNumId w:val="992"/>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
  </w:num>
  <w:num w:numId="1016">
    <w:abstractNumId w:val="992"/>
  </w:num>
  <w:num w:numId="1017">
    <w:abstractNumId w:val="992"/>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2"/>
  </w:num>
  <w:num w:numId="1024">
    <w:abstractNumId w:val="992"/>
  </w:num>
  <w:num w:numId="1025">
    <w:abstractNumId w:val="992"/>
  </w:num>
  <w:num w:numId="1026">
    <w:abstractNumId w:val="992"/>
  </w:num>
  <w:num w:numId="1027">
    <w:abstractNumId w:val="992"/>
  </w:num>
  <w:num w:numId="1028">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2026-05-12T15:30:20Z</dcterms:created>
  <dcterms:modified xsi:type="dcterms:W3CDTF">2026-05-12T15:30:20Z</dcterms:modified>
</cp:coreProperties>
</file>

<file path=docProps/custom.xml><?xml version="1.0" encoding="utf-8"?>
<Properties xmlns="http://schemas.openxmlformats.org/officeDocument/2006/custom-properties" xmlns:vt="http://schemas.openxmlformats.org/officeDocument/2006/docPropsVTypes"/>
</file>