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4748B"/>
          <w:sz w:val="18"/>
          <w:szCs w:val="18"/>
          <w:rFonts w:ascii="Helvetica" w:cs="Helvetica" w:eastAsia="Helvetica" w:hAnsi="Helvetica"/>
        </w:rPr>
        <w:t xml:space="preserve">CURRENT REPORT (for comparison)</w:t>
      </w:r>
    </w:p>
    <w:p>
      <w:pPr>
        <w:pStyle w:val="Heading1"/>
        <w:keepNext/>
        <w:pBdr>
          <w:bottom w:val="single" w:color="1B3664" w:sz="12" w:space="4"/>
        </w:pBdr>
        <w:spacing w:before="260" w:after="120"/>
      </w:pPr>
      <w:r>
        <w:rPr>
          <w:b/>
          <w:bCs/>
          <w:color w:val="1B3664"/>
          <w:sz w:val="26"/>
          <w:szCs w:val="26"/>
          <w:caps/>
          <w:rFonts w:ascii="Helvetica" w:cs="Helvetica" w:eastAsia="Helvetica" w:hAnsi="Helvetica"/>
        </w:rPr>
        <w:t xml:space="preserve">Forensic Linguistic Analysis</w:t>
      </w:r>
    </w:p>
    <w:p>
      <w:pPr>
        <w:spacing w:after="120"/>
      </w:pPr>
      <w:r>
        <w:rPr>
          <w:sz w:val="20"/>
          <w:szCs w:val="20"/>
          <w:rFonts w:ascii="Helvetica" w:cs="Helvetica" w:eastAsia="Helvetica" w:hAnsi="Helvetica"/>
        </w:rPr>
        <w:t xml:space="preserve">As part of this investigation, the claimant's interview transcript has been subjected to forensic linguistic analysis. This technique examines the language, structure, and content of the account for features that may indicate inconsistency, rehearsal, omission, or contradiction. The findings below summarise the results of that analysis and are presented to assist the insurer in its claims assessment. They do not constitute a finding of fraud; they identify features that require consideration and, where appropriate, further enquiry.</w:t>
      </w:r>
    </w:p>
    <w:p>
      <w:pPr>
        <w:spacing w:after="80"/>
      </w:pPr>
      <w:r>
        <w:rPr>
          <w:b/>
          <w:bCs/>
          <w:color w:val="1B3664"/>
          <w:sz w:val="22"/>
          <w:szCs w:val="22"/>
          <w:rFonts w:ascii="Helvetica" w:cs="Helvetica" w:eastAsia="Helvetica" w:hAnsi="Helvetica"/>
        </w:rPr>
        <w:t xml:space="preserve">Overall linguistic risk assessment:  </w:t>
      </w:r>
      <w:r>
        <w:rPr>
          <w:b/>
          <w:bCs/>
          <w:color w:val="C0392B"/>
          <w:sz w:val="22"/>
          <w:szCs w:val="22"/>
          <w:rFonts w:ascii="Helvetica" w:cs="Helvetica" w:eastAsia="Helvetica" w:hAnsi="Helvetica"/>
        </w:rPr>
        <w:t xml:space="preserve">HIGH</w:t>
      </w:r>
    </w:p>
    <w:p>
      <w:pPr>
        <w:spacing w:after="160"/>
      </w:pPr>
      <w:r>
        <w:rPr>
          <w:sz w:val="20"/>
          <w:szCs w:val="20"/>
          <w:rFonts w:ascii="Helvetica" w:cs="Helvetica" w:eastAsia="Helvetica" w:hAnsi="Helvetica"/>
        </w:rPr>
        <w:t xml:space="preserve">The analysis has identified 3 high-concern findings — specifically, proven contradiction, proven contradiction, negative admission — which the insurer should consider carefully. These are in addition to 1 further item requiring clarification.</w:t>
      </w:r>
    </w:p>
    <w:p>
      <w:pPr>
        <w:spacing w:after="60"/>
      </w:pPr>
      <w:r>
        <w:rPr>
          <w:b/>
          <w:bCs/>
          <w:color w:val="1B3664"/>
          <w:sz w:val="20"/>
          <w:szCs w:val="20"/>
          <w:rFonts w:ascii="Helvetica" w:cs="Helvetica" w:eastAsia="Helvetica" w:hAnsi="Helvetica"/>
        </w:rPr>
        <w:t xml:space="preserve">Active Findings (4)</w:t>
      </w:r>
    </w:p>
    <w:p>
      <w:pPr>
        <w:spacing w:before="60" w:after="40"/>
      </w:pPr>
      <w:r>
        <w:rPr>
          <w:b/>
          <w:bCs/>
          <w:color w:val="C0392B"/>
          <w:sz w:val="19"/>
          <w:szCs w:val="19"/>
          <w:rFonts w:ascii="Helvetica" w:cs="Helvetica" w:eastAsia="Helvetica" w:hAnsi="Helvetica"/>
        </w:rPr>
        <w:t xml:space="preserve">High Concern</w:t>
      </w:r>
    </w:p>
    <w:p>
      <w:pPr>
        <w:spacing w:after="20"/>
        <w:ind w:left="200"/>
      </w:pPr>
      <w:r>
        <w:rPr>
          <w:b/>
          <w:bCs/>
          <w:color w:val="C0392B"/>
          <w:sz w:val="20"/>
          <w:szCs w:val="20"/>
          <w:rFonts w:ascii="Helvetica" w:cs="Helvetica" w:eastAsia="Helvetica" w:hAnsi="Helvetica"/>
        </w:rPr>
        <w:t xml:space="preserve">2x  Proven Contradiction</w:t>
      </w:r>
    </w:p>
    <w:p>
      <w:pPr>
        <w:spacing w:after="40"/>
        <w:ind w:left="400"/>
      </w:pPr>
      <w:r>
        <w:rPr>
          <w:color w:val="374151"/>
          <w:sz w:val="19"/>
          <w:szCs w:val="19"/>
          <w:rFonts w:ascii="Helvetica" w:cs="Helvetica" w:eastAsia="Helvetica" w:hAnsi="Helvetica"/>
        </w:rPr>
        <w:t xml:space="preserve">The account contains statements that directly contradict one another. Where a claimant's own words are internally inconsistent, this undermines the reliability of the account and warrants close scrutiny before indemnity is considered.</w:t>
      </w:r>
    </w:p>
    <w:p>
      <w:pPr>
        <w:spacing w:after="20"/>
        <w:ind w:left="200"/>
      </w:pPr>
      <w:r>
        <w:rPr>
          <w:b/>
          <w:bCs/>
          <w:color w:val="C0392B"/>
          <w:sz w:val="20"/>
          <w:szCs w:val="20"/>
          <w:rFonts w:ascii="Helvetica" w:cs="Helvetica" w:eastAsia="Helvetica" w:hAnsi="Helvetica"/>
        </w:rPr>
        <w:t xml:space="preserve">Negative Admission</w:t>
      </w:r>
    </w:p>
    <w:p>
      <w:pPr>
        <w:spacing w:after="40"/>
        <w:ind w:left="400"/>
      </w:pPr>
      <w:r>
        <w:rPr>
          <w:color w:val="374151"/>
          <w:sz w:val="19"/>
          <w:szCs w:val="19"/>
          <w:rFonts w:ascii="Helvetica" w:cs="Helvetica" w:eastAsia="Helvetica" w:hAnsi="Helvetica"/>
        </w:rPr>
        <w:t xml:space="preserve">The claimant has made a statement that is adverse to their own position — an admission, concession, or acknowledgement that weakens the validity or quantum of the claim. These statements are made voluntarily and carry evidential weight.</w:t>
      </w:r>
    </w:p>
    <w:p>
      <w:pPr>
        <w:spacing w:before="60" w:after="40"/>
      </w:pPr>
      <w:r>
        <w:rPr>
          <w:b/>
          <w:bCs/>
          <w:color w:val="D4890A"/>
          <w:sz w:val="19"/>
          <w:szCs w:val="19"/>
          <w:rFonts w:ascii="Helvetica" w:cs="Helvetica" w:eastAsia="Helvetica" w:hAnsi="Helvetica"/>
        </w:rPr>
        <w:t xml:space="preserve">Requires Clarification</w:t>
      </w:r>
    </w:p>
    <w:p>
      <w:pPr>
        <w:spacing w:after="20"/>
        <w:ind w:left="200"/>
      </w:pPr>
      <w:r>
        <w:rPr>
          <w:b/>
          <w:bCs/>
          <w:color w:val="D4890A"/>
          <w:sz w:val="20"/>
          <w:szCs w:val="20"/>
          <w:rFonts w:ascii="Helvetica" w:cs="Helvetica" w:eastAsia="Helvetica" w:hAnsi="Helvetica"/>
        </w:rPr>
        <w:t xml:space="preserve">Unsupported Assertion</w:t>
      </w:r>
    </w:p>
    <w:p>
      <w:pPr>
        <w:spacing w:after="40"/>
        <w:ind w:left="400"/>
      </w:pPr>
      <w:r>
        <w:rPr>
          <w:color w:val="374151"/>
          <w:sz w:val="19"/>
          <w:szCs w:val="19"/>
          <w:rFonts w:ascii="Helvetica" w:cs="Helvetica" w:eastAsia="Helvetica" w:hAnsi="Helvetica"/>
        </w:rPr>
        <w:t xml:space="preserve">A material claim of fact is made without any corroborating detail, witness, or documentary support. These assertions cannot be verified from the account alone and should be tested against available evidence.</w:t>
      </w:r>
    </w:p>
    <w:p>
      <w:pPr>
        <w:spacing w:before="80"/>
      </w:pPr>
      <w:r>
        <w:rPr>
          <w:b/>
          <w:bCs/>
          <w:color w:val="1B3664"/>
          <w:sz w:val="18"/>
          <w:szCs w:val="18"/>
          <w:rFonts w:ascii="Helvetica" w:cs="Helvetica" w:eastAsia="Helvetica" w:hAnsi="Helvetica"/>
        </w:rPr>
        <w:t xml:space="preserve">Review tally:  </w:t>
      </w:r>
      <w:r>
        <w:rPr>
          <w:color w:val="374151"/>
          <w:sz w:val="18"/>
          <w:szCs w:val="18"/>
          <w:rFonts w:ascii="Helvetica" w:cs="Helvetica" w:eastAsia="Helvetica" w:hAnsi="Helvetica"/>
        </w:rPr>
        <w:t xml:space="preserve">4 findings identified  |  4 active (0 escalated, 4 open)</w:t>
      </w:r>
    </w:p>
    <w:p>
      <w:r>
        <w:br w:type="page"/>
      </w:r>
    </w:p>
    <w:p>
      <w:pPr>
        <w:spacing w:after="60"/>
      </w:pPr>
      <w:r>
        <w:rPr>
          <w:b/>
          <w:bCs/>
          <w:color w:val="64748B"/>
          <w:sz w:val="18"/>
          <w:szCs w:val="18"/>
          <w:rFonts w:ascii="Helvetica" w:cs="Helvetica" w:eastAsia="Helvetica" w:hAnsi="Helvetica"/>
        </w:rPr>
        <w:t xml:space="preserve">PROPOSED REPORT (mockup, invented data)</w:t>
      </w:r>
    </w:p>
    <w:p>
      <w:pPr>
        <w:pStyle w:val="Heading1"/>
        <w:keepNext/>
        <w:pBdr>
          <w:bottom w:val="single" w:color="1B3664" w:sz="12" w:space="4"/>
        </w:pBdr>
        <w:spacing w:before="260" w:after="120"/>
      </w:pPr>
      <w:r>
        <w:rPr>
          <w:b/>
          <w:bCs/>
          <w:color w:val="1B3664"/>
          <w:sz w:val="26"/>
          <w:szCs w:val="26"/>
          <w:caps/>
          <w:rFonts w:ascii="Helvetica" w:cs="Helvetica" w:eastAsia="Helvetica" w:hAnsi="Helvetica"/>
        </w:rPr>
        <w:t xml:space="preserve">Linguistic Review of the Account</w:t>
      </w:r>
    </w:p>
    <w:p>
      <w:pPr>
        <w:spacing w:after="160"/>
      </w:pPr>
      <w:r>
        <w:rPr>
          <w:sz w:val="20"/>
          <w:szCs w:val="20"/>
          <w:rFonts w:ascii="Helvetica" w:cs="Helvetica" w:eastAsia="Helvetica" w:hAnsi="Helvetica"/>
        </w:rPr>
        <w:t xml:space="preserve">The interview transcript was reviewed for points where the account conflicts with itself or with the records on file, or where something said bears on the claim. Each point below shows the claimant's own words alongside what they are set against, so the reader can weigh it directly. The review identifies points to resolve; it makes no finding about honesty, and every point has been reviewed by the investigating officer.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pPr>
            <w:r>
              <w:rPr>
                <w:b/>
                <w:bCs/>
                <w:color w:val="1B3664"/>
                <w:sz w:val="40"/>
                <w:szCs w:val="40"/>
                <w:rFonts w:ascii="Helvetica" w:cs="Helvetica" w:eastAsia="Helvetica" w:hAnsi="Helvetica"/>
              </w:rPr>
              <w:t xml:space="preserve">38</w:t>
            </w:r>
          </w:p>
          <w:p>
            <w:pPr>
              <w:spacing w:after="0"/>
            </w:pPr>
            <w:r>
              <w:rPr>
                <w:color w:val="64748B"/>
                <w:sz w:val="16"/>
                <w:szCs w:val="16"/>
                <w:rFonts w:ascii="Helvetica" w:cs="Helvetica" w:eastAsia="Helvetica" w:hAnsi="Helvetica"/>
              </w:rPr>
              <w:t xml:space="preserve">points of fact checked</w:t>
            </w:r>
          </w:p>
        </w:tc>
        <w:tc>
          <w:tcPr>
            <w:tcW w:type="dxa" w:w="225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pPr>
            <w:r>
              <w:rPr>
                <w:b/>
                <w:bCs/>
                <w:color w:val="27864A"/>
                <w:sz w:val="40"/>
                <w:szCs w:val="40"/>
                <w:rFonts w:ascii="Helvetica" w:cs="Helvetica" w:eastAsia="Helvetica" w:hAnsi="Helvetica"/>
              </w:rPr>
              <w:t xml:space="preserve">34</w:t>
            </w:r>
          </w:p>
          <w:p>
            <w:pPr>
              <w:spacing w:after="0"/>
            </w:pPr>
            <w:r>
              <w:rPr>
                <w:color w:val="64748B"/>
                <w:sz w:val="16"/>
                <w:szCs w:val="16"/>
                <w:rFonts w:ascii="Helvetica" w:cs="Helvetica" w:eastAsia="Helvetica" w:hAnsi="Helvetica"/>
              </w:rPr>
              <w:t xml:space="preserve">consistent</w:t>
            </w:r>
          </w:p>
        </w:tc>
        <w:tc>
          <w:tcPr>
            <w:tcW w:type="dxa" w:w="225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pPr>
            <w:r>
              <w:rPr>
                <w:b/>
                <w:bCs/>
                <w:color w:val="9A3412"/>
                <w:sz w:val="40"/>
                <w:szCs w:val="40"/>
                <w:rFonts w:ascii="Helvetica" w:cs="Helvetica" w:eastAsia="Helvetica" w:hAnsi="Helvetica"/>
              </w:rPr>
              <w:t xml:space="preserve">3</w:t>
            </w:r>
          </w:p>
          <w:p>
            <w:pPr>
              <w:spacing w:after="0"/>
            </w:pPr>
            <w:r>
              <w:rPr>
                <w:color w:val="64748B"/>
                <w:sz w:val="16"/>
                <w:szCs w:val="16"/>
                <w:rFonts w:ascii="Helvetica" w:cs="Helvetica" w:eastAsia="Helvetica" w:hAnsi="Helvetica"/>
              </w:rPr>
              <w:t xml:space="preserve">material to the decision</w:t>
            </w:r>
          </w:p>
        </w:tc>
        <w:tc>
          <w:tcPr>
            <w:tcW w:type="dxa" w:w="225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pPr>
            <w:r>
              <w:rPr>
                <w:b/>
                <w:bCs/>
                <w:color w:val="8A6100"/>
                <w:sz w:val="40"/>
                <w:szCs w:val="40"/>
                <w:rFonts w:ascii="Helvetica" w:cs="Helvetica" w:eastAsia="Helvetica" w:hAnsi="Helvetica"/>
              </w:rPr>
              <w:t xml:space="preserve">1</w:t>
            </w:r>
          </w:p>
          <w:p>
            <w:pPr>
              <w:spacing w:after="0"/>
            </w:pPr>
            <w:r>
              <w:rPr>
                <w:color w:val="64748B"/>
                <w:sz w:val="16"/>
                <w:szCs w:val="16"/>
                <w:rFonts w:ascii="Helvetica" w:cs="Helvetica" w:eastAsia="Helvetica" w:hAnsi="Helvetica"/>
              </w:rPr>
              <w:t xml:space="preserve">to be evidenced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75"/>
        <w:gridCol w:w="713"/>
        <w:gridCol w:w="238"/>
      </w:tblGrid>
      <w:tr>
        <w:trPr>
          <w:trHeight w:val="260" w:hRule="exact"/>
        </w:trPr>
        <w:tc>
          <w:tcPr>
            <w:tcW w:type="dxa" w:w="8075"/>
            <w:tcBorders>
              <w:top w:val="none" w:color="FFFFFF" w:sz="0"/>
              <w:left w:val="none" w:color="FFFFFF" w:sz="0"/>
              <w:bottom w:val="none" w:color="FFFFFF" w:sz="0"/>
              <w:right w:val="none" w:color="FFFFFF" w:sz="0"/>
            </w:tcBorders>
            <w:shd w:fill="D7E3D9" w:val="clear"/>
            <w:tcMar>
              <w:top w:type="dxa" w:w="0"/>
              <w:left w:type="dxa" w:w="0"/>
              <w:bottom w:type="dxa" w:w="0"/>
              <w:right w:type="dxa" w:w="0"/>
            </w:tcMar>
            <w:vAlign w:val="top"/>
          </w:tcPr>
          <w:p>
            <w:pPr>
              <w:spacing w:after="0"/>
            </w:pPr>
            <w:r>
              <w:rPr>
                <w:sz w:val="20"/>
                <w:szCs w:val="20"/>
                <w:rFonts w:ascii="Helvetica" w:cs="Helvetica" w:eastAsia="Helvetica" w:hAnsi="Helvetica"/>
              </w:rPr>
            </w:r>
          </w:p>
        </w:tc>
        <w:tc>
          <w:tcPr>
            <w:tcW w:type="dxa" w:w="713"/>
            <w:tcBorders>
              <w:top w:val="none" w:color="FFFFFF" w:sz="0"/>
              <w:left w:val="single" w:color="FFFFFF" w:sz="12"/>
              <w:bottom w:val="none" w:color="FFFFFF" w:sz="0"/>
              <w:right w:val="none" w:color="FFFFFF" w:sz="0"/>
            </w:tcBorders>
            <w:shd w:fill="F1D9C7" w:val="clear"/>
            <w:tcMar>
              <w:top w:type="dxa" w:w="0"/>
              <w:left w:type="dxa" w:w="0"/>
              <w:bottom w:type="dxa" w:w="0"/>
              <w:right w:type="dxa" w:w="0"/>
            </w:tcMar>
            <w:vAlign w:val="top"/>
          </w:tcPr>
          <w:p>
            <w:pPr>
              <w:spacing w:after="0"/>
            </w:pPr>
            <w:r>
              <w:rPr>
                <w:sz w:val="20"/>
                <w:szCs w:val="20"/>
                <w:rFonts w:ascii="Helvetica" w:cs="Helvetica" w:eastAsia="Helvetica" w:hAnsi="Helvetica"/>
              </w:rPr>
            </w:r>
          </w:p>
        </w:tc>
        <w:tc>
          <w:tcPr>
            <w:tcW w:type="dxa" w:w="238"/>
            <w:tcBorders>
              <w:top w:val="none" w:color="FFFFFF" w:sz="0"/>
              <w:left w:val="single" w:color="FFFFFF" w:sz="12"/>
              <w:bottom w:val="none" w:color="FFFFFF" w:sz="0"/>
              <w:right w:val="none" w:color="FFFFFF" w:sz="0"/>
            </w:tcBorders>
            <w:shd w:fill="F3E6BF" w:val="clear"/>
            <w:tcMar>
              <w:top w:type="dxa" w:w="0"/>
              <w:left w:type="dxa" w:w="0"/>
              <w:bottom w:type="dxa" w:w="0"/>
              <w:right w:type="dxa" w:w="0"/>
            </w:tcMar>
            <w:vAlign w:val="top"/>
          </w:tcPr>
          <w:p>
            <w:pPr>
              <w:spacing w:after="0"/>
            </w:pPr>
            <w:r>
              <w:rPr>
                <w:sz w:val="20"/>
                <w:szCs w:val="20"/>
                <w:rFonts w:ascii="Helvetica" w:cs="Helvetica" w:eastAsia="Helvetica" w:hAnsi="Helvetica"/>
              </w:rPr>
            </w:r>
          </w:p>
        </w:tc>
      </w:tr>
    </w:tbl>
    <w:p>
      <w:pPr>
        <w:spacing w:before="60" w:after="60"/>
      </w:pPr>
      <w:r>
        <w:rPr>
          <w:color w:val="B9CFBE"/>
          <w:sz w:val="18"/>
          <w:szCs w:val="18"/>
          <w:rFonts w:ascii="Helvetica" w:cs="Helvetica" w:eastAsia="Helvetica" w:hAnsi="Helvetica"/>
        </w:rPr>
        <w:t xml:space="preserve">■ </w:t>
      </w:r>
      <w:r>
        <w:rPr>
          <w:color w:val="64748B"/>
          <w:sz w:val="16"/>
          <w:szCs w:val="16"/>
          <w:rFonts w:ascii="Helvetica" w:cs="Helvetica" w:eastAsia="Helvetica" w:hAnsi="Helvetica"/>
        </w:rPr>
        <w:t xml:space="preserve">consistent      </w:t>
      </w:r>
      <w:r>
        <w:rPr>
          <w:color w:val="E6BFA3"/>
          <w:sz w:val="18"/>
          <w:szCs w:val="18"/>
          <w:rFonts w:ascii="Helvetica" w:cs="Helvetica" w:eastAsia="Helvetica" w:hAnsi="Helvetica"/>
        </w:rPr>
        <w:t xml:space="preserve">■ </w:t>
      </w:r>
      <w:r>
        <w:rPr>
          <w:color w:val="64748B"/>
          <w:sz w:val="16"/>
          <w:szCs w:val="16"/>
          <w:rFonts w:ascii="Helvetica" w:cs="Helvetica" w:eastAsia="Helvetica" w:hAnsi="Helvetica"/>
        </w:rPr>
        <w:t xml:space="preserve">material to the decision      </w:t>
      </w:r>
      <w:r>
        <w:rPr>
          <w:color w:val="E8D08A"/>
          <w:sz w:val="18"/>
          <w:szCs w:val="18"/>
          <w:rFonts w:ascii="Helvetica" w:cs="Helvetica" w:eastAsia="Helvetica" w:hAnsi="Helvetica"/>
        </w:rPr>
        <w:t xml:space="preserve">■ </w:t>
      </w:r>
      <w:r>
        <w:rPr>
          <w:color w:val="64748B"/>
          <w:sz w:val="16"/>
          <w:szCs w:val="16"/>
          <w:rFonts w:ascii="Helvetica" w:cs="Helvetica" w:eastAsia="Helvetica" w:hAnsi="Helvetica"/>
        </w:rPr>
        <w:t xml:space="preserve">to be evidenced</w:t>
      </w:r>
    </w:p>
    <w:p>
      <w:pPr>
        <w:spacing w:after="220"/>
      </w:pPr>
      <w:r>
        <w:rPr>
          <w:color w:val="374151"/>
          <w:sz w:val="19"/>
          <w:szCs w:val="19"/>
          <w:rFonts w:ascii="Helvetica" w:cs="Helvetica" w:eastAsia="Helvetica" w:hAnsi="Helvetica"/>
        </w:rPr>
        <w:t xml:space="preserve">Most of the account is consistent with itself and with the documents on file. Three points need resolving before a decision is reached; each has a specific next step.</w:t>
      </w:r>
    </w:p>
    <w:p>
      <w:pPr>
        <w:keepNext/>
        <w:spacing w:after="100"/>
      </w:pPr>
      <w:r>
        <w:rPr>
          <w:b/>
          <w:bCs/>
          <w:color w:val="9A3412"/>
          <w:sz w:val="21"/>
          <w:szCs w:val="21"/>
          <w:rFonts w:ascii="Helvetica" w:cs="Helvetica" w:eastAsia="Helvetica" w:hAnsi="Helvetica"/>
        </w:rPr>
        <w:t xml:space="preserve">Material to the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613"/>
        <w:gridCol w:w="1900"/>
      </w:tblGrid>
      <w:tr>
        <w:trPr>
          <w:cantSplit/>
        </w:trPr>
        <w:tc>
          <w:tcPr>
            <w:tcW w:type="dxa" w:w="7126"/>
            <w:gridSpan w:val="2"/>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pPr>
            <w:r>
              <w:rPr>
                <w:b/>
                <w:bCs/>
                <w:color w:val="9A3412"/>
                <w:sz w:val="21"/>
                <w:szCs w:val="21"/>
                <w:rFonts w:ascii="Helvetica" w:cs="Helvetica" w:eastAsia="Helvetica" w:hAnsi="Helvetica"/>
              </w:rPr>
              <w:t xml:space="preserve">1.  Conflicting accounts</w:t>
            </w:r>
            <w:r>
              <w:rPr>
                <w:color w:val="374151"/>
                <w:sz w:val="20"/>
                <w:szCs w:val="20"/>
                <w:rFonts w:ascii="Helvetica" w:cs="Helvetica" w:eastAsia="Helvetica" w:hAnsi="Helvetica"/>
              </w:rPr>
              <w:t xml:space="preserve">   ·   When the vehicle was last seen</w:t>
            </w:r>
          </w:p>
        </w:tc>
        <w:tc>
          <w:tcPr>
            <w:tcW w:type="dxa" w:w="1900"/>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jc w:val="right"/>
            </w:pPr>
            <w:r>
              <w:rPr>
                <w:b/>
                <w:bCs/>
                <w:color w:val="1B3664"/>
                <w:sz w:val="16"/>
                <w:szCs w:val="16"/>
                <w:rFonts w:ascii="Helvetica" w:cs="Helvetica" w:eastAsia="Helvetica" w:hAnsi="Helvetica"/>
              </w:rPr>
              <w:t xml:space="preserve">CLARIFY</w:t>
            </w:r>
          </w:p>
        </w:tc>
      </w:tr>
      <w:tr>
        <w:trPr>
          <w:cantSplit/>
        </w:trPr>
        <w:tc>
          <w:tcPr>
            <w:tcW w:type="dxa" w:w="4513"/>
            <w:tcBorders>
              <w:top w:val="none" w:color="FFFFFF" w:sz="0"/>
              <w:left w:val="single" w:color="9A3412" w:sz="18"/>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WHAT WAS SAID</w:t>
            </w:r>
          </w:p>
          <w:p>
            <w:pPr>
              <w:keepNext/>
              <w:keepLines/>
              <w:spacing w:after="60"/>
            </w:pPr>
            <w:r>
              <w:rPr>
                <w:i/>
                <w:iCs/>
                <w:color w:val="1F2937"/>
                <w:sz w:val="20"/>
                <w:szCs w:val="20"/>
                <w:rFonts w:ascii="Helvetica" w:cs="Helvetica" w:eastAsia="Helvetica" w:hAnsi="Helvetica"/>
              </w:rPr>
              <w:t xml:space="preserve">“I parked it about half nine and went straight to bed.”</w:t>
            </w:r>
          </w:p>
          <w:p>
            <w:pPr>
              <w:keepNext/>
              <w:keepLines/>
              <w:spacing w:after="0"/>
            </w:pPr>
            <w:r>
              <w:rPr>
                <w:color w:val="64748B"/>
                <w:sz w:val="16"/>
                <w:szCs w:val="16"/>
                <w:rFonts w:ascii="Helvetica" w:cs="Helvetica" w:eastAsia="Helvetica" w:hAnsi="Helvetica"/>
              </w:rPr>
              <w:t xml:space="preserve">Interview 12:41</w:t>
            </w:r>
          </w:p>
        </w:tc>
        <w:tc>
          <w:tcPr>
            <w:tcW w:type="dxa" w:w="4513"/>
            <w:gridSpan w:val="2"/>
            <w:tcBorders>
              <w:top w:val="none" w:color="FFFFFF" w:sz="0"/>
              <w:left w:val="none" w:color="FFFFFF" w:sz="0"/>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SET AGAINST</w:t>
            </w:r>
          </w:p>
          <w:p>
            <w:pPr>
              <w:keepNext/>
              <w:keepLines/>
              <w:spacing w:after="60"/>
            </w:pPr>
            <w:r>
              <w:rPr>
                <w:i/>
                <w:iCs/>
                <w:color w:val="1F2937"/>
                <w:sz w:val="20"/>
                <w:szCs w:val="20"/>
                <w:rFonts w:ascii="Helvetica" w:cs="Helvetica" w:eastAsia="Helvetica" w:hAnsi="Helvetica"/>
              </w:rPr>
              <w:t xml:space="preserve">“I got back from my brother's around eleven, maybe quarter past.”</w:t>
            </w:r>
          </w:p>
          <w:p>
            <w:pPr>
              <w:keepNext/>
              <w:keepLines/>
              <w:spacing w:after="0"/>
            </w:pPr>
            <w:r>
              <w:rPr>
                <w:color w:val="64748B"/>
                <w:sz w:val="16"/>
                <w:szCs w:val="16"/>
                <w:rFonts w:ascii="Helvetica" w:cs="Helvetica" w:eastAsia="Helvetica" w:hAnsi="Helvetica"/>
              </w:rPr>
              <w:t xml:space="preserve">Interview 27:03</w:t>
            </w:r>
          </w:p>
        </w:tc>
      </w:tr>
      <w:tr>
        <w:trPr>
          <w:cantSplit/>
        </w:trPr>
        <w:tc>
          <w:tcPr>
            <w:tcW w:type="dxa" w:w="9026"/>
            <w:gridSpan w:val="3"/>
            <w:tcBorders>
              <w:top w:val="none" w:color="FFFFFF" w:sz="0"/>
              <w:left w:val="none" w:color="FFFFFF" w:sz="0"/>
              <w:bottom w:val="single" w:color="D9DEE7" w:sz="6"/>
              <w:right w:val="none" w:color="FFFFFF" w:sz="0"/>
            </w:tcBorders>
            <w:tcMar>
              <w:top w:type="dxa" w:w="100"/>
              <w:left w:type="dxa" w:w="160"/>
              <w:bottom w:type="dxa" w:w="100"/>
              <w:right w:type="dxa" w:w="160"/>
            </w:tcMar>
            <w:vAlign w:val="top"/>
          </w:tcPr>
          <w:p>
            <w:pPr>
              <w:keepNext/>
              <w:spacing w:after="50"/>
            </w:pPr>
            <w:r>
              <w:rPr>
                <w:b/>
                <w:bCs/>
                <w:color w:val="1B3664"/>
                <w:sz w:val="18"/>
                <w:szCs w:val="18"/>
                <w:rFonts w:ascii="Helvetica" w:cs="Helvetica" w:eastAsia="Helvetica" w:hAnsi="Helvetica"/>
              </w:rPr>
              <w:t xml:space="preserve">Why it matters  </w:t>
            </w:r>
            <w:r>
              <w:rPr>
                <w:color w:val="374151"/>
                <w:sz w:val="18"/>
                <w:szCs w:val="18"/>
                <w:rFonts w:ascii="Helvetica" w:cs="Helvetica" w:eastAsia="Helvetica" w:hAnsi="Helvetica"/>
              </w:rPr>
              <w:t xml:space="preserve">The two times are 90 minutes apart and set the start of the window in which the vehicle was taken.</w:t>
            </w:r>
          </w:p>
          <w:p>
            <w:pPr>
              <w:keepNext/>
              <w:spacing w:after="50"/>
            </w:pPr>
            <w:r>
              <w:rPr>
                <w:b/>
                <w:bCs/>
                <w:color w:val="1B3664"/>
                <w:sz w:val="18"/>
                <w:szCs w:val="18"/>
                <w:rFonts w:ascii="Helvetica" w:cs="Helvetica" w:eastAsia="Helvetica" w:hAnsi="Helvetica"/>
              </w:rPr>
              <w:t xml:space="preserve">Possible innocent explanation  </w:t>
            </w:r>
            <w:r>
              <w:rPr>
                <w:color w:val="374151"/>
                <w:sz w:val="18"/>
                <w:szCs w:val="18"/>
                <w:rFonts w:ascii="Helvetica" w:cs="Helvetica" w:eastAsia="Helvetica" w:hAnsi="Helvetica"/>
              </w:rPr>
              <w:t xml:space="preserve">Times given from memory are often approximate; the claimant may be estimating one or both.</w:t>
            </w:r>
          </w:p>
          <w:p>
            <w:pPr>
              <w:spacing w:after="0"/>
            </w:pPr>
            <w:r>
              <w:rPr>
                <w:b/>
                <w:bCs/>
                <w:color w:val="1B3664"/>
                <w:sz w:val="18"/>
                <w:szCs w:val="18"/>
                <w:rFonts w:ascii="Helvetica" w:cs="Helvetica" w:eastAsia="Helvetica" w:hAnsi="Helvetica"/>
              </w:rPr>
              <w:t xml:space="preserve">Next step  </w:t>
            </w:r>
            <w:r>
              <w:rPr>
                <w:color w:val="374151"/>
                <w:sz w:val="18"/>
                <w:szCs w:val="18"/>
                <w:rFonts w:ascii="Helvetica" w:cs="Helvetica" w:eastAsia="Helvetica" w:hAnsi="Helvetica"/>
              </w:rPr>
              <w:t xml:space="preserve">Ask which time is correct and whether anything fixes it (phone activity, doorbell camera, a message sent on arrival).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613"/>
        <w:gridCol w:w="1900"/>
      </w:tblGrid>
      <w:tr>
        <w:trPr>
          <w:cantSplit/>
        </w:trPr>
        <w:tc>
          <w:tcPr>
            <w:tcW w:type="dxa" w:w="7126"/>
            <w:gridSpan w:val="2"/>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pPr>
            <w:r>
              <w:rPr>
                <w:b/>
                <w:bCs/>
                <w:color w:val="9A3412"/>
                <w:sz w:val="21"/>
                <w:szCs w:val="21"/>
                <w:rFonts w:ascii="Helvetica" w:cs="Helvetica" w:eastAsia="Helvetica" w:hAnsi="Helvetica"/>
              </w:rPr>
              <w:t xml:space="preserve">2.  Account differs from the record</w:t>
            </w:r>
            <w:r>
              <w:rPr>
                <w:color w:val="374151"/>
                <w:sz w:val="20"/>
                <w:szCs w:val="20"/>
                <w:rFonts w:ascii="Helvetica" w:cs="Helvetica" w:eastAsia="Helvetica" w:hAnsi="Helvetica"/>
              </w:rPr>
              <w:t xml:space="preserve">   ·   Number of keys</w:t>
            </w:r>
          </w:p>
        </w:tc>
        <w:tc>
          <w:tcPr>
            <w:tcW w:type="dxa" w:w="1900"/>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jc w:val="right"/>
            </w:pPr>
            <w:r>
              <w:rPr>
                <w:b/>
                <w:bCs/>
                <w:color w:val="1B3664"/>
                <w:sz w:val="16"/>
                <w:szCs w:val="16"/>
                <w:rFonts w:ascii="Helvetica" w:cs="Helvetica" w:eastAsia="Helvetica" w:hAnsi="Helvetica"/>
              </w:rPr>
              <w:t xml:space="preserve">PUT TO CLAIMANT</w:t>
            </w:r>
          </w:p>
        </w:tc>
      </w:tr>
      <w:tr>
        <w:trPr>
          <w:cantSplit/>
        </w:trPr>
        <w:tc>
          <w:tcPr>
            <w:tcW w:type="dxa" w:w="4513"/>
            <w:tcBorders>
              <w:top w:val="none" w:color="FFFFFF" w:sz="0"/>
              <w:left w:val="single" w:color="9A3412" w:sz="18"/>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WHAT WAS SAID</w:t>
            </w:r>
          </w:p>
          <w:p>
            <w:pPr>
              <w:keepNext/>
              <w:keepLines/>
              <w:spacing w:after="60"/>
            </w:pPr>
            <w:r>
              <w:rPr>
                <w:i/>
                <w:iCs/>
                <w:color w:val="1F2937"/>
                <w:sz w:val="20"/>
                <w:szCs w:val="20"/>
                <w:rFonts w:ascii="Helvetica" w:cs="Helvetica" w:eastAsia="Helvetica" w:hAnsi="Helvetica"/>
              </w:rPr>
              <w:t xml:space="preserve">“There's only ever been the two keys, both here.”</w:t>
            </w:r>
          </w:p>
          <w:p>
            <w:pPr>
              <w:keepNext/>
              <w:keepLines/>
              <w:spacing w:after="0"/>
            </w:pPr>
            <w:r>
              <w:rPr>
                <w:color w:val="64748B"/>
                <w:sz w:val="16"/>
                <w:szCs w:val="16"/>
                <w:rFonts w:ascii="Helvetica" w:cs="Helvetica" w:eastAsia="Helvetica" w:hAnsi="Helvetica"/>
              </w:rPr>
              <w:t xml:space="preserve">Interview 08:15</w:t>
            </w:r>
          </w:p>
        </w:tc>
        <w:tc>
          <w:tcPr>
            <w:tcW w:type="dxa" w:w="4513"/>
            <w:gridSpan w:val="2"/>
            <w:tcBorders>
              <w:top w:val="none" w:color="FFFFFF" w:sz="0"/>
              <w:left w:val="none" w:color="FFFFFF" w:sz="0"/>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SET AGAINST</w:t>
            </w:r>
          </w:p>
          <w:p>
            <w:pPr>
              <w:keepNext/>
              <w:keepLines/>
              <w:spacing w:after="60"/>
            </w:pPr>
            <w:r>
              <w:rPr>
                <w:color w:val="1F2937"/>
                <w:sz w:val="20"/>
                <w:szCs w:val="20"/>
                <w:rFonts w:ascii="Helvetica" w:cs="Helvetica" w:eastAsia="Helvetica" w:hAnsi="Helvetica"/>
              </w:rPr>
              <w:t xml:space="preserve">Three keys supplied at sale.</w:t>
            </w:r>
          </w:p>
          <w:p>
            <w:pPr>
              <w:keepNext/>
              <w:keepLines/>
              <w:spacing w:after="0"/>
            </w:pPr>
            <w:r>
              <w:rPr>
                <w:color w:val="64748B"/>
                <w:sz w:val="16"/>
                <w:szCs w:val="16"/>
                <w:rFonts w:ascii="Helvetica" w:cs="Helvetica" w:eastAsia="Helvetica" w:hAnsi="Helvetica"/>
              </w:rPr>
              <w:t xml:space="preserve">Dealer invoice, 14 March 2024</w:t>
            </w:r>
          </w:p>
        </w:tc>
      </w:tr>
      <w:tr>
        <w:trPr>
          <w:cantSplit/>
        </w:trPr>
        <w:tc>
          <w:tcPr>
            <w:tcW w:type="dxa" w:w="9026"/>
            <w:gridSpan w:val="3"/>
            <w:tcBorders>
              <w:top w:val="none" w:color="FFFFFF" w:sz="0"/>
              <w:left w:val="none" w:color="FFFFFF" w:sz="0"/>
              <w:bottom w:val="single" w:color="D9DEE7" w:sz="6"/>
              <w:right w:val="none" w:color="FFFFFF" w:sz="0"/>
            </w:tcBorders>
            <w:tcMar>
              <w:top w:type="dxa" w:w="100"/>
              <w:left w:type="dxa" w:w="160"/>
              <w:bottom w:type="dxa" w:w="100"/>
              <w:right w:type="dxa" w:w="160"/>
            </w:tcMar>
            <w:vAlign w:val="top"/>
          </w:tcPr>
          <w:p>
            <w:pPr>
              <w:keepNext/>
              <w:spacing w:after="50"/>
            </w:pPr>
            <w:r>
              <w:rPr>
                <w:b/>
                <w:bCs/>
                <w:color w:val="1B3664"/>
                <w:sz w:val="18"/>
                <w:szCs w:val="18"/>
                <w:rFonts w:ascii="Helvetica" w:cs="Helvetica" w:eastAsia="Helvetica" w:hAnsi="Helvetica"/>
              </w:rPr>
              <w:t xml:space="preserve">Why it matters  </w:t>
            </w:r>
            <w:r>
              <w:rPr>
                <w:color w:val="374151"/>
                <w:sz w:val="18"/>
                <w:szCs w:val="18"/>
                <w:rFonts w:ascii="Helvetica" w:cs="Helvetica" w:eastAsia="Helvetica" w:hAnsi="Helvetica"/>
              </w:rPr>
              <w:t xml:space="preserve">An unaccounted-for key is relevant to how the vehicle was taken without force.</w:t>
            </w:r>
          </w:p>
          <w:p>
            <w:pPr>
              <w:keepNext/>
              <w:spacing w:after="50"/>
            </w:pPr>
            <w:r>
              <w:rPr>
                <w:b/>
                <w:bCs/>
                <w:color w:val="1B3664"/>
                <w:sz w:val="18"/>
                <w:szCs w:val="18"/>
                <w:rFonts w:ascii="Helvetica" w:cs="Helvetica" w:eastAsia="Helvetica" w:hAnsi="Helvetica"/>
              </w:rPr>
              <w:t xml:space="preserve">Possible innocent explanation  </w:t>
            </w:r>
            <w:r>
              <w:rPr>
                <w:color w:val="374151"/>
                <w:sz w:val="18"/>
                <w:szCs w:val="18"/>
                <w:rFonts w:ascii="Helvetica" w:cs="Helvetica" w:eastAsia="Helvetica" w:hAnsi="Helvetica"/>
              </w:rPr>
              <w:t xml:space="preserve">The third key may have been lost or retained before the claimant's ownership, or the invoice may be wrong.</w:t>
            </w:r>
          </w:p>
          <w:p>
            <w:pPr>
              <w:spacing w:after="0"/>
            </w:pPr>
            <w:r>
              <w:rPr>
                <w:b/>
                <w:bCs/>
                <w:color w:val="1B3664"/>
                <w:sz w:val="18"/>
                <w:szCs w:val="18"/>
                <w:rFonts w:ascii="Helvetica" w:cs="Helvetica" w:eastAsia="Helvetica" w:hAnsi="Helvetica"/>
              </w:rPr>
              <w:t xml:space="preserve">Next step  </w:t>
            </w:r>
            <w:r>
              <w:rPr>
                <w:color w:val="374151"/>
                <w:sz w:val="18"/>
                <w:szCs w:val="18"/>
                <w:rFonts w:ascii="Helvetica" w:cs="Helvetica" w:eastAsia="Helvetica" w:hAnsi="Helvetica"/>
              </w:rPr>
              <w:t xml:space="preserve">Show the invoice and ask what became of the third key.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613"/>
        <w:gridCol w:w="1900"/>
      </w:tblGrid>
      <w:tr>
        <w:trPr>
          <w:cantSplit/>
        </w:trPr>
        <w:tc>
          <w:tcPr>
            <w:tcW w:type="dxa" w:w="7126"/>
            <w:gridSpan w:val="2"/>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pPr>
            <w:r>
              <w:rPr>
                <w:b/>
                <w:bCs/>
                <w:color w:val="9A3412"/>
                <w:sz w:val="21"/>
                <w:szCs w:val="21"/>
                <w:rFonts w:ascii="Helvetica" w:cs="Helvetica" w:eastAsia="Helvetica" w:hAnsi="Helvetica"/>
              </w:rPr>
              <w:t xml:space="preserve">3.  Admission adverse to the claim</w:t>
            </w:r>
            <w:r>
              <w:rPr>
                <w:color w:val="374151"/>
                <w:sz w:val="20"/>
                <w:szCs w:val="20"/>
                <w:rFonts w:ascii="Helvetica" w:cs="Helvetica" w:eastAsia="Helvetica" w:hAnsi="Helvetica"/>
              </w:rPr>
              <w:t xml:space="preserve">   ·   Who drives the vehicle</w:t>
            </w:r>
          </w:p>
        </w:tc>
        <w:tc>
          <w:tcPr>
            <w:tcW w:type="dxa" w:w="1900"/>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jc w:val="right"/>
            </w:pPr>
            <w:r>
              <w:rPr>
                <w:b/>
                <w:bCs/>
                <w:color w:val="1B3664"/>
                <w:sz w:val="16"/>
                <w:szCs w:val="16"/>
                <w:rFonts w:ascii="Helvetica" w:cs="Helvetica" w:eastAsia="Helvetica" w:hAnsi="Helvetica"/>
              </w:rPr>
              <w:t xml:space="preserve">CLARIFY</w:t>
            </w:r>
          </w:p>
        </w:tc>
      </w:tr>
      <w:tr>
        <w:trPr>
          <w:cantSplit/>
        </w:trPr>
        <w:tc>
          <w:tcPr>
            <w:tcW w:type="dxa" w:w="4513"/>
            <w:tcBorders>
              <w:top w:val="none" w:color="FFFFFF" w:sz="0"/>
              <w:left w:val="single" w:color="9A3412" w:sz="18"/>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WHAT WAS SAID</w:t>
            </w:r>
          </w:p>
          <w:p>
            <w:pPr>
              <w:keepNext/>
              <w:keepLines/>
              <w:spacing w:after="60"/>
            </w:pPr>
            <w:r>
              <w:rPr>
                <w:i/>
                <w:iCs/>
                <w:color w:val="1F2937"/>
                <w:sz w:val="20"/>
                <w:szCs w:val="20"/>
                <w:rFonts w:ascii="Helvetica" w:cs="Helvetica" w:eastAsia="Helvetica" w:hAnsi="Helvetica"/>
              </w:rPr>
              <w:t xml:space="preserve">“Me mate borrows it now and then when his is in the garage.”</w:t>
            </w:r>
          </w:p>
          <w:p>
            <w:pPr>
              <w:keepNext/>
              <w:keepLines/>
              <w:spacing w:after="0"/>
            </w:pPr>
            <w:r>
              <w:rPr>
                <w:color w:val="64748B"/>
                <w:sz w:val="16"/>
                <w:szCs w:val="16"/>
                <w:rFonts w:ascii="Helvetica" w:cs="Helvetica" w:eastAsia="Helvetica" w:hAnsi="Helvetica"/>
              </w:rPr>
              <w:t xml:space="preserve">Interview 19:52</w:t>
            </w:r>
          </w:p>
        </w:tc>
        <w:tc>
          <w:tcPr>
            <w:tcW w:type="dxa" w:w="4513"/>
            <w:gridSpan w:val="2"/>
            <w:tcBorders>
              <w:top w:val="none" w:color="FFFFFF" w:sz="0"/>
              <w:left w:val="none" w:color="FFFFFF" w:sz="0"/>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SET AGAINST</w:t>
            </w:r>
          </w:p>
          <w:p>
            <w:pPr>
              <w:keepNext/>
              <w:keepLines/>
              <w:spacing w:after="60"/>
            </w:pPr>
            <w:r>
              <w:rPr>
                <w:color w:val="1F2937"/>
                <w:sz w:val="20"/>
                <w:szCs w:val="20"/>
                <w:rFonts w:ascii="Helvetica" w:cs="Helvetica" w:eastAsia="Helvetica" w:hAnsi="Helvetica"/>
              </w:rPr>
              <w:t xml:space="preserve">Policyholder is the only named driver.</w:t>
            </w:r>
          </w:p>
          <w:p>
            <w:pPr>
              <w:keepNext/>
              <w:keepLines/>
              <w:spacing w:after="0"/>
            </w:pPr>
            <w:r>
              <w:rPr>
                <w:color w:val="64748B"/>
                <w:sz w:val="16"/>
                <w:szCs w:val="16"/>
                <w:rFonts w:ascii="Helvetica" w:cs="Helvetica" w:eastAsia="Helvetica" w:hAnsi="Helvetica"/>
              </w:rPr>
              <w:t xml:space="preserve">Policy schedule</w:t>
            </w:r>
          </w:p>
        </w:tc>
      </w:tr>
      <w:tr>
        <w:trPr>
          <w:cantSplit/>
        </w:trPr>
        <w:tc>
          <w:tcPr>
            <w:tcW w:type="dxa" w:w="9026"/>
            <w:gridSpan w:val="3"/>
            <w:tcBorders>
              <w:top w:val="none" w:color="FFFFFF" w:sz="0"/>
              <w:left w:val="none" w:color="FFFFFF" w:sz="0"/>
              <w:bottom w:val="single" w:color="D9DEE7" w:sz="6"/>
              <w:right w:val="none" w:color="FFFFFF" w:sz="0"/>
            </w:tcBorders>
            <w:tcMar>
              <w:top w:type="dxa" w:w="100"/>
              <w:left w:type="dxa" w:w="160"/>
              <w:bottom w:type="dxa" w:w="100"/>
              <w:right w:type="dxa" w:w="160"/>
            </w:tcMar>
            <w:vAlign w:val="top"/>
          </w:tcPr>
          <w:p>
            <w:pPr>
              <w:keepNext/>
              <w:spacing w:after="50"/>
            </w:pPr>
            <w:r>
              <w:rPr>
                <w:b/>
                <w:bCs/>
                <w:color w:val="1B3664"/>
                <w:sz w:val="18"/>
                <w:szCs w:val="18"/>
                <w:rFonts w:ascii="Helvetica" w:cs="Helvetica" w:eastAsia="Helvetica" w:hAnsi="Helvetica"/>
              </w:rPr>
              <w:t xml:space="preserve">Why it matters  </w:t>
            </w:r>
            <w:r>
              <w:rPr>
                <w:color w:val="374151"/>
                <w:sz w:val="18"/>
                <w:szCs w:val="18"/>
                <w:rFonts w:ascii="Helvetica" w:cs="Helvetica" w:eastAsia="Helvetica" w:hAnsi="Helvetica"/>
              </w:rPr>
              <w:t xml:space="preserve">Use by a driver not named on the policy may be relevant to cover.</w:t>
            </w:r>
          </w:p>
          <w:p>
            <w:pPr>
              <w:keepNext/>
              <w:spacing w:after="50"/>
            </w:pPr>
            <w:r>
              <w:rPr>
                <w:b/>
                <w:bCs/>
                <w:color w:val="1B3664"/>
                <w:sz w:val="18"/>
                <w:szCs w:val="18"/>
                <w:rFonts w:ascii="Helvetica" w:cs="Helvetica" w:eastAsia="Helvetica" w:hAnsi="Helvetica"/>
              </w:rPr>
              <w:t xml:space="preserve">Possible innocent explanation  </w:t>
            </w:r>
            <w:r>
              <w:rPr>
                <w:color w:val="374151"/>
                <w:sz w:val="18"/>
                <w:szCs w:val="18"/>
                <w:rFonts w:ascii="Helvetica" w:cs="Helvetica" w:eastAsia="Helvetica" w:hAnsi="Helvetica"/>
              </w:rPr>
              <w:t xml:space="preserve">The friend may be covered under his own policy, and the use may be occasional and unrelated to this loss.</w:t>
            </w:r>
          </w:p>
          <w:p>
            <w:pPr>
              <w:spacing w:after="0"/>
            </w:pPr>
            <w:r>
              <w:rPr>
                <w:b/>
                <w:bCs/>
                <w:color w:val="1B3664"/>
                <w:sz w:val="18"/>
                <w:szCs w:val="18"/>
                <w:rFonts w:ascii="Helvetica" w:cs="Helvetica" w:eastAsia="Helvetica" w:hAnsi="Helvetica"/>
              </w:rPr>
              <w:t xml:space="preserve">Next step  </w:t>
            </w:r>
            <w:r>
              <w:rPr>
                <w:color w:val="374151"/>
                <w:sz w:val="18"/>
                <w:szCs w:val="18"/>
                <w:rFonts w:ascii="Helvetica" w:cs="Helvetica" w:eastAsia="Helvetica" w:hAnsi="Helvetica"/>
              </w:rPr>
              <w:t xml:space="preserve">Establish how often, whether he had the vehicle in the week of the loss, and whether he holds his own cover.</w:t>
            </w:r>
          </w:p>
        </w:tc>
      </w:tr>
    </w:tbl>
    <w:p>
      <w:pPr>
        <w:spacing w:after="200"/>
      </w:pPr>
    </w:p>
    <w:p>
      <w:pPr>
        <w:keepNext/>
        <w:spacing w:after="100"/>
      </w:pPr>
      <w:r>
        <w:rPr>
          <w:b/>
          <w:bCs/>
          <w:color w:val="8A6100"/>
          <w:sz w:val="21"/>
          <w:szCs w:val="21"/>
          <w:rFonts w:ascii="Helvetica" w:cs="Helvetica" w:eastAsia="Helvetica" w:hAnsi="Helvetica"/>
        </w:rPr>
        <w:t xml:space="preserve">To be evidenced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613"/>
        <w:gridCol w:w="1900"/>
      </w:tblGrid>
      <w:tr>
        <w:trPr>
          <w:cantSplit/>
        </w:trPr>
        <w:tc>
          <w:tcPr>
            <w:tcW w:type="dxa" w:w="7126"/>
            <w:gridSpan w:val="2"/>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pPr>
            <w:r>
              <w:rPr>
                <w:b/>
                <w:bCs/>
                <w:color w:val="8A6100"/>
                <w:sz w:val="21"/>
                <w:szCs w:val="21"/>
                <w:rFonts w:ascii="Helvetica" w:cs="Helvetica" w:eastAsia="Helvetica" w:hAnsi="Helvetica"/>
              </w:rPr>
              <w:t xml:space="preserve">4.  Not yet evidenced</w:t>
            </w:r>
            <w:r>
              <w:rPr>
                <w:color w:val="374151"/>
                <w:sz w:val="20"/>
                <w:szCs w:val="20"/>
                <w:rFonts w:ascii="Helvetica" w:cs="Helvetica" w:eastAsia="Helvetica" w:hAnsi="Helvetica"/>
              </w:rPr>
              <w:t xml:space="preserve">   ·   Tracker alert</w:t>
            </w:r>
          </w:p>
        </w:tc>
        <w:tc>
          <w:tcPr>
            <w:tcW w:type="dxa" w:w="1900"/>
            <w:tcBorders>
              <w:top w:val="none" w:color="FFFFFF" w:sz="0"/>
              <w:left w:val="none" w:color="FFFFFF" w:sz="0"/>
              <w:bottom w:val="none" w:color="FFFFFF" w:sz="0"/>
              <w:right w:val="none" w:color="FFFFFF" w:sz="0"/>
            </w:tcBorders>
            <w:shd w:fill="EEF2F8" w:val="clear"/>
            <w:tcMar>
              <w:top w:type="dxa" w:w="100"/>
              <w:left w:type="dxa" w:w="160"/>
              <w:bottom w:type="dxa" w:w="100"/>
              <w:right w:type="dxa" w:w="160"/>
            </w:tcMar>
            <w:vAlign w:val="top"/>
          </w:tcPr>
          <w:p>
            <w:pPr>
              <w:keepNext/>
              <w:keepLines/>
              <w:spacing w:after="0"/>
              <w:jc w:val="right"/>
            </w:pPr>
            <w:r>
              <w:rPr>
                <w:b/>
                <w:bCs/>
                <w:color w:val="1B3664"/>
                <w:sz w:val="16"/>
                <w:szCs w:val="16"/>
                <w:rFonts w:ascii="Helvetica" w:cs="Helvetica" w:eastAsia="Helvetica" w:hAnsi="Helvetica"/>
              </w:rPr>
              <w:t xml:space="preserve">OBTAIN</w:t>
            </w:r>
          </w:p>
        </w:tc>
      </w:tr>
      <w:tr>
        <w:trPr>
          <w:cantSplit/>
        </w:trPr>
        <w:tc>
          <w:tcPr>
            <w:tcW w:type="dxa" w:w="4513"/>
            <w:tcBorders>
              <w:top w:val="none" w:color="FFFFFF" w:sz="0"/>
              <w:left w:val="single" w:color="8A6100" w:sz="18"/>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WHAT WAS SAID</w:t>
            </w:r>
          </w:p>
          <w:p>
            <w:pPr>
              <w:keepNext/>
              <w:keepLines/>
              <w:spacing w:after="60"/>
            </w:pPr>
            <w:r>
              <w:rPr>
                <w:i/>
                <w:iCs/>
                <w:color w:val="1F2937"/>
                <w:sz w:val="20"/>
                <w:szCs w:val="20"/>
                <w:rFonts w:ascii="Helvetica" w:cs="Helvetica" w:eastAsia="Helvetica" w:hAnsi="Helvetica"/>
              </w:rPr>
              <w:t xml:space="preserve">“The tracker company said it went offline at the services.”</w:t>
            </w:r>
          </w:p>
          <w:p>
            <w:pPr>
              <w:keepNext/>
              <w:keepLines/>
              <w:spacing w:after="0"/>
            </w:pPr>
            <w:r>
              <w:rPr>
                <w:color w:val="64748B"/>
                <w:sz w:val="16"/>
                <w:szCs w:val="16"/>
                <w:rFonts w:ascii="Helvetica" w:cs="Helvetica" w:eastAsia="Helvetica" w:hAnsi="Helvetica"/>
              </w:rPr>
              <w:t xml:space="preserve">Interview 31:20</w:t>
            </w:r>
          </w:p>
        </w:tc>
        <w:tc>
          <w:tcPr>
            <w:tcW w:type="dxa" w:w="4513"/>
            <w:gridSpan w:val="2"/>
            <w:tcBorders>
              <w:top w:val="none" w:color="FFFFFF" w:sz="0"/>
              <w:left w:val="none" w:color="FFFFFF" w:sz="0"/>
              <w:bottom w:val="none" w:color="FFFFFF" w:sz="0"/>
              <w:right w:val="none" w:color="FFFFFF" w:sz="0"/>
            </w:tcBorders>
            <w:shd w:fill="F7F8FA" w:val="clear"/>
            <w:tcMar>
              <w:top w:type="dxa" w:w="100"/>
              <w:left w:type="dxa" w:w="160"/>
              <w:bottom w:type="dxa" w:w="100"/>
              <w:right w:type="dxa" w:w="160"/>
            </w:tcMar>
            <w:vAlign w:val="top"/>
          </w:tcPr>
          <w:p>
            <w:pPr>
              <w:keepNext/>
              <w:keepLines/>
              <w:spacing w:after="60"/>
            </w:pPr>
            <w:r>
              <w:rPr>
                <w:b/>
                <w:bCs/>
                <w:color w:val="64748B"/>
                <w:sz w:val="15"/>
                <w:szCs w:val="15"/>
                <w:rFonts w:ascii="Helvetica" w:cs="Helvetica" w:eastAsia="Helvetica" w:hAnsi="Helvetica"/>
              </w:rPr>
              <w:t xml:space="preserve">ON FILE</w:t>
            </w:r>
          </w:p>
          <w:p>
            <w:pPr>
              <w:keepNext/>
              <w:keepLines/>
              <w:spacing w:after="60"/>
            </w:pPr>
            <w:r>
              <w:rPr>
                <w:color w:val="1F2937"/>
                <w:sz w:val="20"/>
                <w:szCs w:val="20"/>
                <w:rFonts w:ascii="Helvetica" w:cs="Helvetica" w:eastAsia="Helvetica" w:hAnsi="Helvetica"/>
              </w:rPr>
              <w:t xml:space="preserve">No tracker report on file.</w:t>
            </w:r>
          </w:p>
          <w:p>
            <w:pPr>
              <w:keepNext/>
              <w:keepLines/>
              <w:spacing w:after="0"/>
            </w:pPr>
            <w:r>
              <w:rPr>
                <w:color w:val="64748B"/>
                <w:sz w:val="16"/>
                <w:szCs w:val="16"/>
                <w:rFonts w:ascii="Helvetica" w:cs="Helvetica" w:eastAsia="Helvetica" w:hAnsi="Helvetica"/>
              </w:rPr>
              <w:t xml:space="preserve">Case documents</w:t>
            </w:r>
          </w:p>
        </w:tc>
      </w:tr>
      <w:tr>
        <w:trPr>
          <w:cantSplit/>
        </w:trPr>
        <w:tc>
          <w:tcPr>
            <w:tcW w:type="dxa" w:w="9026"/>
            <w:gridSpan w:val="3"/>
            <w:tcBorders>
              <w:top w:val="none" w:color="FFFFFF" w:sz="0"/>
              <w:left w:val="none" w:color="FFFFFF" w:sz="0"/>
              <w:bottom w:val="single" w:color="D9DEE7" w:sz="6"/>
              <w:right w:val="none" w:color="FFFFFF" w:sz="0"/>
            </w:tcBorders>
            <w:tcMar>
              <w:top w:type="dxa" w:w="100"/>
              <w:left w:type="dxa" w:w="160"/>
              <w:bottom w:type="dxa" w:w="100"/>
              <w:right w:type="dxa" w:w="160"/>
            </w:tcMar>
            <w:vAlign w:val="top"/>
          </w:tcPr>
          <w:p>
            <w:pPr>
              <w:keepNext/>
              <w:spacing w:after="50"/>
            </w:pPr>
            <w:r>
              <w:rPr>
                <w:b/>
                <w:bCs/>
                <w:color w:val="1B3664"/>
                <w:sz w:val="18"/>
                <w:szCs w:val="18"/>
                <w:rFonts w:ascii="Helvetica" w:cs="Helvetica" w:eastAsia="Helvetica" w:hAnsi="Helvetica"/>
              </w:rPr>
              <w:t xml:space="preserve">Why it matters  </w:t>
            </w:r>
            <w:r>
              <w:rPr>
                <w:color w:val="374151"/>
                <w:sz w:val="18"/>
                <w:szCs w:val="18"/>
                <w:rFonts w:ascii="Helvetica" w:cs="Helvetica" w:eastAsia="Helvetica" w:hAnsi="Helvetica"/>
              </w:rPr>
              <w:t xml:space="preserve">The tracker record would independently confirm the time and place of loss.</w:t>
            </w:r>
          </w:p>
          <w:p>
            <w:pPr>
              <w:spacing w:after="0"/>
            </w:pPr>
            <w:r>
              <w:rPr>
                <w:b/>
                <w:bCs/>
                <w:color w:val="1B3664"/>
                <w:sz w:val="18"/>
                <w:szCs w:val="18"/>
                <w:rFonts w:ascii="Helvetica" w:cs="Helvetica" w:eastAsia="Helvetica" w:hAnsi="Helvetica"/>
              </w:rPr>
              <w:t xml:space="preserve">Next step  </w:t>
            </w:r>
            <w:r>
              <w:rPr>
                <w:color w:val="374151"/>
                <w:sz w:val="18"/>
                <w:szCs w:val="18"/>
                <w:rFonts w:ascii="Helvetica" w:cs="Helvetica" w:eastAsia="Helvetica" w:hAnsi="Helvetica"/>
              </w:rPr>
              <w:t xml:space="preserve">Request the tracker provider's event log for the 48 hours either side of the loss.</w:t>
            </w:r>
          </w:p>
        </w:tc>
      </w:tr>
    </w:tbl>
    <w:p>
      <w:pPr>
        <w:spacing w:after="200"/>
      </w:pPr>
    </w:p>
    <w:p>
      <w:pPr>
        <w:spacing w:before="60" w:after="0"/>
      </w:pPr>
      <w:r>
        <w:rPr>
          <w:i/>
          <w:iCs/>
          <w:color w:val="64748B"/>
          <w:sz w:val="17"/>
          <w:szCs w:val="17"/>
          <w:rFonts w:ascii="Helvetica" w:cs="Helvetica" w:eastAsia="Helvetica" w:hAnsi="Helvetica"/>
        </w:rPr>
        <w:t xml:space="preserve">Reviewed by the investigating officer: 6 points raised by the analysis. 4 shown above; 2 resolved on review and not included (details on the case file). Points not yet reviewed are never included in this report.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2026-10-01T11:26:22.339Z</dcterms:created>
  <dcterms:modified xsi:type="dcterms:W3CDTF">2026-10-01T11:26:22.339Z</dcterms:modified>
</cp:coreProperties>
</file>

<file path=docProps/custom.xml><?xml version="1.0" encoding="utf-8"?>
<Properties xmlns="http://schemas.openxmlformats.org/officeDocument/2006/custom-properties" xmlns:vt="http://schemas.openxmlformats.org/officeDocument/2006/docPropsVTypes"/>
</file>