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C5E"/>
          <w:sz w:val="52"/>
          <w:szCs w:val="52"/>
        </w:rPr>
        <w:t xml:space="preserve">AI Early Warning System</w:t>
      </w:r>
    </w:p>
    <w:p>
      <w:pPr>
        <w:spacing w:after="120"/>
        <w:jc w:val="center"/>
      </w:pPr>
      <w:r>
        <w:rPr>
          <w:rFonts w:ascii="Arial" w:cs="Arial" w:eastAsia="Arial" w:hAnsi="Arial"/>
          <w:color w:val="2E6DA4"/>
          <w:sz w:val="32"/>
          <w:szCs w:val="32"/>
        </w:rPr>
        <w:t xml:space="preserve">Member Churn Prevention for Boutique Fitness Studios</w:t>
      </w:r>
    </w:p>
    <w:p>
      <w:pPr>
        <w:spacing w:after="600"/>
        <w:jc w:val="center"/>
      </w:pPr>
      <w:r>
        <w:rPr>
          <w:rFonts w:ascii="Arial" w:cs="Arial" w:eastAsia="Arial" w:hAnsi="Arial"/>
          <w:i/>
          <w:iCs/>
          <w:color w:val="666666"/>
          <w:sz w:val="24"/>
          <w:szCs w:val="24"/>
        </w:rPr>
        <w:t xml:space="preserve">AI Consulting Capstone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Student</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Dina Bosma</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Bootcamp</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Consultancy Bootcamp</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Fitness / Health Tech - European Boutique Studios</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MVP status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Fully implemented and live (Project 5 foundation)</w:t>
            </w:r>
          </w:p>
        </w:tc>
      </w:tr>
    </w:tbl>
    <w:p>
      <w:pPr>
        <w:spacing w:before="600" w:after="200"/>
        <w:jc w:val="center"/>
      </w:pPr>
      <w:r>
        <w:rPr>
          <w:rFonts w:ascii="Arial" w:cs="Arial" w:eastAsia="Arial" w:hAnsi="Arial"/>
          <w:b/>
          <w:bCs/>
          <w:color w:val="1A3C5E"/>
          <w:sz w:val="26"/>
          <w:szCs w:val="26"/>
        </w:rPr>
        <w:t xml:space="preserve">Key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tcPr>
            <w:tcW w:type="dxa" w:w="225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sz w:val="20"/>
                <w:szCs w:val="20"/>
              </w:rPr>
              <w:t xml:space="preserve">1,059 members analysed</w:t>
            </w:r>
          </w:p>
        </w:tc>
        <w:tc>
          <w:tcPr>
            <w:tcW w:type="dxa" w:w="2256"/>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sz w:val="20"/>
                <w:szCs w:val="20"/>
              </w:rPr>
              <w:t xml:space="preserve">230 high-risk (22%)</w:t>
            </w:r>
          </w:p>
        </w:tc>
        <w:tc>
          <w:tcPr>
            <w:tcW w:type="dxa" w:w="2257"/>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sz w:val="20"/>
                <w:szCs w:val="20"/>
              </w:rPr>
              <w:t xml:space="preserve">345,000 EUR at risk</w:t>
            </w:r>
          </w:p>
        </w:tc>
        <w:tc>
          <w:tcPr>
            <w:tcW w:type="dxa" w:w="2257"/>
            <w:tcBorders>
              <w:top w:val="single" w:color="CCCCCC" w:sz="1"/>
              <w:left w:val="single" w:color="CCCCCC" w:sz="1"/>
              <w:bottom w:val="single" w:color="CCCCCC" w:sz="1"/>
              <w:right w:val="single" w:color="CCCCCC" w:sz="1"/>
            </w:tcBorders>
            <w:shd w:fill="1D7A4A" w:val="clear"/>
            <w:tcMar>
              <w:top w:type="dxa" w:w="80"/>
              <w:left w:type="dxa" w:w="120"/>
              <w:bottom w:type="dxa" w:w="80"/>
              <w:right w:type="dxa" w:w="120"/>
            </w:tcMar>
          </w:tcPr>
          <w:p>
            <w:r>
              <w:rPr>
                <w:rFonts w:ascii="Arial" w:cs="Arial" w:eastAsia="Arial" w:hAnsi="Arial"/>
                <w:b/>
                <w:bCs/>
                <w:sz w:val="20"/>
                <w:szCs w:val="20"/>
              </w:rPr>
              <w:t xml:space="preserve">LangSmith score 0.911</w:t>
            </w:r>
          </w:p>
        </w:tc>
      </w:tr>
    </w:tbl>
    <w:p>
      <w:r>
        <w:br w:type="page"/>
      </w:r>
    </w:p>
    <w:p>
      <w:pPr>
        <w:pStyle w:val="Heading1"/>
        <w:spacing w:before="360" w:after="120"/>
      </w:pPr>
      <w:r>
        <w:rPr>
          <w:rFonts w:ascii="Arial" w:cs="Arial" w:eastAsia="Arial" w:hAnsi="Arial"/>
          <w:b/>
          <w:bCs/>
          <w:color w:val="1A3C5E"/>
          <w:sz w:val="32"/>
          <w:szCs w:val="32"/>
        </w:rPr>
        <w:t xml:space="preserve">Contents</w:t>
      </w:r>
    </w:p>
    <w:p>
      <w:pPr>
        <w:spacing w:after="120"/>
      </w:pPr>
      <w:r>
        <w:rPr>
          <w:rFonts w:ascii="Arial" w:cs="Arial" w:eastAsia="Arial" w:hAnsi="Arial"/>
          <w:sz w:val="22"/>
          <w:szCs w:val="22"/>
        </w:rPr>
        <w:t xml:space="preserve">1.  Use Case Definition</w:t>
      </w:r>
    </w:p>
    <w:p>
      <w:pPr>
        <w:spacing w:after="120"/>
      </w:pPr>
      <w:r>
        <w:rPr>
          <w:rFonts w:ascii="Arial" w:cs="Arial" w:eastAsia="Arial" w:hAnsi="Arial"/>
          <w:sz w:val="22"/>
          <w:szCs w:val="22"/>
        </w:rPr>
        <w:t xml:space="preserve">2.  No-Code / Low-Code Proof of Concept</w:t>
      </w:r>
    </w:p>
    <w:p>
      <w:pPr>
        <w:spacing w:after="120"/>
      </w:pPr>
      <w:r>
        <w:rPr>
          <w:rFonts w:ascii="Arial" w:cs="Arial" w:eastAsia="Arial" w:hAnsi="Arial"/>
          <w:sz w:val="22"/>
          <w:szCs w:val="22"/>
        </w:rPr>
        <w:t xml:space="preserve">3.  ROI and Risk Assessment</w:t>
      </w:r>
    </w:p>
    <w:p>
      <w:pPr>
        <w:spacing w:after="120"/>
      </w:pPr>
      <w:r>
        <w:rPr>
          <w:rFonts w:ascii="Arial" w:cs="Arial" w:eastAsia="Arial" w:hAnsi="Arial"/>
          <w:sz w:val="22"/>
          <w:szCs w:val="22"/>
        </w:rPr>
        <w:t xml:space="preserve">4.  EU AI Act Compliance Documentation</w:t>
      </w:r>
    </w:p>
    <w:p>
      <w:pPr>
        <w:spacing w:after="120"/>
      </w:pPr>
      <w:r>
        <w:rPr>
          <w:rFonts w:ascii="Arial" w:cs="Arial" w:eastAsia="Arial" w:hAnsi="Arial"/>
          <w:sz w:val="22"/>
          <w:szCs w:val="22"/>
        </w:rPr>
        <w:t xml:space="preserve">5.  GDPR Documentation</w:t>
      </w:r>
    </w:p>
    <w:p>
      <w:pPr>
        <w:spacing w:after="120"/>
      </w:pPr>
      <w:r>
        <w:rPr>
          <w:rFonts w:ascii="Arial" w:cs="Arial" w:eastAsia="Arial" w:hAnsi="Arial"/>
          <w:sz w:val="22"/>
          <w:szCs w:val="22"/>
        </w:rPr>
        <w:t xml:space="preserve">6.  Strategic Deployment and Commercialisation Plan</w:t>
      </w:r>
    </w:p>
    <w:p>
      <w:pPr>
        <w:spacing w:after="120"/>
      </w:pPr>
      <w:r>
        <w:rPr>
          <w:rFonts w:ascii="Arial" w:cs="Arial" w:eastAsia="Arial" w:hAnsi="Arial"/>
          <w:sz w:val="22"/>
          <w:szCs w:val="22"/>
        </w:rPr>
        <w:t xml:space="preserve">7.  Green Tech Assessment</w:t>
      </w:r>
    </w:p>
    <w:p>
      <w:pPr>
        <w:spacing w:after="120"/>
      </w:pPr>
      <w:r>
        <w:rPr>
          <w:rFonts w:ascii="Arial" w:cs="Arial" w:eastAsia="Arial" w:hAnsi="Arial"/>
          <w:sz w:val="22"/>
          <w:szCs w:val="22"/>
        </w:rPr>
        <w:t xml:space="preserve">8.  MVP Documentation (Stretch)</w:t>
      </w:r>
    </w:p>
    <w:p>
      <w:pPr>
        <w:spacing w:after="120"/>
      </w:pPr>
      <w:r>
        <w:rPr>
          <w:rFonts w:ascii="Arial" w:cs="Arial" w:eastAsia="Arial" w:hAnsi="Arial"/>
          <w:sz w:val="22"/>
          <w:szCs w:val="22"/>
        </w:rPr>
        <w:t xml:space="preserve">9.  Submission Checklist</w:t>
      </w:r>
    </w:p>
    <w:p>
      <w:r>
        <w:br w:type="page"/>
      </w:r>
    </w:p>
    <w:p>
      <w:pPr>
        <w:pStyle w:val="Heading1"/>
        <w:spacing w:before="360" w:after="120"/>
      </w:pPr>
      <w:r>
        <w:rPr>
          <w:rFonts w:ascii="Arial" w:cs="Arial" w:eastAsia="Arial" w:hAnsi="Arial"/>
          <w:b/>
          <w:bCs/>
          <w:color w:val="1A3C5E"/>
          <w:sz w:val="32"/>
          <w:szCs w:val="32"/>
        </w:rPr>
        <w:t xml:space="preserve">1. Use Case Definition</w:t>
      </w:r>
    </w:p>
    <w:p>
      <w:pPr>
        <w:spacing w:after="120"/>
      </w:pPr>
      <w:r>
        <w:rPr>
          <w:rFonts w:ascii="Arial" w:cs="Arial" w:eastAsia="Arial" w:hAnsi="Arial"/>
          <w:sz w:val="22"/>
          <w:szCs w:val="22"/>
        </w:rPr>
        <w:t xml:space="preserve">File: use_case_definition.md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1.1 Business Problem Statement</w:t>
      </w:r>
    </w:p>
    <w:p>
      <w:pPr>
        <w:spacing w:after="120"/>
      </w:pPr>
      <w:r>
        <w:rPr>
          <w:rFonts w:ascii="Arial" w:cs="Arial" w:eastAsia="Arial" w:hAnsi="Arial"/>
          <w:sz w:val="22"/>
          <w:szCs w:val="22"/>
        </w:rPr>
        <w:t xml:space="preserve">European boutique fitness studios lose approximately 60% of members within 12 months (IHRSA benchmark). For a studio with 100 direct members at 1,500 EUR lifetime value per member, that represents 90,000 to 120,000 EUR in preventable lost revenue per year.</w:t>
      </w:r>
    </w:p>
    <w:p>
      <w:pPr>
        <w:spacing w:after="120"/>
      </w:pPr>
      <w:r>
        <w:rPr>
          <w:rFonts w:ascii="Arial" w:cs="Arial" w:eastAsia="Arial" w:hAnsi="Arial"/>
          <w:sz w:val="22"/>
          <w:szCs w:val="22"/>
        </w:rPr>
        <w:t xml:space="preserve">Coaches have personal relationships with every member and can intervene effectively when they know who is drifting. The problem is scale: it is not possible to track 100 or more members manually while also coaching full days. Members show consistent behavioural decline 4 to 6 weeks before cancelling. Session frequency drops. Gaps between visits grow. Workout duration becomes erratic. This window exists but no one is watching the data closely enough to use it.</w:t>
      </w:r>
    </w:p>
    <w:p>
      <w:pPr>
        <w:spacing w:after="120"/>
      </w:pPr>
      <w:r>
        <w:rPr>
          <w:rFonts w:ascii="Arial" w:cs="Arial" w:eastAsia="Arial" w:hAnsi="Arial"/>
          <w:sz w:val="22"/>
          <w:szCs w:val="22"/>
        </w:rPr>
        <w:t xml:space="preserve">Existing gym management software (Mindbody, Glofox) shows basic visit counts but does not flag behavioural patterns, generate explanations, or alert coaches before the member has already mentally decided to leave. The gap is not data. The gap is intelligence on top of the data.</w:t>
      </w:r>
    </w:p>
    <w:p>
      <w:pPr>
        <w:pStyle w:val="Heading2"/>
        <w:spacing w:before="280" w:after="100"/>
      </w:pPr>
      <w:r>
        <w:rPr>
          <w:rFonts w:ascii="Arial" w:cs="Arial" w:eastAsia="Arial" w:hAnsi="Arial"/>
          <w:b/>
          <w:bCs/>
          <w:color w:val="2E6DA4"/>
          <w:sz w:val="26"/>
          <w:szCs w:val="26"/>
        </w:rPr>
        <w:t xml:space="preserve">1.2 Company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Boutique fitness: strength studios, functional fitness, reformer pilates, martial arts with community culture</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Size</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SME: 50 to 200 direct members per studio, 1 to 3 coaches, owner-operated</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Current state</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data exists in booking systems and can be exported as CSV. No AI or analytics tooling in place. Coaches rely on personal memory and instinct to spot at-risk members.</w:t>
            </w:r>
          </w:p>
        </w:tc>
      </w:tr>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Target market</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Studios with 80% or more direct memberships. No heavy Urban Sports Club or Gympass dependency (those members have different retention economics and dilute model signal).</w:t>
            </w:r>
          </w:p>
        </w:tc>
      </w:tr>
    </w:tbl>
    <w:p>
      <w:pPr>
        <w:pStyle w:val="Heading2"/>
        <w:spacing w:before="280" w:after="100"/>
      </w:pPr>
      <w:r>
        <w:rPr>
          <w:rFonts w:ascii="Arial" w:cs="Arial" w:eastAsia="Arial" w:hAnsi="Arial"/>
          <w:b/>
          <w:bCs/>
          <w:color w:val="2E6DA4"/>
          <w:sz w:val="26"/>
          <w:szCs w:val="26"/>
        </w:rPr>
        <w:t xml:space="preserve">1.3 Proposed AI Solution</w:t>
      </w:r>
    </w:p>
    <w:p>
      <w:pPr>
        <w:spacing w:after="120"/>
      </w:pPr>
      <w:r>
        <w:rPr>
          <w:rFonts w:ascii="Arial" w:cs="Arial" w:eastAsia="Arial" w:hAnsi="Arial"/>
          <w:sz w:val="22"/>
          <w:szCs w:val="22"/>
        </w:rPr>
        <w:t xml:space="preserve">An AI early warning system that ingests member visit history (and optionally wearable activity data from Fitbit), calculates behavioural risk signals per member, classifies each member as low, medium, or high dropout risk, and delivers a prioritised coach action list via Slack alert and monthly retention briefing.</w:t>
      </w:r>
    </w:p>
    <w:p>
      <w:pPr>
        <w:spacing w:after="60"/>
      </w:pPr>
      <w:r>
        <w:rPr>
          <w:rFonts w:ascii="Arial" w:cs="Arial" w:eastAsia="Arial" w:hAnsi="Arial"/>
          <w:b/>
          <w:bCs/>
          <w:sz w:val="22"/>
          <w:szCs w:val="22"/>
        </w:rPr>
        <w:t xml:space="preserve">AI capabilities used:</w:t>
      </w:r>
    </w:p>
    <w:p>
      <w:pPr>
        <w:pStyle w:val="ListParagraph"/>
        <w:numPr>
          <w:ilvl w:val="0"/>
          <w:numId w:val="2"/>
        </w:numPr>
        <w:spacing w:after="80"/>
      </w:pPr>
      <w:r>
        <w:rPr>
          <w:rFonts w:ascii="Arial" w:cs="Arial" w:eastAsia="Arial" w:hAnsi="Arial"/>
          <w:sz w:val="22"/>
          <w:szCs w:val="22"/>
        </w:rPr>
        <w:t xml:space="preserve">Classification (logistic regression on tabular data): churn risk score per member, validated on 167,783 real workout sessions at 82% accuracy</w:t>
      </w:r>
    </w:p>
    <w:p>
      <w:pPr>
        <w:pStyle w:val="ListParagraph"/>
        <w:numPr>
          <w:ilvl w:val="0"/>
          <w:numId w:val="2"/>
        </w:numPr>
        <w:spacing w:after="80"/>
      </w:pPr>
      <w:r>
        <w:rPr>
          <w:rFonts w:ascii="Arial" w:cs="Arial" w:eastAsia="Arial" w:hAnsi="Arial"/>
          <w:sz w:val="22"/>
          <w:szCs w:val="22"/>
        </w:rPr>
        <w:t xml:space="preserve">Natural language generation (GPT-4o-mini via LangChain): 12 business insights in plain English from statistical summaries, scored by LangSmith at 0.911/1.0</w:t>
      </w:r>
    </w:p>
    <w:p>
      <w:pPr>
        <w:pStyle w:val="ListParagraph"/>
        <w:numPr>
          <w:ilvl w:val="0"/>
          <w:numId w:val="2"/>
        </w:numPr>
        <w:spacing w:after="80"/>
      </w:pPr>
      <w:r>
        <w:rPr>
          <w:rFonts w:ascii="Arial" w:cs="Arial" w:eastAsia="Arial" w:hAnsi="Arial"/>
          <w:sz w:val="22"/>
          <w:szCs w:val="22"/>
        </w:rPr>
        <w:t xml:space="preserve">Workflow automation (n8n): daily Slack alert to coaching team, no login required</w:t>
      </w:r>
    </w:p>
    <w:p>
      <w:pPr>
        <w:pStyle w:val="ListParagraph"/>
        <w:numPr>
          <w:ilvl w:val="0"/>
          <w:numId w:val="2"/>
        </w:numPr>
        <w:spacing w:after="80"/>
      </w:pPr>
      <w:r>
        <w:rPr>
          <w:rFonts w:ascii="Arial" w:cs="Arial" w:eastAsia="Arial" w:hAnsi="Arial"/>
          <w:sz w:val="22"/>
          <w:szCs w:val="22"/>
        </w:rPr>
        <w:t xml:space="preserve">AI quality monitoring (LangSmith): every output logged, scored on relevance, actionability, and clarity</w:t>
      </w:r>
    </w:p>
    <w:p>
      <w:pPr>
        <w:pStyle w:val="Heading2"/>
        <w:spacing w:before="280" w:after="100"/>
      </w:pPr>
      <w:r>
        <w:rPr>
          <w:rFonts w:ascii="Arial" w:cs="Arial" w:eastAsia="Arial" w:hAnsi="Arial"/>
          <w:b/>
          <w:bCs/>
          <w:color w:val="2E6DA4"/>
          <w:sz w:val="26"/>
          <w:szCs w:val="26"/>
        </w:rPr>
        <w:t xml:space="preserve">1.4 Key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677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Interest and need</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Studio owner / CEO</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 that the system is transparent, auditable, and delivers measurable ROI. Needs to understand what data is used and why.</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Head coach</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prioritised daily action list without logging into new tools. Needs to understand why a member was flagged, not just that they were.</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(data subjects)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know their data is being used for AI-driven analysis. Right to opt in or out. Right to access and erasure.</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Regional managers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Aggregated risk view across multiple studio locations. Ability to audit every AI recommendation.</w:t>
            </w:r>
          </w:p>
        </w:tc>
      </w:tr>
    </w:tbl>
    <w:p>
      <w:pPr>
        <w:pStyle w:val="Heading2"/>
        <w:spacing w:before="280" w:after="100"/>
      </w:pPr>
      <w:r>
        <w:rPr>
          <w:rFonts w:ascii="Arial" w:cs="Arial" w:eastAsia="Arial" w:hAnsi="Arial"/>
          <w:b/>
          <w:bCs/>
          <w:color w:val="2E6DA4"/>
          <w:sz w:val="26"/>
          <w:szCs w:val="26"/>
        </w:rPr>
        <w:t xml:space="preserve">1.5 Success Criteria</w:t>
      </w:r>
    </w:p>
    <w:p>
      <w:pPr>
        <w:pStyle w:val="ListParagraph"/>
        <w:numPr>
          <w:ilvl w:val="0"/>
          <w:numId w:val="2"/>
        </w:numPr>
        <w:spacing w:after="80"/>
      </w:pPr>
      <w:r>
        <w:rPr>
          <w:rFonts w:ascii="Arial" w:cs="Arial" w:eastAsia="Arial" w:hAnsi="Arial"/>
          <w:sz w:val="22"/>
          <w:szCs w:val="22"/>
        </w:rPr>
        <w:t xml:space="preserve">Churn rate reduces from 60% to 45% or below within 12 months of deployment, measured by comparing monthly cancellation rate before and after system activation.</w:t>
      </w:r>
    </w:p>
    <w:p>
      <w:pPr>
        <w:pStyle w:val="ListParagraph"/>
        <w:numPr>
          <w:ilvl w:val="0"/>
          <w:numId w:val="2"/>
        </w:numPr>
        <w:spacing w:after="80"/>
      </w:pPr>
      <w:r>
        <w:rPr>
          <w:rFonts w:ascii="Arial" w:cs="Arial" w:eastAsia="Arial" w:hAnsi="Arial"/>
          <w:sz w:val="22"/>
          <w:szCs w:val="22"/>
        </w:rPr>
        <w:t xml:space="preserve">LangSmith AI output quality score maintains 0.85 or above across all evaluation runs, measured automatically after each monthly briefing generation.</w:t>
      </w:r>
    </w:p>
    <w:p>
      <w:pPr>
        <w:pStyle w:val="Heading2"/>
        <w:spacing w:before="280" w:after="100"/>
      </w:pPr>
      <w:r>
        <w:rPr>
          <w:rFonts w:ascii="Arial" w:cs="Arial" w:eastAsia="Arial" w:hAnsi="Arial"/>
          <w:b/>
          <w:bCs/>
          <w:color w:val="2E6DA4"/>
          <w:sz w:val="26"/>
          <w:szCs w:val="26"/>
        </w:rPr>
        <w:t xml:space="preserve">1.6 Out-of-Scope Boundaries</w:t>
      </w:r>
    </w:p>
    <w:p>
      <w:pPr>
        <w:pStyle w:val="ListParagraph"/>
        <w:numPr>
          <w:ilvl w:val="0"/>
          <w:numId w:val="2"/>
        </w:numPr>
        <w:spacing w:after="80"/>
      </w:pPr>
      <w:r>
        <w:rPr>
          <w:rFonts w:ascii="Arial" w:cs="Arial" w:eastAsia="Arial" w:hAnsi="Arial"/>
          <w:sz w:val="22"/>
          <w:szCs w:val="22"/>
        </w:rPr>
        <w:t xml:space="preserve">The system does not make autonomous decisions. All outputs are recommendations for human review.</w:t>
      </w:r>
    </w:p>
    <w:p>
      <w:pPr>
        <w:pStyle w:val="ListParagraph"/>
        <w:numPr>
          <w:ilvl w:val="0"/>
          <w:numId w:val="2"/>
        </w:numPr>
        <w:spacing w:after="80"/>
      </w:pPr>
      <w:r>
        <w:rPr>
          <w:rFonts w:ascii="Arial" w:cs="Arial" w:eastAsia="Arial" w:hAnsi="Arial"/>
          <w:sz w:val="22"/>
          <w:szCs w:val="22"/>
        </w:rPr>
        <w:t xml:space="preserve">The system does not contact members directly. Every alert goes to a coach who decides whether and how to act.</w:t>
      </w:r>
    </w:p>
    <w:p>
      <w:pPr>
        <w:pStyle w:val="ListParagraph"/>
        <w:numPr>
          <w:ilvl w:val="0"/>
          <w:numId w:val="2"/>
        </w:numPr>
        <w:spacing w:after="80"/>
      </w:pPr>
      <w:r>
        <w:rPr>
          <w:rFonts w:ascii="Arial" w:cs="Arial" w:eastAsia="Arial" w:hAnsi="Arial"/>
          <w:sz w:val="22"/>
          <w:szCs w:val="22"/>
        </w:rPr>
        <w:t xml:space="preserve">The system does not integrate with booking or payment systems in the current phase.</w:t>
      </w:r>
    </w:p>
    <w:p>
      <w:pPr>
        <w:pStyle w:val="ListParagraph"/>
        <w:numPr>
          <w:ilvl w:val="0"/>
          <w:numId w:val="2"/>
        </w:numPr>
        <w:spacing w:after="80"/>
      </w:pPr>
      <w:r>
        <w:rPr>
          <w:rFonts w:ascii="Arial" w:cs="Arial" w:eastAsia="Arial" w:hAnsi="Arial"/>
          <w:sz w:val="22"/>
          <w:szCs w:val="22"/>
        </w:rPr>
        <w:t xml:space="preserve">The system does not process wearable data for members who have not given explicit consent.</w:t>
      </w:r>
    </w:p>
    <w:p>
      <w:pPr>
        <w:pStyle w:val="ListParagraph"/>
        <w:numPr>
          <w:ilvl w:val="0"/>
          <w:numId w:val="2"/>
        </w:numPr>
        <w:spacing w:after="80"/>
      </w:pPr>
      <w:r>
        <w:rPr>
          <w:rFonts w:ascii="Arial" w:cs="Arial" w:eastAsia="Arial" w:hAnsi="Arial"/>
          <w:sz w:val="22"/>
          <w:szCs w:val="22"/>
        </w:rPr>
        <w:t xml:space="preserve">The system does not apply to studios where more than 30% of members use Urban Sports Club or Gympass passes.</w:t>
      </w:r>
    </w:p>
    <w:p>
      <w:r>
        <w:br w:type="page"/>
      </w:r>
    </w:p>
    <w:p>
      <w:pPr>
        <w:pStyle w:val="Heading1"/>
        <w:spacing w:before="360" w:after="120"/>
      </w:pPr>
      <w:r>
        <w:rPr>
          <w:rFonts w:ascii="Arial" w:cs="Arial" w:eastAsia="Arial" w:hAnsi="Arial"/>
          <w:b/>
          <w:bCs/>
          <w:color w:val="1A3C5E"/>
          <w:sz w:val="32"/>
          <w:szCs w:val="32"/>
        </w:rPr>
        <w:t xml:space="preserve">2. No-Code / Low-Code Proof of Concept</w:t>
      </w:r>
    </w:p>
    <w:p>
      <w:pPr>
        <w:spacing w:after="120"/>
      </w:pPr>
      <w:r>
        <w:rPr>
          <w:rFonts w:ascii="Arial" w:cs="Arial" w:eastAsia="Arial" w:hAnsi="Arial"/>
          <w:sz w:val="22"/>
          <w:szCs w:val="22"/>
        </w:rPr>
        <w:t xml:space="preserve">File: poc/poc_documentation.md | Workflow: poc/poc_workflow.json</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2.1 Tools Used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3388"/>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388"/>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Why chosen</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Cloud</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automation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No-code, free tier sufficient at pilot scale, workflow exportable as JSON</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Slack</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 notification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friction: coaches already use it, no new tool required</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GPT-4o-mini</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Insight generation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Cost-effective, consistent at temperature=0, small model reduces energy per call</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LangChain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orchestration</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Structured prompt management, easy to switch LLM providers</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quality monitoring</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endpoint available, free tier at pilot, logs every output with scores</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Plotly / Dash</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Interactive dashboard</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runs locally, no hosting required at pilot stage</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Tableau Public</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Published dashboard</w:t>
            </w:r>
          </w:p>
        </w:tc>
        <w:tc>
          <w:tcPr>
            <w:tcW w:type="dxa" w:w="33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to publish, shareable link, no setup required for viewers</w:t>
            </w:r>
          </w:p>
        </w:tc>
      </w:tr>
    </w:tbl>
    <w:p>
      <w:pPr>
        <w:pStyle w:val="Heading2"/>
        <w:spacing w:before="280" w:after="100"/>
      </w:pPr>
      <w:r>
        <w:rPr>
          <w:rFonts w:ascii="Arial" w:cs="Arial" w:eastAsia="Arial" w:hAnsi="Arial"/>
          <w:b/>
          <w:bCs/>
          <w:color w:val="2E6DA4"/>
          <w:sz w:val="26"/>
          <w:szCs w:val="26"/>
        </w:rPr>
        <w:t xml:space="preserve">2.2 What the POC Does Step by Step</w:t>
      </w:r>
    </w:p>
    <w:p>
      <w:pPr>
        <w:pStyle w:val="Heading3"/>
        <w:spacing w:before="200" w:after="80"/>
      </w:pPr>
      <w:r>
        <w:rPr>
          <w:rFonts w:ascii="Arial" w:cs="Arial" w:eastAsia="Arial" w:hAnsi="Arial"/>
          <w:b/>
          <w:bCs/>
          <w:color w:val="444444"/>
          <w:sz w:val="22"/>
          <w:szCs w:val="22"/>
        </w:rPr>
        <w:t xml:space="preserve">n8n Workflow (4 nodes, live at dina2.app.n8n.cloud)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Node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06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What it does</w:t>
            </w:r>
          </w:p>
        </w:tc>
        <w:tc>
          <w:tcPr>
            <w:tcW w:type="dxa" w:w="306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Technical detail</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 Trigger</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Fires automatically Monday to Friday at 08:00 Berlin time</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Cron: 0 8 * * 1-5</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 High-Risk Members</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the at-risk member list</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JavaScript code node. Demo: 8 hardcoded members. Production: HTTP request to gym management API</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Format Alert Message</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Builds the Slack message sorted by days inactive</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Takes top 5 members, calculates total revenue at risk, formats with Slack markdown</w:t>
            </w:r>
          </w:p>
        </w:tc>
      </w:tr>
      <w:tr>
        <w:trPr>
          <w:tblHeader w:val="false"/>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Send Slack Alert</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Posts to coach channel</w:t>
            </w:r>
          </w:p>
        </w:tc>
        <w:tc>
          <w:tcPr>
            <w:tcW w:type="dxa" w:w="30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Slack node to #retention-alerts channel. Live alert sent 19 March 2026: 8 members, EUR 12,000 at risk.</w:t>
            </w:r>
          </w:p>
        </w:tc>
      </w:tr>
    </w:tbl>
    <w:p>
      <w:pPr>
        <w:pStyle w:val="Heading3"/>
        <w:spacing w:before="200" w:after="80"/>
      </w:pPr>
      <w:r>
        <w:rPr>
          <w:rFonts w:ascii="Arial" w:cs="Arial" w:eastAsia="Arial" w:hAnsi="Arial"/>
          <w:b/>
          <w:bCs/>
          <w:color w:val="444444"/>
          <w:sz w:val="22"/>
          <w:szCs w:val="22"/>
        </w:rPr>
        <w:t xml:space="preserve">Wearable Consent Gate (new node for this capstone)</w:t>
      </w:r>
    </w:p>
    <w:p>
      <w:pPr>
        <w:spacing w:after="120"/>
      </w:pPr>
      <w:r>
        <w:rPr>
          <w:rFonts w:ascii="Arial" w:cs="Arial" w:eastAsia="Arial" w:hAnsi="Arial"/>
          <w:sz w:val="22"/>
          <w:szCs w:val="22"/>
        </w:rPr>
        <w:t xml:space="preserve">A fifth node is added between Node 1 and Node 2. It checks a consent_wearable field for each member. If the field is true, the member's Fitbit activity data (fetched via OAuth 2.0) is included in their risk calculation. If the field is false or absent, the member is assessed using check-in data only and their Fitbit data is never accessed. This implements GDPR Article 9 compliance directly in the workflow rather than only in documentation.</w:t>
      </w:r>
    </w:p>
    <w:p>
      <w:pPr>
        <w:pStyle w:val="Heading3"/>
        <w:spacing w:before="200" w:after="80"/>
      </w:pPr>
      <w:r>
        <w:rPr>
          <w:rFonts w:ascii="Arial" w:cs="Arial" w:eastAsia="Arial" w:hAnsi="Arial"/>
          <w:b/>
          <w:bCs/>
          <w:color w:val="444444"/>
          <w:sz w:val="22"/>
          <w:szCs w:val="22"/>
        </w:rPr>
        <w:t xml:space="preserve">LangChain Agent</w:t>
      </w:r>
    </w:p>
    <w:p>
      <w:pPr>
        <w:spacing w:after="120"/>
      </w:pPr>
      <w:r>
        <w:rPr>
          <w:rFonts w:ascii="Arial" w:cs="Arial" w:eastAsia="Arial" w:hAnsi="Arial"/>
          <w:sz w:val="22"/>
          <w:szCs w:val="22"/>
        </w:rPr>
        <w:t xml:space="preserve">agent.py reads fitness_user_metrics.csv (1,059 members), computes a statistical summary block, then calls GPT-4o-mini 12 times with one business question each. All outputs are saved to insights_generated.json. LangSmith scores each output on three criteria: relevance (0.883), actionability (0.983), clarity (0.867). Overall score: 0.911/1.0.</w:t>
      </w:r>
    </w:p>
    <w:p>
      <w:pPr>
        <w:pStyle w:val="Heading2"/>
        <w:spacing w:before="280" w:after="100"/>
      </w:pPr>
      <w:r>
        <w:rPr>
          <w:rFonts w:ascii="Arial" w:cs="Arial" w:eastAsia="Arial" w:hAnsi="Arial"/>
          <w:b/>
          <w:bCs/>
          <w:color w:val="2E6DA4"/>
          <w:sz w:val="26"/>
          <w:szCs w:val="26"/>
        </w:rPr>
        <w:t xml:space="preserve">2.3 AI Capability Demonstrated</w:t>
      </w:r>
    </w:p>
    <w:p>
      <w:pPr>
        <w:pStyle w:val="ListParagraph"/>
        <w:numPr>
          <w:ilvl w:val="0"/>
          <w:numId w:val="2"/>
        </w:numPr>
        <w:spacing w:after="80"/>
      </w:pPr>
      <w:r>
        <w:rPr>
          <w:rFonts w:ascii="Arial" w:cs="Arial" w:eastAsia="Arial" w:hAnsi="Arial"/>
          <w:sz w:val="22"/>
          <w:szCs w:val="22"/>
        </w:rPr>
        <w:t xml:space="preserve">Classification: logistic regression model assigns each of 1,059 members a low, medium, or high dropout risk label based on five behavioural signals. Validated on 167,783 real workout sessions at 82% accuracy.</w:t>
      </w:r>
    </w:p>
    <w:p>
      <w:pPr>
        <w:pStyle w:val="ListParagraph"/>
        <w:numPr>
          <w:ilvl w:val="0"/>
          <w:numId w:val="2"/>
        </w:numPr>
        <w:spacing w:after="80"/>
      </w:pPr>
      <w:r>
        <w:rPr>
          <w:rFonts w:ascii="Arial" w:cs="Arial" w:eastAsia="Arial" w:hAnsi="Arial"/>
          <w:sz w:val="22"/>
          <w:szCs w:val="22"/>
        </w:rPr>
        <w:t xml:space="preserve">Natural language generation: LangChain agent generates 12 CEO-readable business insights from statistical summaries. Each insight includes a concrete action recommendation. LangSmith scores confirm quality.</w:t>
      </w:r>
    </w:p>
    <w:p>
      <w:pPr>
        <w:pStyle w:val="ListParagraph"/>
        <w:numPr>
          <w:ilvl w:val="0"/>
          <w:numId w:val="2"/>
        </w:numPr>
        <w:spacing w:after="80"/>
      </w:pPr>
      <w:r>
        <w:rPr>
          <w:rFonts w:ascii="Arial" w:cs="Arial" w:eastAsia="Arial" w:hAnsi="Arial"/>
          <w:sz w:val="22"/>
          <w:szCs w:val="22"/>
        </w:rPr>
        <w:t xml:space="preserve">Workflow automation: n8n workflow runs daily without human intervention, filters high-risk members, formats the alert, and posts to Slack. Zero manual steps.</w:t>
      </w:r>
    </w:p>
    <w:p>
      <w:pPr>
        <w:pStyle w:val="Heading2"/>
        <w:spacing w:before="280" w:after="100"/>
      </w:pPr>
      <w:r>
        <w:rPr>
          <w:rFonts w:ascii="Arial" w:cs="Arial" w:eastAsia="Arial" w:hAnsi="Arial"/>
          <w:b/>
          <w:bCs/>
          <w:color w:val="2E6DA4"/>
          <w:sz w:val="26"/>
          <w:szCs w:val="26"/>
        </w:rPr>
        <w:t xml:space="preserve">2.4 Known Limitations vs Production</w:t>
      </w:r>
    </w:p>
    <w:p>
      <w:pPr>
        <w:pStyle w:val="ListParagraph"/>
        <w:numPr>
          <w:ilvl w:val="0"/>
          <w:numId w:val="2"/>
        </w:numPr>
        <w:spacing w:after="80"/>
      </w:pPr>
      <w:r>
        <w:rPr>
          <w:rFonts w:ascii="Arial" w:cs="Arial" w:eastAsia="Arial" w:hAnsi="Arial"/>
          <w:sz w:val="22"/>
          <w:szCs w:val="22"/>
        </w:rPr>
        <w:t xml:space="preserve">Node 2 uses hardcoded member data in demo mode. Production requires an authenticated API connection to gym management software.</w:t>
      </w:r>
    </w:p>
    <w:p>
      <w:pPr>
        <w:pStyle w:val="ListParagraph"/>
        <w:numPr>
          <w:ilvl w:val="0"/>
          <w:numId w:val="2"/>
        </w:numPr>
        <w:spacing w:after="80"/>
      </w:pPr>
      <w:r>
        <w:rPr>
          <w:rFonts w:ascii="Arial" w:cs="Arial" w:eastAsia="Arial" w:hAnsi="Arial"/>
          <w:sz w:val="22"/>
          <w:szCs w:val="22"/>
        </w:rPr>
        <w:t xml:space="preserve">The LLM agent runs 12 sequential calls, each resending the full context block. A planned improvement (green tech assessment) is to batch into one call, reducing input tokens by approximately 80%.</w:t>
      </w:r>
    </w:p>
    <w:p>
      <w:pPr>
        <w:pStyle w:val="ListParagraph"/>
        <w:numPr>
          <w:ilvl w:val="0"/>
          <w:numId w:val="2"/>
        </w:numPr>
        <w:spacing w:after="80"/>
      </w:pPr>
      <w:r>
        <w:rPr>
          <w:rFonts w:ascii="Arial" w:cs="Arial" w:eastAsia="Arial" w:hAnsi="Arial"/>
          <w:sz w:val="22"/>
          <w:szCs w:val="22"/>
        </w:rPr>
        <w:t xml:space="preserve">The model is trained on Endomondo data from 2015 to 2016 with synthetic recency applied. A real studio deployment requires retraining on actual studio data after 6 to 8 weeks of data collection.</w:t>
      </w:r>
    </w:p>
    <w:p>
      <w:pPr>
        <w:pStyle w:val="ListParagraph"/>
        <w:numPr>
          <w:ilvl w:val="0"/>
          <w:numId w:val="2"/>
        </w:numPr>
        <w:spacing w:after="80"/>
      </w:pPr>
      <w:r>
        <w:rPr>
          <w:rFonts w:ascii="Arial" w:cs="Arial" w:eastAsia="Arial" w:hAnsi="Arial"/>
          <w:sz w:val="22"/>
          <w:szCs w:val="22"/>
        </w:rPr>
        <w:t xml:space="preserve">Dashboard runs locally. A hosted version would require deployment infrastructure.</w:t>
      </w:r>
    </w:p>
    <w:p>
      <w:pPr>
        <w:pStyle w:val="Heading2"/>
        <w:spacing w:before="280" w:after="100"/>
      </w:pPr>
      <w:r>
        <w:rPr>
          <w:rFonts w:ascii="Arial" w:cs="Arial" w:eastAsia="Arial" w:hAnsi="Arial"/>
          <w:b/>
          <w:bCs/>
          <w:color w:val="2E6DA4"/>
          <w:sz w:val="26"/>
          <w:szCs w:val="26"/>
        </w:rPr>
        <w:t xml:space="preserve">2.5 How to Reproduce</w:t>
      </w:r>
    </w:p>
    <w:p>
      <w:pPr>
        <w:pStyle w:val="ListParagraph"/>
        <w:numPr>
          <w:ilvl w:val="0"/>
          <w:numId w:val="2"/>
        </w:numPr>
        <w:spacing w:after="80"/>
      </w:pPr>
      <w:r>
        <w:rPr>
          <w:rFonts w:ascii="Arial" w:cs="Arial" w:eastAsia="Arial" w:hAnsi="Arial"/>
          <w:sz w:val="22"/>
          <w:szCs w:val="22"/>
        </w:rPr>
        <w:t xml:space="preserve">Step 1: Import poc_workflow.json into any n8n instance (cloud or self-hosted).</w:t>
      </w:r>
    </w:p>
    <w:p>
      <w:pPr>
        <w:pStyle w:val="ListParagraph"/>
        <w:numPr>
          <w:ilvl w:val="0"/>
          <w:numId w:val="2"/>
        </w:numPr>
        <w:spacing w:after="80"/>
      </w:pPr>
      <w:r>
        <w:rPr>
          <w:rFonts w:ascii="Arial" w:cs="Arial" w:eastAsia="Arial" w:hAnsi="Arial"/>
          <w:sz w:val="22"/>
          <w:szCs w:val="22"/>
        </w:rPr>
        <w:t xml:space="preserve">Step 2: Configure Slack credentials in Node 4 using a Slack API token and channel name.</w:t>
      </w:r>
    </w:p>
    <w:p>
      <w:pPr>
        <w:pStyle w:val="ListParagraph"/>
        <w:numPr>
          <w:ilvl w:val="0"/>
          <w:numId w:val="2"/>
        </w:numPr>
        <w:spacing w:after="80"/>
      </w:pPr>
      <w:r>
        <w:rPr>
          <w:rFonts w:ascii="Arial" w:cs="Arial" w:eastAsia="Arial" w:hAnsi="Arial"/>
          <w:sz w:val="22"/>
          <w:szCs w:val="22"/>
        </w:rPr>
        <w:t xml:space="preserve">Step 3: For production mode, replace the JavaScript in Node 2 with an HTTP Request node pointing to the gym data export endpoint.</w:t>
      </w:r>
    </w:p>
    <w:p>
      <w:pPr>
        <w:pStyle w:val="ListParagraph"/>
        <w:numPr>
          <w:ilvl w:val="0"/>
          <w:numId w:val="2"/>
        </w:numPr>
        <w:spacing w:after="80"/>
      </w:pPr>
      <w:r>
        <w:rPr>
          <w:rFonts w:ascii="Arial" w:cs="Arial" w:eastAsia="Arial" w:hAnsi="Arial"/>
          <w:sz w:val="22"/>
          <w:szCs w:val="22"/>
        </w:rPr>
        <w:t xml:space="preserve">Step 4: Activate the workflow. Trigger manually or wait for the 08:00 scheduled run.</w:t>
      </w:r>
    </w:p>
    <w:p>
      <w:pPr>
        <w:pStyle w:val="ListParagraph"/>
        <w:numPr>
          <w:ilvl w:val="0"/>
          <w:numId w:val="2"/>
        </w:numPr>
        <w:spacing w:after="80"/>
      </w:pPr>
      <w:r>
        <w:rPr>
          <w:rFonts w:ascii="Arial" w:cs="Arial" w:eastAsia="Arial" w:hAnsi="Arial"/>
          <w:sz w:val="22"/>
          <w:szCs w:val="22"/>
        </w:rPr>
        <w:t xml:space="preserve">Step 5: To run the LangChain agent locally: install requirements from requirements.txt, add API keys to .env, run python agent/agent.py.</w:t>
      </w:r>
    </w:p>
    <w:p>
      <w:pPr>
        <w:spacing w:after="120"/>
        <w:ind w:left="360"/>
      </w:pPr>
      <w:r>
        <w:rPr>
          <w:rFonts w:ascii="Arial" w:cs="Arial" w:eastAsia="Arial" w:hAnsi="Arial"/>
          <w:i/>
          <w:iCs/>
          <w:color w:val="666666"/>
          <w:sz w:val="20"/>
          <w:szCs w:val="20"/>
        </w:rPr>
        <w:t xml:space="preserve">Demo recording: 3-minute screen capture showing n8n workflow executing, Slack alert appearing, and Plotly dashboard loading. [Link to be added before submission]</w:t>
      </w:r>
    </w:p>
    <w:p>
      <w:r>
        <w:br w:type="page"/>
      </w:r>
    </w:p>
    <w:p>
      <w:pPr>
        <w:pStyle w:val="Heading1"/>
        <w:spacing w:before="360" w:after="120"/>
      </w:pPr>
      <w:r>
        <w:rPr>
          <w:rFonts w:ascii="Arial" w:cs="Arial" w:eastAsia="Arial" w:hAnsi="Arial"/>
          <w:b/>
          <w:bCs/>
          <w:color w:val="1A3C5E"/>
          <w:sz w:val="32"/>
          <w:szCs w:val="32"/>
        </w:rPr>
        <w:t xml:space="preserve">3. ROI and Risk Assessment</w:t>
      </w:r>
    </w:p>
    <w:p>
      <w:pPr>
        <w:spacing w:after="120"/>
      </w:pPr>
      <w:r>
        <w:rPr>
          <w:rFonts w:ascii="Arial" w:cs="Arial" w:eastAsia="Arial" w:hAnsi="Arial"/>
          <w:sz w:val="22"/>
          <w:szCs w:val="22"/>
        </w:rPr>
        <w:t xml:space="preserve">File: roi_risk_assessment.md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3.1 Cost Estimates</w:t>
      </w:r>
    </w:p>
    <w:p>
      <w:pPr>
        <w:pStyle w:val="Heading3"/>
        <w:spacing w:before="200" w:after="80"/>
      </w:pPr>
      <w:r>
        <w:rPr>
          <w:rFonts w:ascii="Arial" w:cs="Arial" w:eastAsia="Arial" w:hAnsi="Arial"/>
          <w:b/>
          <w:bCs/>
          <w:color w:val="444444"/>
          <w:sz w:val="22"/>
          <w:szCs w:val="22"/>
        </w:rPr>
        <w:t xml:space="preserve">Upfront Costs (one-time)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Cost (EUR)</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setup, configuration, data pipeline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2,000</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 training session (onboarding)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Included in setup</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Infrastructure at pilot scale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(all free tiers)</w:t>
            </w:r>
          </w:p>
        </w:tc>
      </w:tr>
      <w:tr>
        <w:trPr>
          <w:tblHeader w:val="false"/>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Total upfront</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2,000</w:t>
            </w:r>
          </w:p>
        </w:tc>
      </w:tr>
    </w:tbl>
    <w:p>
      <w:pPr>
        <w:pStyle w:val="Heading3"/>
        <w:spacing w:before="200" w:after="80"/>
      </w:pPr>
      <w:r>
        <w:rPr>
          <w:rFonts w:ascii="Arial" w:cs="Arial" w:eastAsia="Arial" w:hAnsi="Arial"/>
          <w:b/>
          <w:bCs/>
          <w:color w:val="444444"/>
          <w:sz w:val="22"/>
          <w:szCs w:val="22"/>
        </w:rPr>
        <w:t xml:space="preserve">Ongoing Costs (per month, shared across studios at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Cost (EUR/month)</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API (12 LLM calls per monthly briefing, est.)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approx. 2 per studio</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Cloud (one instance, all studios)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approx. 20 shared</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Developer tier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approx. 36 shared</w:t>
            </w:r>
          </w:p>
        </w:tc>
      </w:tr>
      <w:tr>
        <w:trPr>
          <w:tblHeader w:val="false"/>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Total ongoing at pilot (under 10 per studio)</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approx. 58 total</w:t>
            </w:r>
          </w:p>
        </w:tc>
      </w:tr>
    </w:tbl>
    <w:p>
      <w:pPr>
        <w:spacing w:after="120"/>
        <w:ind w:left="360"/>
      </w:pPr>
      <w:r>
        <w:rPr>
          <w:rFonts w:ascii="Arial" w:cs="Arial" w:eastAsia="Arial" w:hAnsi="Arial"/>
          <w:i/>
          <w:iCs/>
          <w:color w:val="666666"/>
          <w:sz w:val="20"/>
          <w:szCs w:val="20"/>
        </w:rPr>
        <w:t xml:space="preserve">Note: These are estimates at pilot scale. OpenAI token costs are the main variable. LangSmith token logs will be used to track actual usage per R (per briefing) once the system is live.</w:t>
      </w:r>
    </w:p>
    <w:p>
      <w:pPr>
        <w:pStyle w:val="Heading2"/>
        <w:spacing w:before="280" w:after="100"/>
      </w:pPr>
      <w:r>
        <w:rPr>
          <w:rFonts w:ascii="Arial" w:cs="Arial" w:eastAsia="Arial" w:hAnsi="Arial"/>
          <w:b/>
          <w:bCs/>
          <w:color w:val="2E6DA4"/>
          <w:sz w:val="26"/>
          <w:szCs w:val="26"/>
        </w:rPr>
        <w:t xml:space="preserve">3.2 Business Value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Value (per studio, per year)</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at risk (60 members x 1,500 EUR LTV)</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90,000 to 120,000 EUR</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Conservative churn reduction target (1 in 3 at-risk retained)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of 60 churners retained</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Retained revenue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30,000 EUR</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 time saved (est. 2 hrs/week x 25 EUR/hr)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2,600 EUR</w:t>
            </w:r>
          </w:p>
        </w:tc>
      </w:tr>
      <w:tr>
        <w:trPr>
          <w:tblHeader w:val="false"/>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Total annual benefit per studio</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approx. 32,600 EUR</w:t>
            </w:r>
          </w:p>
        </w:tc>
      </w:tr>
    </w:tbl>
    <w:p>
      <w:pPr>
        <w:pStyle w:val="Heading2"/>
        <w:spacing w:before="280" w:after="100"/>
      </w:pPr>
      <w:r>
        <w:rPr>
          <w:rFonts w:ascii="Arial" w:cs="Arial" w:eastAsia="Arial" w:hAnsi="Arial"/>
          <w:b/>
          <w:bCs/>
          <w:color w:val="2E6DA4"/>
          <w:sz w:val="26"/>
          <w:szCs w:val="26"/>
        </w:rPr>
        <w:t xml:space="preserve">3.3 ROI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Horizon</w:t>
            </w:r>
          </w:p>
        </w:tc>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Net Benefit (EUR)</w:t>
            </w:r>
          </w:p>
        </w:tc>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Total Cost (EUR)</w:t>
            </w:r>
          </w:p>
        </w:tc>
        <w:tc>
          <w:tcPr>
            <w:tcW w:type="dxa" w:w="227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ROI</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months</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29,880</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2,720</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1,098%</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months</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94,040</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4,160</w:t>
            </w:r>
          </w:p>
        </w:tc>
        <w:tc>
          <w:tcPr>
            <w:tcW w:type="dxa" w:w="2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2,261%</w:t>
            </w:r>
          </w:p>
        </w:tc>
      </w:tr>
    </w:tbl>
    <w:p>
      <w:pPr>
        <w:spacing w:after="120"/>
      </w:pPr>
      <w:r>
        <w:rPr>
          <w:rFonts w:ascii="Arial" w:cs="Arial" w:eastAsia="Arial" w:hAnsi="Arial"/>
          <w:sz w:val="22"/>
          <w:szCs w:val="22"/>
        </w:rPr>
        <w:t xml:space="preserve">Formula: ROI = (Net Benefit / Total Cost) x 100</w:t>
      </w:r>
    </w:p>
    <w:p>
      <w:pPr>
        <w:spacing w:after="120"/>
      </w:pPr>
      <w:r>
        <w:rPr>
          <w:rFonts w:ascii="Arial" w:cs="Arial" w:eastAsia="Arial" w:hAnsi="Arial"/>
          <w:sz w:val="22"/>
          <w:szCs w:val="22"/>
        </w:rPr>
        <w:t xml:space="preserve">Break-even point: approximately 33 days. At 32,600 EUR annual benefit, the 2,720 EUR year 1 total cost is recovered within the first month.</w:t>
      </w:r>
    </w:p>
    <w:p>
      <w:pPr>
        <w:spacing w:after="120"/>
        <w:ind w:left="360"/>
      </w:pPr>
      <w:r>
        <w:rPr>
          <w:rFonts w:ascii="Arial" w:cs="Arial" w:eastAsia="Arial" w:hAnsi="Arial"/>
          <w:i/>
          <w:iCs/>
          <w:color w:val="666666"/>
          <w:sz w:val="20"/>
          <w:szCs w:val="20"/>
        </w:rPr>
        <w:t xml:space="preserve">Assumptions: 1,500 EUR LTV (IHRSA European boutique benchmark). 60% churn rate (IHRSA industry average). 1-in-3 intervention success rate (conservative end of published fitness retention research range 25 to 40%). 2 hours per week coach time saved (estimate). 25 EUR per hour coach rate (estimate). These figures would be validated during the pilot phase.</w:t>
      </w:r>
    </w:p>
    <w:p>
      <w:pPr>
        <w:pStyle w:val="Heading2"/>
        <w:spacing w:before="280" w:after="100"/>
      </w:pPr>
      <w:r>
        <w:rPr>
          <w:rFonts w:ascii="Arial" w:cs="Arial" w:eastAsia="Arial" w:hAnsi="Arial"/>
          <w:b/>
          <w:bCs/>
          <w:color w:val="2E6DA4"/>
          <w:sz w:val="26"/>
          <w:szCs w:val="26"/>
        </w:rPr>
        <w:t xml:space="preserve">3.4 Risk Assessment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w:t>
            </w:r>
          </w:p>
        </w:tc>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w:t>
            </w:r>
          </w:p>
        </w:tc>
        <w:tc>
          <w:tcPr>
            <w:tcW w:type="dxa" w:w="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3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Mitigation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non-compliance for wearable data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Regulatory</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15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Explicit opt-in consent before any wearable data is accessed. Consent gate in n8n workflow. No wearable data processed without consent_wearable = true.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AI Act classification challenge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Regulatory</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8</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classified as Limited risk with step-by-step reasoning documented. Human-in-the-loop design. LangSmith audit trail documents every output.</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bias against low-frequency members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Ethical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9</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with fewer than 4 weeks of data excluded from predictions, flagged as insufficient history. Human review required before any outreach.</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hallucination in insight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GPT-4o-mini at temperature=0. LangSmith scores every output. Outputs below 0.70 flagged for human review before delivery.</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Coach adoption failure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12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Alerts in Slack, no new tool required. System shows why a member was flagged. Training session included in setup.</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quality gaps from gym CSV 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12</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audit run before first briefing. Members with under 4 weeks of data excluded. Confidence scores shown alongside every risk label.</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Urban Sports Club member dilution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9</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USC members filtered from prediction pipeline. Screening question in studio onboarding. System explicitly designed for direct membership studios.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Energy cost scaling with studio 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Environmental</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6</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 tech improvements (batch LLM calls, weekly n8n trigger) reduce compute per studio by approx. 80%. Token count per R tracked via LangSmith as energy proxy.</w:t>
            </w:r>
          </w:p>
        </w:tc>
      </w:tr>
    </w:tbl>
    <w:p>
      <w:pPr>
        <w:spacing w:after="120"/>
        <w:ind w:left="360"/>
      </w:pPr>
      <w:r>
        <w:rPr>
          <w:rFonts w:ascii="Arial" w:cs="Arial" w:eastAsia="Arial" w:hAnsi="Arial"/>
          <w:i/>
          <w:iCs/>
          <w:color w:val="666666"/>
          <w:sz w:val="20"/>
          <w:szCs w:val="20"/>
        </w:rPr>
        <w:t xml:space="preserve">L = Likelihood (1-5), I = Impact (1-5), Level = L x I. Red = 12-25, Amber = 6-11, Green = 1-5.</w:t>
      </w:r>
    </w:p>
    <w:p>
      <w:r>
        <w:br w:type="page"/>
      </w:r>
    </w:p>
    <w:p>
      <w:pPr>
        <w:pStyle w:val="Heading1"/>
        <w:spacing w:before="360" w:after="120"/>
      </w:pPr>
      <w:r>
        <w:rPr>
          <w:rFonts w:ascii="Arial" w:cs="Arial" w:eastAsia="Arial" w:hAnsi="Arial"/>
          <w:b/>
          <w:bCs/>
          <w:color w:val="1A3C5E"/>
          <w:sz w:val="32"/>
          <w:szCs w:val="32"/>
        </w:rPr>
        <w:t xml:space="preserve">4. EU AI Act Compliance Documentation</w:t>
      </w:r>
    </w:p>
    <w:p>
      <w:pPr>
        <w:spacing w:after="120"/>
      </w:pPr>
      <w:r>
        <w:rPr>
          <w:rFonts w:ascii="Arial" w:cs="Arial" w:eastAsia="Arial" w:hAnsi="Arial"/>
          <w:sz w:val="22"/>
          <w:szCs w:val="22"/>
        </w:rPr>
        <w:t xml:space="preserve">File: compliance/eu_ai_act_compliance.md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4.1 Risk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77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LIMITED RISK</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obligation</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 50 transparency obligations apply</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High-risk?</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does not meet any Annex III criteria (see reasoning below)</w:t>
            </w:r>
          </w:p>
        </w:tc>
      </w:tr>
    </w:tbl>
    <w:p>
      <w:pPr>
        <w:pStyle w:val="Heading2"/>
        <w:spacing w:before="280" w:after="100"/>
      </w:pPr>
      <w:r>
        <w:rPr>
          <w:rFonts w:ascii="Arial" w:cs="Arial" w:eastAsia="Arial" w:hAnsi="Arial"/>
          <w:b/>
          <w:bCs/>
          <w:color w:val="2E6DA4"/>
          <w:sz w:val="26"/>
          <w:szCs w:val="26"/>
        </w:rPr>
        <w:t xml:space="preserve">4.2 Classification Reasoning (step by step)</w:t>
      </w:r>
    </w:p>
    <w:p>
      <w:pPr>
        <w:pStyle w:val="Heading3"/>
        <w:spacing w:before="200" w:after="80"/>
      </w:pPr>
      <w:r>
        <w:rPr>
          <w:rFonts w:ascii="Arial" w:cs="Arial" w:eastAsia="Arial" w:hAnsi="Arial"/>
          <w:b/>
          <w:bCs/>
          <w:color w:val="444444"/>
          <w:sz w:val="22"/>
          <w:szCs w:val="22"/>
        </w:rPr>
        <w:t xml:space="preserve">Step 1: Unacceptable risk check (Article 5)</w:t>
      </w:r>
    </w:p>
    <w:p>
      <w:pPr>
        <w:spacing w:after="120"/>
      </w:pPr>
      <w:r>
        <w:rPr>
          <w:rFonts w:ascii="Arial" w:cs="Arial" w:eastAsia="Arial" w:hAnsi="Arial"/>
          <w:sz w:val="22"/>
          <w:szCs w:val="22"/>
        </w:rPr>
        <w:t xml:space="preserve">Does the system: manipulate behaviour subliminally, exploit vulnerabilities, enable social scoring by public authorities, or conduct real-time biometric surveillance in public spaces? No to all four. The system is not unacceptable risk.</w:t>
      </w:r>
    </w:p>
    <w:p>
      <w:pPr>
        <w:pStyle w:val="Heading3"/>
        <w:spacing w:before="200" w:after="80"/>
      </w:pPr>
      <w:r>
        <w:rPr>
          <w:rFonts w:ascii="Arial" w:cs="Arial" w:eastAsia="Arial" w:hAnsi="Arial"/>
          <w:b/>
          <w:bCs/>
          <w:color w:val="444444"/>
          <w:sz w:val="22"/>
          <w:szCs w:val="22"/>
        </w:rPr>
        <w:t xml:space="preserve">Step 2: High-risk list check (Annex III)</w:t>
      </w:r>
    </w:p>
    <w:p>
      <w:pPr>
        <w:spacing w:after="120"/>
      </w:pPr>
      <w:r>
        <w:rPr>
          <w:rFonts w:ascii="Arial" w:cs="Arial" w:eastAsia="Arial" w:hAnsi="Arial"/>
          <w:sz w:val="22"/>
          <w:szCs w:val="22"/>
        </w:rPr>
        <w:t xml:space="preserve">Working through each relevant Annex III category:</w:t>
      </w:r>
    </w:p>
    <w:p>
      <w:pPr>
        <w:pStyle w:val="ListParagraph"/>
        <w:numPr>
          <w:ilvl w:val="0"/>
          <w:numId w:val="2"/>
        </w:numPr>
        <w:spacing w:after="80"/>
      </w:pPr>
      <w:r>
        <w:rPr>
          <w:rFonts w:ascii="Arial" w:cs="Arial" w:eastAsia="Arial" w:hAnsi="Arial"/>
          <w:sz w:val="22"/>
          <w:szCs w:val="22"/>
        </w:rPr>
        <w:t xml:space="preserve">Employment and workers management (Annex III 4b): The system does not evaluate employees or make decisions affecting employment conditions. Coaches use it voluntarily as a decision-support tool. Not applicable.</w:t>
      </w:r>
    </w:p>
    <w:p>
      <w:pPr>
        <w:pStyle w:val="ListParagraph"/>
        <w:numPr>
          <w:ilvl w:val="0"/>
          <w:numId w:val="2"/>
        </w:numPr>
        <w:spacing w:after="80"/>
      </w:pPr>
      <w:r>
        <w:rPr>
          <w:rFonts w:ascii="Arial" w:cs="Arial" w:eastAsia="Arial" w:hAnsi="Arial"/>
          <w:sz w:val="22"/>
          <w:szCs w:val="22"/>
        </w:rPr>
        <w:t xml:space="preserve">Access to essential services: Fitness membership is not an essential service under the Act. Not applicable.</w:t>
      </w:r>
    </w:p>
    <w:p>
      <w:pPr>
        <w:pStyle w:val="ListParagraph"/>
        <w:numPr>
          <w:ilvl w:val="0"/>
          <w:numId w:val="2"/>
        </w:numPr>
        <w:spacing w:after="80"/>
      </w:pPr>
      <w:r>
        <w:rPr>
          <w:rFonts w:ascii="Arial" w:cs="Arial" w:eastAsia="Arial" w:hAnsi="Arial"/>
          <w:sz w:val="22"/>
          <w:szCs w:val="22"/>
        </w:rPr>
        <w:t xml:space="preserve">Biometric categorisation: The system does not categorise individuals by biometric data. Visit frequency and recency are behavioural signals derived from attendance records, not biometric identifiers. Even when Fitbit data is used with consent, only aggregated activity minutes are processed, not biometric identifiers. Not applicable.</w:t>
      </w:r>
    </w:p>
    <w:p>
      <w:pPr>
        <w:pStyle w:val="ListParagraph"/>
        <w:numPr>
          <w:ilvl w:val="0"/>
          <w:numId w:val="2"/>
        </w:numPr>
        <w:spacing w:after="80"/>
      </w:pPr>
      <w:r>
        <w:rPr>
          <w:rFonts w:ascii="Arial" w:cs="Arial" w:eastAsia="Arial" w:hAnsi="Arial"/>
          <w:sz w:val="22"/>
          <w:szCs w:val="22"/>
        </w:rPr>
        <w:t xml:space="preserve">Education or vocational training: Not applicable.</w:t>
      </w:r>
    </w:p>
    <w:p>
      <w:pPr>
        <w:pStyle w:val="ListParagraph"/>
        <w:numPr>
          <w:ilvl w:val="0"/>
          <w:numId w:val="2"/>
        </w:numPr>
        <w:spacing w:after="80"/>
      </w:pPr>
      <w:r>
        <w:rPr>
          <w:rFonts w:ascii="Arial" w:cs="Arial" w:eastAsia="Arial" w:hAnsi="Arial"/>
          <w:sz w:val="22"/>
          <w:szCs w:val="22"/>
        </w:rPr>
        <w:t xml:space="preserve">Law enforcement, migration, administration of justice: Not applicable.</w:t>
      </w:r>
    </w:p>
    <w:p>
      <w:pPr>
        <w:spacing w:after="120"/>
      </w:pPr>
      <w:r>
        <w:rPr>
          <w:rFonts w:ascii="Arial" w:cs="Arial" w:eastAsia="Arial" w:hAnsi="Arial"/>
          <w:sz w:val="22"/>
          <w:szCs w:val="22"/>
        </w:rPr>
        <w:t xml:space="preserve">Conclusion: The system does not meet high-risk criteria under any Annex III category.</w:t>
      </w:r>
    </w:p>
    <w:p>
      <w:pPr>
        <w:pStyle w:val="Heading3"/>
        <w:spacing w:before="200" w:after="80"/>
      </w:pPr>
      <w:r>
        <w:rPr>
          <w:rFonts w:ascii="Arial" w:cs="Arial" w:eastAsia="Arial" w:hAnsi="Arial"/>
          <w:b/>
          <w:bCs/>
          <w:color w:val="444444"/>
          <w:sz w:val="22"/>
          <w:szCs w:val="22"/>
        </w:rPr>
        <w:t xml:space="preserve">Step 3: Transparency trigger check (Article 50)</w:t>
      </w:r>
    </w:p>
    <w:p>
      <w:pPr>
        <w:spacing w:after="120"/>
      </w:pPr>
      <w:r>
        <w:rPr>
          <w:rFonts w:ascii="Arial" w:cs="Arial" w:eastAsia="Arial" w:hAnsi="Arial"/>
          <w:sz w:val="22"/>
          <w:szCs w:val="22"/>
        </w:rPr>
        <w:t xml:space="preserve">Does the system generate outputs that affect individuals? Yes. Members are classified as high-risk and coaches may contact them based on that classification. This triggers Article 50: the system must be designed so that outputs are explainable and humans remain in control of decisions. The classification is advisory only.</w:t>
      </w:r>
    </w:p>
    <w:p>
      <w:pPr>
        <w:pStyle w:val="Heading3"/>
        <w:spacing w:before="200" w:after="80"/>
      </w:pPr>
      <w:r>
        <w:rPr>
          <w:rFonts w:ascii="Arial" w:cs="Arial" w:eastAsia="Arial" w:hAnsi="Arial"/>
          <w:b/>
          <w:bCs/>
          <w:color w:val="444444"/>
          <w:sz w:val="22"/>
          <w:szCs w:val="22"/>
        </w:rPr>
        <w:t xml:space="preserve">Step 4: Final classification</w:t>
      </w:r>
    </w:p>
    <w:p>
      <w:pPr>
        <w:spacing w:after="120"/>
      </w:pPr>
      <w:r>
        <w:rPr>
          <w:rFonts w:ascii="Arial" w:cs="Arial" w:eastAsia="Arial" w:hAnsi="Arial"/>
          <w:sz w:val="22"/>
          <w:szCs w:val="22"/>
        </w:rPr>
        <w:t xml:space="preserve">Limited Risk. Article 50 transparency obligations apply. No conformity assessment with a notified body is required.</w:t>
      </w:r>
    </w:p>
    <w:p>
      <w:pPr>
        <w:pStyle w:val="Heading2"/>
        <w:spacing w:before="280" w:after="100"/>
      </w:pPr>
      <w:r>
        <w:rPr>
          <w:rFonts w:ascii="Arial" w:cs="Arial" w:eastAsia="Arial" w:hAnsi="Arial"/>
          <w:b/>
          <w:bCs/>
          <w:color w:val="2E6DA4"/>
          <w:sz w:val="26"/>
          <w:szCs w:val="26"/>
        </w:rPr>
        <w:t xml:space="preserve">4.3 Mandatory Requirements Summary (Limited Risk)</w:t>
      </w:r>
    </w:p>
    <w:p>
      <w:pPr>
        <w:pStyle w:val="Heading3"/>
        <w:spacing w:before="200" w:after="80"/>
      </w:pPr>
      <w:r>
        <w:rPr>
          <w:rFonts w:ascii="Arial" w:cs="Arial" w:eastAsia="Arial" w:hAnsi="Arial"/>
          <w:b/>
          <w:bCs/>
          <w:color w:val="444444"/>
          <w:sz w:val="22"/>
          <w:szCs w:val="22"/>
        </w:rPr>
        <w:t xml:space="preserve">Transparency (Article 50)</w:t>
      </w:r>
    </w:p>
    <w:p>
      <w:pPr>
        <w:pStyle w:val="ListParagraph"/>
        <w:numPr>
          <w:ilvl w:val="0"/>
          <w:numId w:val="2"/>
        </w:numPr>
        <w:spacing w:after="80"/>
      </w:pPr>
      <w:r>
        <w:rPr>
          <w:rFonts w:ascii="Arial" w:cs="Arial" w:eastAsia="Arial" w:hAnsi="Arial"/>
          <w:sz w:val="22"/>
          <w:szCs w:val="22"/>
        </w:rPr>
        <w:t xml:space="preserve">Coaches are informed they are receiving AI-generated recommendations, not factual determinations.</w:t>
      </w:r>
    </w:p>
    <w:p>
      <w:pPr>
        <w:pStyle w:val="ListParagraph"/>
        <w:numPr>
          <w:ilvl w:val="0"/>
          <w:numId w:val="2"/>
        </w:numPr>
        <w:spacing w:after="80"/>
      </w:pPr>
      <w:r>
        <w:rPr>
          <w:rFonts w:ascii="Arial" w:cs="Arial" w:eastAsia="Arial" w:hAnsi="Arial"/>
          <w:sz w:val="22"/>
          <w:szCs w:val="22"/>
        </w:rPr>
        <w:t xml:space="preserve">Every recommendation is accompanied by the specific behavioural signals that triggered it: sessions per week, days inactive, sport variety. Coaches see the reason, not just the label.</w:t>
      </w:r>
    </w:p>
    <w:p>
      <w:pPr>
        <w:pStyle w:val="ListParagraph"/>
        <w:numPr>
          <w:ilvl w:val="0"/>
          <w:numId w:val="2"/>
        </w:numPr>
        <w:spacing w:after="80"/>
      </w:pPr>
      <w:r>
        <w:rPr>
          <w:rFonts w:ascii="Arial" w:cs="Arial" w:eastAsia="Arial" w:hAnsi="Arial"/>
          <w:sz w:val="22"/>
          <w:szCs w:val="22"/>
        </w:rPr>
        <w:t xml:space="preserve">Members are informed via privacy notice that their visit data is used for AI-driven retention analysis.</w:t>
      </w:r>
    </w:p>
    <w:p>
      <w:pPr>
        <w:pStyle w:val="ListParagraph"/>
        <w:numPr>
          <w:ilvl w:val="0"/>
          <w:numId w:val="2"/>
        </w:numPr>
        <w:spacing w:after="80"/>
      </w:pPr>
      <w:r>
        <w:rPr>
          <w:rFonts w:ascii="Arial" w:cs="Arial" w:eastAsia="Arial" w:hAnsi="Arial"/>
          <w:sz w:val="22"/>
          <w:szCs w:val="22"/>
        </w:rPr>
        <w:t xml:space="preserve">LangSmith audit trail: every insight generated is logged with query, context, output, and quality scores. Fully auditable by studio management.</w:t>
      </w:r>
    </w:p>
    <w:p>
      <w:pPr>
        <w:pStyle w:val="Heading3"/>
        <w:spacing w:before="200" w:after="80"/>
      </w:pPr>
      <w:r>
        <w:rPr>
          <w:rFonts w:ascii="Arial" w:cs="Arial" w:eastAsia="Arial" w:hAnsi="Arial"/>
          <w:b/>
          <w:bCs/>
          <w:color w:val="444444"/>
          <w:sz w:val="22"/>
          <w:szCs w:val="22"/>
        </w:rPr>
        <w:t xml:space="preserve">Human oversight</w:t>
      </w:r>
    </w:p>
    <w:p>
      <w:pPr>
        <w:pStyle w:val="ListParagraph"/>
        <w:numPr>
          <w:ilvl w:val="0"/>
          <w:numId w:val="2"/>
        </w:numPr>
        <w:spacing w:after="80"/>
      </w:pPr>
      <w:r>
        <w:rPr>
          <w:rFonts w:ascii="Arial" w:cs="Arial" w:eastAsia="Arial" w:hAnsi="Arial"/>
          <w:sz w:val="22"/>
          <w:szCs w:val="22"/>
        </w:rPr>
        <w:t xml:space="preserve">The system never contacts members directly. All alerts go to a coach who decides whether and how to act.</w:t>
      </w:r>
    </w:p>
    <w:p>
      <w:pPr>
        <w:pStyle w:val="ListParagraph"/>
        <w:numPr>
          <w:ilvl w:val="0"/>
          <w:numId w:val="2"/>
        </w:numPr>
        <w:spacing w:after="80"/>
      </w:pPr>
      <w:r>
        <w:rPr>
          <w:rFonts w:ascii="Arial" w:cs="Arial" w:eastAsia="Arial" w:hAnsi="Arial"/>
          <w:sz w:val="22"/>
          <w:szCs w:val="22"/>
        </w:rPr>
        <w:t xml:space="preserve">No automated decisions affecting members are made. All classifications are recommendations reviewed by a human before any action is taken.</w:t>
      </w:r>
    </w:p>
    <w:p>
      <w:pPr>
        <w:pStyle w:val="ListParagraph"/>
        <w:numPr>
          <w:ilvl w:val="0"/>
          <w:numId w:val="2"/>
        </w:numPr>
        <w:spacing w:after="80"/>
      </w:pPr>
      <w:r>
        <w:rPr>
          <w:rFonts w:ascii="Arial" w:cs="Arial" w:eastAsia="Arial" w:hAnsi="Arial"/>
          <w:sz w:val="22"/>
          <w:szCs w:val="22"/>
        </w:rPr>
        <w:t xml:space="preserve">LangSmith quality gate: outputs scoring below 0.70 on any criterion are flagged before delivery.</w:t>
      </w:r>
    </w:p>
    <w:p>
      <w:pPr>
        <w:pStyle w:val="Heading3"/>
        <w:spacing w:before="200" w:after="80"/>
      </w:pPr>
      <w:r>
        <w:rPr>
          <w:rFonts w:ascii="Arial" w:cs="Arial" w:eastAsia="Arial" w:hAnsi="Arial"/>
          <w:b/>
          <w:bCs/>
          <w:color w:val="444444"/>
          <w:sz w:val="22"/>
          <w:szCs w:val="22"/>
        </w:rPr>
        <w:t xml:space="preserve">Accuracy and robustness</w:t>
      </w:r>
    </w:p>
    <w:p>
      <w:pPr>
        <w:pStyle w:val="ListParagraph"/>
        <w:numPr>
          <w:ilvl w:val="0"/>
          <w:numId w:val="2"/>
        </w:numPr>
        <w:spacing w:after="80"/>
      </w:pPr>
      <w:r>
        <w:rPr>
          <w:rFonts w:ascii="Arial" w:cs="Arial" w:eastAsia="Arial" w:hAnsi="Arial"/>
          <w:sz w:val="22"/>
          <w:szCs w:val="22"/>
        </w:rPr>
        <w:t xml:space="preserve">Model validated on 167,783 real workout sessions (Endomondo dataset), achieving 82% accuracy on held-out test data.</w:t>
      </w:r>
    </w:p>
    <w:p>
      <w:pPr>
        <w:pStyle w:val="ListParagraph"/>
        <w:numPr>
          <w:ilvl w:val="0"/>
          <w:numId w:val="2"/>
        </w:numPr>
        <w:spacing w:after="80"/>
      </w:pPr>
      <w:r>
        <w:rPr>
          <w:rFonts w:ascii="Arial" w:cs="Arial" w:eastAsia="Arial" w:hAnsi="Arial"/>
          <w:sz w:val="22"/>
          <w:szCs w:val="22"/>
        </w:rPr>
        <w:t xml:space="preserve">LangSmith evaluation overall score 0.911/1.0 across 12 business insight queries.</w:t>
      </w:r>
    </w:p>
    <w:p>
      <w:pPr>
        <w:pStyle w:val="ListParagraph"/>
        <w:numPr>
          <w:ilvl w:val="0"/>
          <w:numId w:val="2"/>
        </w:numPr>
        <w:spacing w:after="80"/>
      </w:pPr>
      <w:r>
        <w:rPr>
          <w:rFonts w:ascii="Arial" w:cs="Arial" w:eastAsia="Arial" w:hAnsi="Arial"/>
          <w:sz w:val="22"/>
          <w:szCs w:val="22"/>
        </w:rPr>
        <w:t xml:space="preserve">Members with fewer than 4 weeks of data are excluded from predictions and flagged separately as insufficient history.</w:t>
      </w:r>
    </w:p>
    <w:p>
      <w:pPr>
        <w:pStyle w:val="Heading3"/>
        <w:spacing w:before="200" w:after="80"/>
      </w:pPr>
      <w:r>
        <w:rPr>
          <w:rFonts w:ascii="Arial" w:cs="Arial" w:eastAsia="Arial" w:hAnsi="Arial"/>
          <w:b/>
          <w:bCs/>
          <w:color w:val="444444"/>
          <w:sz w:val="22"/>
          <w:szCs w:val="22"/>
        </w:rPr>
        <w:t xml:space="preserve">Cybersecurity</w:t>
      </w:r>
    </w:p>
    <w:p>
      <w:pPr>
        <w:pStyle w:val="ListParagraph"/>
        <w:numPr>
          <w:ilvl w:val="0"/>
          <w:numId w:val="2"/>
        </w:numPr>
        <w:spacing w:after="80"/>
      </w:pPr>
      <w:r>
        <w:rPr>
          <w:rFonts w:ascii="Arial" w:cs="Arial" w:eastAsia="Arial" w:hAnsi="Arial"/>
          <w:sz w:val="22"/>
          <w:szCs w:val="22"/>
        </w:rPr>
        <w:t xml:space="preserve">No PII stored in model training data. Member IDs are pseudonymised before processing.</w:t>
      </w:r>
    </w:p>
    <w:p>
      <w:pPr>
        <w:pStyle w:val="ListParagraph"/>
        <w:numPr>
          <w:ilvl w:val="0"/>
          <w:numId w:val="2"/>
        </w:numPr>
        <w:spacing w:after="80"/>
      </w:pPr>
      <w:r>
        <w:rPr>
          <w:rFonts w:ascii="Arial" w:cs="Arial" w:eastAsia="Arial" w:hAnsi="Arial"/>
          <w:sz w:val="22"/>
          <w:szCs w:val="22"/>
        </w:rPr>
        <w:t xml:space="preserve">API keys stored in .env files, never committed to version control.</w:t>
      </w:r>
    </w:p>
    <w:p>
      <w:pPr>
        <w:pStyle w:val="ListParagraph"/>
        <w:numPr>
          <w:ilvl w:val="0"/>
          <w:numId w:val="2"/>
        </w:numPr>
        <w:spacing w:after="80"/>
      </w:pPr>
      <w:r>
        <w:rPr>
          <w:rFonts w:ascii="Arial" w:cs="Arial" w:eastAsia="Arial" w:hAnsi="Arial"/>
          <w:sz w:val="22"/>
          <w:szCs w:val="22"/>
        </w:rPr>
        <w:t xml:space="preserve">Fitbit OAuth tokens stored locally, not transmitted to third parties beyond the Fitbit API.</w:t>
      </w:r>
    </w:p>
    <w:p>
      <w:pPr>
        <w:pStyle w:val="Heading2"/>
        <w:spacing w:before="280" w:after="100"/>
      </w:pPr>
      <w:r>
        <w:rPr>
          <w:rFonts w:ascii="Arial" w:cs="Arial" w:eastAsia="Arial" w:hAnsi="Arial"/>
          <w:b/>
          <w:bCs/>
          <w:color w:val="2E6DA4"/>
          <w:sz w:val="26"/>
          <w:szCs w:val="26"/>
        </w:rPr>
        <w:t xml:space="preserve">4.4 Conformity Assessment Summary</w:t>
      </w:r>
    </w:p>
    <w:p>
      <w:pPr>
        <w:spacing w:after="120"/>
      </w:pPr>
      <w:r>
        <w:rPr>
          <w:rFonts w:ascii="Arial" w:cs="Arial" w:eastAsia="Arial" w:hAnsi="Arial"/>
          <w:sz w:val="22"/>
          <w:szCs w:val="22"/>
        </w:rPr>
        <w:t xml:space="preserve">System name: AI Early Warning System - Member Churn Prediction</w:t>
      </w:r>
    </w:p>
    <w:p>
      <w:pPr>
        <w:spacing w:after="120"/>
      </w:pPr>
      <w:r>
        <w:rPr>
          <w:rFonts w:ascii="Arial" w:cs="Arial" w:eastAsia="Arial" w:hAnsi="Arial"/>
          <w:sz w:val="22"/>
          <w:szCs w:val="22"/>
        </w:rPr>
        <w:t xml:space="preserve">Provider: Dina Bosma (AI consultant)</w:t>
      </w:r>
    </w:p>
    <w:p>
      <w:pPr>
        <w:spacing w:after="120"/>
      </w:pPr>
      <w:r>
        <w:rPr>
          <w:rFonts w:ascii="Arial" w:cs="Arial" w:eastAsia="Arial" w:hAnsi="Arial"/>
          <w:sz w:val="22"/>
          <w:szCs w:val="22"/>
        </w:rPr>
        <w:t xml:space="preserve">Deployer: Boutique fitness studio (owner-operator)</w:t>
      </w:r>
    </w:p>
    <w:p>
      <w:pPr>
        <w:spacing w:after="120"/>
      </w:pPr>
      <w:r>
        <w:rPr>
          <w:rFonts w:ascii="Arial" w:cs="Arial" w:eastAsia="Arial" w:hAnsi="Arial"/>
          <w:sz w:val="22"/>
          <w:szCs w:val="22"/>
        </w:rPr>
        <w:t xml:space="preserve">Version: 1.0 (pilot)</w:t>
      </w:r>
    </w:p>
    <w:p>
      <w:pPr>
        <w:spacing w:after="120"/>
      </w:pPr>
      <w:r>
        <w:rPr>
          <w:rFonts w:ascii="Arial" w:cs="Arial" w:eastAsia="Arial" w:hAnsi="Arial"/>
          <w:sz w:val="22"/>
          <w:szCs w:val="22"/>
        </w:rPr>
        <w:t xml:space="preserve">Date: March 2026</w:t>
      </w:r>
    </w:p>
    <w:p>
      <w:pPr>
        <w:spacing w:after="120"/>
      </w:pPr>
      <w:r>
        <w:rPr>
          <w:rFonts w:ascii="Arial" w:cs="Arial" w:eastAsia="Arial" w:hAnsi="Arial"/>
          <w:sz w:val="22"/>
          <w:szCs w:val="22"/>
        </w:rPr>
        <w:t xml:space="preserve">Risk class: Limited Risk (Article 50 EU AI Act)</w:t>
      </w:r>
    </w:p>
    <w:p>
      <w:pPr>
        <w:spacing w:after="120"/>
      </w:pPr>
      <w:r>
        <w:rPr>
          <w:rFonts w:ascii="Arial" w:cs="Arial" w:eastAsia="Arial" w:hAnsi="Arial"/>
          <w:sz w:val="22"/>
          <w:szCs w:val="22"/>
        </w:rPr>
        <w:t xml:space="preserve">Basis for classification: The system classifies individual gym members as low, medium, or high dropout risk using behavioural data from visit history and optional wearable signals. Outputs influence but do not determine coach actions. No autonomous decisions are made. The system does not meet any Annex III high-risk criteria. Article 50 transparency obligations apply.</w:t>
      </w:r>
    </w:p>
    <w:p>
      <w:pPr>
        <w:spacing w:after="120"/>
      </w:pPr>
      <w:r>
        <w:rPr>
          <w:rFonts w:ascii="Arial" w:cs="Arial" w:eastAsia="Arial" w:hAnsi="Arial"/>
          <w:sz w:val="22"/>
          <w:szCs w:val="22"/>
        </w:rPr>
        <w:t xml:space="preserve">Applicable obligations and how the design addresses them:</w:t>
      </w:r>
    </w:p>
    <w:p>
      <w:pPr>
        <w:pStyle w:val="ListParagraph"/>
        <w:numPr>
          <w:ilvl w:val="0"/>
          <w:numId w:val="2"/>
        </w:numPr>
        <w:spacing w:after="80"/>
      </w:pPr>
      <w:r>
        <w:rPr>
          <w:rFonts w:ascii="Arial" w:cs="Arial" w:eastAsia="Arial" w:hAnsi="Arial"/>
          <w:sz w:val="22"/>
          <w:szCs w:val="22"/>
        </w:rPr>
        <w:t xml:space="preserve">Transparency: Every AI recommendation includes the specific behavioural signals that triggered it. Coaches are informed they are using an AI tool. Members are informed via privacy notice.</w:t>
      </w:r>
    </w:p>
    <w:p>
      <w:pPr>
        <w:pStyle w:val="ListParagraph"/>
        <w:numPr>
          <w:ilvl w:val="0"/>
          <w:numId w:val="2"/>
        </w:numPr>
        <w:spacing w:after="80"/>
      </w:pPr>
      <w:r>
        <w:rPr>
          <w:rFonts w:ascii="Arial" w:cs="Arial" w:eastAsia="Arial" w:hAnsi="Arial"/>
          <w:sz w:val="22"/>
          <w:szCs w:val="22"/>
        </w:rPr>
        <w:t xml:space="preserve">Human oversight: No automated actions. All recommendations reviewed by a coach before any member contact occurs.</w:t>
      </w:r>
    </w:p>
    <w:p>
      <w:pPr>
        <w:pStyle w:val="ListParagraph"/>
        <w:numPr>
          <w:ilvl w:val="0"/>
          <w:numId w:val="2"/>
        </w:numPr>
        <w:spacing w:after="80"/>
      </w:pPr>
      <w:r>
        <w:rPr>
          <w:rFonts w:ascii="Arial" w:cs="Arial" w:eastAsia="Arial" w:hAnsi="Arial"/>
          <w:sz w:val="22"/>
          <w:szCs w:val="22"/>
        </w:rPr>
        <w:t xml:space="preserve">Accuracy: 82% validated accuracy on real workout data. LangSmith quality monitoring active for all LLM outputs.</w:t>
      </w:r>
    </w:p>
    <w:p>
      <w:pPr>
        <w:pStyle w:val="ListParagraph"/>
        <w:numPr>
          <w:ilvl w:val="0"/>
          <w:numId w:val="2"/>
        </w:numPr>
        <w:spacing w:after="80"/>
      </w:pPr>
      <w:r>
        <w:rPr>
          <w:rFonts w:ascii="Arial" w:cs="Arial" w:eastAsia="Arial" w:hAnsi="Arial"/>
          <w:sz w:val="22"/>
          <w:szCs w:val="22"/>
        </w:rPr>
        <w:t xml:space="preserve">Audit trail: LangSmith logs every query, context, output, and quality score. Accessible to studio management.</w:t>
      </w:r>
    </w:p>
    <w:p>
      <w:pPr>
        <w:spacing w:after="120"/>
      </w:pPr>
      <w:r>
        <w:rPr>
          <w:rFonts w:ascii="Arial" w:cs="Arial" w:eastAsia="Arial" w:hAnsi="Arial"/>
          <w:sz w:val="22"/>
          <w:szCs w:val="22"/>
        </w:rPr>
        <w:t xml:space="preserve">Identified gaps and resolution plan:</w:t>
      </w:r>
    </w:p>
    <w:p>
      <w:pPr>
        <w:pStyle w:val="ListParagraph"/>
        <w:numPr>
          <w:ilvl w:val="0"/>
          <w:numId w:val="2"/>
        </w:numPr>
        <w:spacing w:after="80"/>
      </w:pPr>
      <w:r>
        <w:rPr>
          <w:rFonts w:ascii="Arial" w:cs="Arial" w:eastAsia="Arial" w:hAnsi="Arial"/>
          <w:sz w:val="22"/>
          <w:szCs w:val="22"/>
        </w:rPr>
        <w:t xml:space="preserve">Token-level energy measurement not yet implemented. Planned: read LangSmith token logs after each run and track tokens per R as energy proxy.</w:t>
      </w:r>
    </w:p>
    <w:p>
      <w:pPr>
        <w:pStyle w:val="ListParagraph"/>
        <w:numPr>
          <w:ilvl w:val="0"/>
          <w:numId w:val="2"/>
        </w:numPr>
        <w:spacing w:after="80"/>
      </w:pPr>
      <w:r>
        <w:rPr>
          <w:rFonts w:ascii="Arial" w:cs="Arial" w:eastAsia="Arial" w:hAnsi="Arial"/>
          <w:sz w:val="22"/>
          <w:szCs w:val="22"/>
        </w:rPr>
        <w:t xml:space="preserve">Wearable consent gate has been designed and documented but has not yet been tested with live Fitbit data in a real studio context. To be validated during the pilot phase.</w:t>
      </w:r>
    </w:p>
    <w:p>
      <w:pPr>
        <w:pStyle w:val="ListParagraph"/>
        <w:numPr>
          <w:ilvl w:val="0"/>
          <w:numId w:val="2"/>
        </w:numPr>
        <w:spacing w:after="80"/>
      </w:pPr>
      <w:r>
        <w:rPr>
          <w:rFonts w:ascii="Arial" w:cs="Arial" w:eastAsia="Arial" w:hAnsi="Arial"/>
          <w:sz w:val="22"/>
          <w:szCs w:val="22"/>
        </w:rPr>
        <w:t xml:space="preserve">Model trained on 2015 to 2016 Endomondo data with synthetic recency. Will require retraining on actual studio data after 6 to 8 weeks of pilot data collection.</w:t>
      </w:r>
    </w:p>
    <w:p>
      <w:pPr>
        <w:pStyle w:val="Heading2"/>
        <w:spacing w:before="280" w:after="100"/>
      </w:pPr>
      <w:r>
        <w:rPr>
          <w:rFonts w:ascii="Arial" w:cs="Arial" w:eastAsia="Arial" w:hAnsi="Arial"/>
          <w:b/>
          <w:bCs/>
          <w:color w:val="2E6DA4"/>
          <w:sz w:val="26"/>
          <w:szCs w:val="26"/>
        </w:rPr>
        <w:t xml:space="preserve">4.5 Technical Documentation Outline</w:t>
      </w:r>
    </w:p>
    <w:p>
      <w:pPr>
        <w:spacing w:after="120"/>
      </w:pPr>
      <w:r>
        <w:rPr>
          <w:rFonts w:ascii="Arial" w:cs="Arial" w:eastAsia="Arial" w:hAnsi="Arial"/>
          <w:sz w:val="22"/>
          <w:szCs w:val="22"/>
        </w:rPr>
        <w:t xml:space="preserve">The following is the table of contents for the full technical documentation package. Individual documents are not included in this capstone submission but would be produced before production deployment.</w:t>
      </w:r>
    </w:p>
    <w:p>
      <w:pPr>
        <w:pStyle w:val="ListParagraph"/>
        <w:numPr>
          <w:ilvl w:val="0"/>
          <w:numId w:val="2"/>
        </w:numPr>
        <w:spacing w:after="80"/>
      </w:pPr>
      <w:r>
        <w:rPr>
          <w:rFonts w:ascii="Arial" w:cs="Arial" w:eastAsia="Arial" w:hAnsi="Arial"/>
          <w:sz w:val="22"/>
          <w:szCs w:val="22"/>
        </w:rPr>
        <w:t xml:space="preserve">1. System description and intended purpose</w:t>
      </w:r>
    </w:p>
    <w:p>
      <w:pPr>
        <w:pStyle w:val="ListParagraph"/>
        <w:numPr>
          <w:ilvl w:val="0"/>
          <w:numId w:val="2"/>
        </w:numPr>
        <w:spacing w:after="80"/>
      </w:pPr>
      <w:r>
        <w:rPr>
          <w:rFonts w:ascii="Arial" w:cs="Arial" w:eastAsia="Arial" w:hAnsi="Arial"/>
          <w:sz w:val="22"/>
          <w:szCs w:val="22"/>
        </w:rPr>
        <w:t xml:space="preserve">2. Scope, use context, and out-of-scope boundaries</w:t>
      </w:r>
    </w:p>
    <w:p>
      <w:pPr>
        <w:pStyle w:val="ListParagraph"/>
        <w:numPr>
          <w:ilvl w:val="0"/>
          <w:numId w:val="2"/>
        </w:numPr>
        <w:spacing w:after="80"/>
      </w:pPr>
      <w:r>
        <w:rPr>
          <w:rFonts w:ascii="Arial" w:cs="Arial" w:eastAsia="Arial" w:hAnsi="Arial"/>
          <w:sz w:val="22"/>
          <w:szCs w:val="22"/>
        </w:rPr>
        <w:t xml:space="preserve">3. Training data documentation and provenance (Endomondo dataset, gym_churn_us.csv)</w:t>
      </w:r>
    </w:p>
    <w:p>
      <w:pPr>
        <w:pStyle w:val="ListParagraph"/>
        <w:numPr>
          <w:ilvl w:val="0"/>
          <w:numId w:val="2"/>
        </w:numPr>
        <w:spacing w:after="80"/>
      </w:pPr>
      <w:r>
        <w:rPr>
          <w:rFonts w:ascii="Arial" w:cs="Arial" w:eastAsia="Arial" w:hAnsi="Arial"/>
          <w:sz w:val="22"/>
          <w:szCs w:val="22"/>
        </w:rPr>
        <w:t xml:space="preserve">4. Model architecture: logistic regression, feature engineering, five input features</w:t>
      </w:r>
    </w:p>
    <w:p>
      <w:pPr>
        <w:pStyle w:val="ListParagraph"/>
        <w:numPr>
          <w:ilvl w:val="0"/>
          <w:numId w:val="2"/>
        </w:numPr>
        <w:spacing w:after="80"/>
      </w:pPr>
      <w:r>
        <w:rPr>
          <w:rFonts w:ascii="Arial" w:cs="Arial" w:eastAsia="Arial" w:hAnsi="Arial"/>
          <w:sz w:val="22"/>
          <w:szCs w:val="22"/>
        </w:rPr>
        <w:t xml:space="preserve">5. Validation results: accuracy, precision, recall, F1, confusion matrix on held-out test data</w:t>
      </w:r>
    </w:p>
    <w:p>
      <w:pPr>
        <w:pStyle w:val="ListParagraph"/>
        <w:numPr>
          <w:ilvl w:val="0"/>
          <w:numId w:val="2"/>
        </w:numPr>
        <w:spacing w:after="80"/>
      </w:pPr>
      <w:r>
        <w:rPr>
          <w:rFonts w:ascii="Arial" w:cs="Arial" w:eastAsia="Arial" w:hAnsi="Arial"/>
          <w:sz w:val="22"/>
          <w:szCs w:val="22"/>
        </w:rPr>
        <w:t xml:space="preserve">6. LLM component: prompt design, model choice, temperature settings, quality evaluation methodology</w:t>
      </w:r>
    </w:p>
    <w:p>
      <w:pPr>
        <w:pStyle w:val="ListParagraph"/>
        <w:numPr>
          <w:ilvl w:val="0"/>
          <w:numId w:val="2"/>
        </w:numPr>
        <w:spacing w:after="80"/>
      </w:pPr>
      <w:r>
        <w:rPr>
          <w:rFonts w:ascii="Arial" w:cs="Arial" w:eastAsia="Arial" w:hAnsi="Arial"/>
          <w:sz w:val="22"/>
          <w:szCs w:val="22"/>
        </w:rPr>
        <w:t xml:space="preserve">7. Human oversight design and decision boundaries</w:t>
      </w:r>
    </w:p>
    <w:p>
      <w:pPr>
        <w:pStyle w:val="ListParagraph"/>
        <w:numPr>
          <w:ilvl w:val="0"/>
          <w:numId w:val="2"/>
        </w:numPr>
        <w:spacing w:after="80"/>
      </w:pPr>
      <w:r>
        <w:rPr>
          <w:rFonts w:ascii="Arial" w:cs="Arial" w:eastAsia="Arial" w:hAnsi="Arial"/>
          <w:sz w:val="22"/>
          <w:szCs w:val="22"/>
        </w:rPr>
        <w:t xml:space="preserve">8. Logging and audit trail architecture (LangSmith)</w:t>
      </w:r>
    </w:p>
    <w:p>
      <w:pPr>
        <w:pStyle w:val="ListParagraph"/>
        <w:numPr>
          <w:ilvl w:val="0"/>
          <w:numId w:val="2"/>
        </w:numPr>
        <w:spacing w:after="80"/>
      </w:pPr>
      <w:r>
        <w:rPr>
          <w:rFonts w:ascii="Arial" w:cs="Arial" w:eastAsia="Arial" w:hAnsi="Arial"/>
          <w:sz w:val="22"/>
          <w:szCs w:val="22"/>
        </w:rPr>
        <w:t xml:space="preserve">9. Known limitations and failure modes</w:t>
      </w:r>
    </w:p>
    <w:p>
      <w:pPr>
        <w:pStyle w:val="ListParagraph"/>
        <w:numPr>
          <w:ilvl w:val="0"/>
          <w:numId w:val="2"/>
        </w:numPr>
        <w:spacing w:after="80"/>
      </w:pPr>
      <w:r>
        <w:rPr>
          <w:rFonts w:ascii="Arial" w:cs="Arial" w:eastAsia="Arial" w:hAnsi="Arial"/>
          <w:sz w:val="22"/>
          <w:szCs w:val="22"/>
        </w:rPr>
        <w:t xml:space="preserve">10. Update and retraining procedure</w:t>
      </w:r>
    </w:p>
    <w:p>
      <w:pPr>
        <w:pStyle w:val="ListParagraph"/>
        <w:numPr>
          <w:ilvl w:val="0"/>
          <w:numId w:val="2"/>
        </w:numPr>
        <w:spacing w:after="80"/>
      </w:pPr>
      <w:r>
        <w:rPr>
          <w:rFonts w:ascii="Arial" w:cs="Arial" w:eastAsia="Arial" w:hAnsi="Arial"/>
          <w:sz w:val="22"/>
          <w:szCs w:val="22"/>
        </w:rPr>
        <w:t xml:space="preserve">11. GDPR alignment summary</w:t>
      </w:r>
    </w:p>
    <w:p>
      <w:pPr>
        <w:pStyle w:val="ListParagraph"/>
        <w:numPr>
          <w:ilvl w:val="0"/>
          <w:numId w:val="2"/>
        </w:numPr>
        <w:spacing w:after="80"/>
      </w:pPr>
      <w:r>
        <w:rPr>
          <w:rFonts w:ascii="Arial" w:cs="Arial" w:eastAsia="Arial" w:hAnsi="Arial"/>
          <w:sz w:val="22"/>
          <w:szCs w:val="22"/>
        </w:rPr>
        <w:t xml:space="preserve">12. Green software assessment and energy proxy measurement plan</w:t>
      </w:r>
    </w:p>
    <w:p>
      <w:r>
        <w:br w:type="page"/>
      </w:r>
    </w:p>
    <w:p>
      <w:pPr>
        <w:pStyle w:val="Heading1"/>
        <w:spacing w:before="360" w:after="120"/>
      </w:pPr>
      <w:r>
        <w:rPr>
          <w:rFonts w:ascii="Arial" w:cs="Arial" w:eastAsia="Arial" w:hAnsi="Arial"/>
          <w:b/>
          <w:bCs/>
          <w:color w:val="1A3C5E"/>
          <w:sz w:val="32"/>
          <w:szCs w:val="32"/>
        </w:rPr>
        <w:t xml:space="preserve">5. GDPR Documentation</w:t>
      </w:r>
    </w:p>
    <w:p>
      <w:pPr>
        <w:spacing w:after="120"/>
      </w:pPr>
      <w:r>
        <w:rPr>
          <w:rFonts w:ascii="Arial" w:cs="Arial" w:eastAsia="Arial" w:hAnsi="Arial"/>
          <w:sz w:val="22"/>
          <w:szCs w:val="22"/>
        </w:rPr>
        <w:t xml:space="preserve">File: compliance/gdpr_documentation.md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5.1 Data Flow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Where it goes</w:t>
            </w:r>
          </w:p>
        </w:tc>
        <w:tc>
          <w:tcPr>
            <w:tcW w:type="dxa" w:w="18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Processed by</w:t>
            </w:r>
          </w:p>
        </w:tc>
        <w:tc>
          <w:tcPr>
            <w:tcW w:type="dxa" w:w="16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Stored where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visit history (pseudonymised IDs, visit dates, session 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 booking system CSV 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pipeline, churn model, LangSmith context block</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Python script, OpenAI API</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filesystem, LangSmith EU endpoint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Wearable activity data (active minutes, steps - no raw heart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Fitbit API via OAuth 2.0 (consent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Consent gate check, then churn model if consent = true</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Fitbit servers, local script only</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filesystem only - never sent to OpenAI</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AI-generated insights (aggregated, no individual names)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LangChain agent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Slack alert, monthly briefing PDF</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API, n8n</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EU endpoint, local filesystem</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evaluation logs (query, output, quality scores)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review by studio management</w:t>
            </w:r>
          </w:p>
        </w:tc>
        <w:tc>
          <w:tcPr>
            <w:tcW w:type="dxa" w:w="1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EU endpoint</w:t>
            </w:r>
          </w:p>
        </w:tc>
        <w:tc>
          <w:tcPr>
            <w:tcW w:type="dxa" w:w="16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EU servers</w:t>
            </w:r>
          </w:p>
        </w:tc>
      </w:tr>
    </w:tbl>
    <w:p>
      <w:pPr>
        <w:pStyle w:val="Heading2"/>
        <w:spacing w:before="280" w:after="100"/>
      </w:pPr>
      <w:r>
        <w:rPr>
          <w:rFonts w:ascii="Arial" w:cs="Arial" w:eastAsia="Arial" w:hAnsi="Arial"/>
          <w:b/>
          <w:bCs/>
          <w:color w:val="2E6DA4"/>
          <w:sz w:val="26"/>
          <w:szCs w:val="26"/>
        </w:rPr>
        <w:t xml:space="preserve">5.2 Processing Activities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Legal basis</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Retention</w:t>
            </w:r>
          </w:p>
        </w:tc>
        <w:tc>
          <w:tcPr>
            <w:tcW w:type="dxa" w:w="1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Third-party recipients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visit 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Churn risk classification and coach alerting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interest (Article 6(1)(f)) - studio has legitimate interest in retaining members; processing is proportionate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Duration of membership plus 30 days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API (statistical summaries only, no individual IDs)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Wearable activity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enhancement of churn risk signals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Explicit consent (Article 9(2)(a)) - required for health-adjacent special category data. Consent is granular and separate from visit history consent.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Until consent withdrawal, then deleted within 30 days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 never transmitted beyond local script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insight logs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monitoring and audit trail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Legitimate interest - aggregated business intelligence, no individual-level output stored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months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(EU endpoint)</w:t>
            </w:r>
          </w:p>
        </w:tc>
      </w:tr>
    </w:tbl>
    <w:p>
      <w:pPr>
        <w:spacing w:after="120"/>
        <w:ind w:left="360"/>
      </w:pPr>
      <w:r>
        <w:rPr>
          <w:rFonts w:ascii="Arial" w:cs="Arial" w:eastAsia="Arial" w:hAnsi="Arial"/>
          <w:i/>
          <w:iCs/>
          <w:color w:val="666666"/>
          <w:sz w:val="20"/>
          <w:szCs w:val="20"/>
        </w:rPr>
        <w:t xml:space="preserve">Legal basis note: Wearable data is health-adjacent and may qualify as special category data under GDPR Article 9. Legitimate interest is not sufficient for Article 9 data. Explicit opt-in consent is required and is the only valid basis used here.</w:t>
      </w:r>
    </w:p>
    <w:p>
      <w:pPr>
        <w:pStyle w:val="Heading2"/>
        <w:spacing w:before="280" w:after="100"/>
      </w:pPr>
      <w:r>
        <w:rPr>
          <w:rFonts w:ascii="Arial" w:cs="Arial" w:eastAsia="Arial" w:hAnsi="Arial"/>
          <w:b/>
          <w:bCs/>
          <w:color w:val="2E6DA4"/>
          <w:sz w:val="26"/>
          <w:szCs w:val="26"/>
        </w:rPr>
        <w:t xml:space="preserve">5.3 Data Protection Impact Assessment (DPIA)</w:t>
      </w:r>
    </w:p>
    <w:p>
      <w:pPr>
        <w:spacing w:after="120"/>
      </w:pPr>
      <w:r>
        <w:rPr>
          <w:rFonts w:ascii="Arial" w:cs="Arial" w:eastAsia="Arial" w:hAnsi="Arial"/>
          <w:sz w:val="22"/>
          <w:szCs w:val="22"/>
        </w:rPr>
        <w:t xml:space="preserve">Highest-risk processing activity: wearable activity data processing via Fitbit API.</w:t>
      </w:r>
    </w:p>
    <w:p>
      <w:pPr>
        <w:pStyle w:val="Heading3"/>
        <w:spacing w:before="200" w:after="80"/>
      </w:pPr>
      <w:r>
        <w:rPr>
          <w:rFonts w:ascii="Arial" w:cs="Arial" w:eastAsia="Arial" w:hAnsi="Arial"/>
          <w:b/>
          <w:bCs/>
          <w:color w:val="444444"/>
          <w:sz w:val="22"/>
          <w:szCs w:val="22"/>
        </w:rPr>
        <w:t xml:space="preserve">Description of processing</w:t>
      </w:r>
    </w:p>
    <w:p>
      <w:pPr>
        <w:spacing w:after="120"/>
      </w:pPr>
      <w:r>
        <w:rPr>
          <w:rFonts w:ascii="Arial" w:cs="Arial" w:eastAsia="Arial" w:hAnsi="Arial"/>
          <w:sz w:val="22"/>
          <w:szCs w:val="22"/>
        </w:rPr>
        <w:t xml:space="preserve">Fitbit activity data is fetched via OAuth 2.0 for members who have given explicit consent. Aggregated signals (very active minutes per day above 20 minutes, steps) are used as additional features in the churn risk model. These signals serve as a proxy for workout detection. Raw heart rate data is not processed. Raw GPS data is excluded entirely.</w:t>
      </w:r>
    </w:p>
    <w:p>
      <w:pPr>
        <w:pStyle w:val="Heading3"/>
        <w:spacing w:before="200" w:after="80"/>
      </w:pPr>
      <w:r>
        <w:rPr>
          <w:rFonts w:ascii="Arial" w:cs="Arial" w:eastAsia="Arial" w:hAnsi="Arial"/>
          <w:b/>
          <w:bCs/>
          <w:color w:val="444444"/>
          <w:sz w:val="22"/>
          <w:szCs w:val="22"/>
        </w:rPr>
        <w:t xml:space="preserve">Necessity and proportionality</w:t>
      </w:r>
    </w:p>
    <w:p>
      <w:pPr>
        <w:spacing w:after="120"/>
      </w:pPr>
      <w:r>
        <w:rPr>
          <w:rFonts w:ascii="Arial" w:cs="Arial" w:eastAsia="Arial" w:hAnsi="Arial"/>
          <w:sz w:val="22"/>
          <w:szCs w:val="22"/>
        </w:rPr>
        <w:t xml:space="preserve">Is wearable data necessary for the core service? No. Check-in data alone achieves 82% model accuracy. Wearable data is an optional enhancement for members who choose to share it. The data minimisation principle is satisfied: only the minimum signals needed for workout detection are used. No biometric identifiers are processed or stored.</w:t>
      </w:r>
    </w:p>
    <w:p>
      <w:pPr>
        <w:pStyle w:val="Heading3"/>
        <w:spacing w:before="200" w:after="80"/>
      </w:pPr>
      <w:r>
        <w:rPr>
          <w:rFonts w:ascii="Arial" w:cs="Arial" w:eastAsia="Arial" w:hAnsi="Arial"/>
          <w:b/>
          <w:bCs/>
          <w:color w:val="444444"/>
          <w:sz w:val="22"/>
          <w:szCs w:val="22"/>
        </w:rPr>
        <w:t xml:space="preserve">Risks to data subjects</w:t>
      </w:r>
    </w:p>
    <w:p>
      <w:pPr>
        <w:pStyle w:val="ListParagraph"/>
        <w:numPr>
          <w:ilvl w:val="0"/>
          <w:numId w:val="2"/>
        </w:numPr>
        <w:spacing w:after="80"/>
      </w:pPr>
      <w:r>
        <w:rPr>
          <w:rFonts w:ascii="Arial" w:cs="Arial" w:eastAsia="Arial" w:hAnsi="Arial"/>
          <w:sz w:val="22"/>
          <w:szCs w:val="22"/>
        </w:rPr>
        <w:t xml:space="preserve">A member could be flagged as high dropout risk based partly on reduced wearable activity during a period of illness or injury, leading to unwanted coach contact at a sensitive time. Risk is rated low because coach review is always required before any outreach occurs.</w:t>
      </w:r>
    </w:p>
    <w:p>
      <w:pPr>
        <w:pStyle w:val="ListParagraph"/>
        <w:numPr>
          <w:ilvl w:val="0"/>
          <w:numId w:val="2"/>
        </w:numPr>
        <w:spacing w:after="80"/>
      </w:pPr>
      <w:r>
        <w:rPr>
          <w:rFonts w:ascii="Arial" w:cs="Arial" w:eastAsia="Arial" w:hAnsi="Arial"/>
          <w:sz w:val="22"/>
          <w:szCs w:val="22"/>
        </w:rPr>
        <w:t xml:space="preserve">Unauthorised access to wearable data if OAuth tokens are compromised. Risk is rated low: tokens stored locally only, not in cloud databases or transmitted to third parties.</w:t>
      </w:r>
    </w:p>
    <w:p>
      <w:pPr>
        <w:pStyle w:val="Heading3"/>
        <w:spacing w:before="200" w:after="80"/>
      </w:pPr>
      <w:r>
        <w:rPr>
          <w:rFonts w:ascii="Arial" w:cs="Arial" w:eastAsia="Arial" w:hAnsi="Arial"/>
          <w:b/>
          <w:bCs/>
          <w:color w:val="444444"/>
          <w:sz w:val="22"/>
          <w:szCs w:val="22"/>
        </w:rPr>
        <w:t xml:space="preserve">Mitigation measures</w:t>
      </w:r>
    </w:p>
    <w:p>
      <w:pPr>
        <w:pStyle w:val="ListParagraph"/>
        <w:numPr>
          <w:ilvl w:val="0"/>
          <w:numId w:val="2"/>
        </w:numPr>
        <w:spacing w:after="80"/>
      </w:pPr>
      <w:r>
        <w:rPr>
          <w:rFonts w:ascii="Arial" w:cs="Arial" w:eastAsia="Arial" w:hAnsi="Arial"/>
          <w:sz w:val="22"/>
          <w:szCs w:val="22"/>
        </w:rPr>
        <w:t xml:space="preserve">Explicit consent required and documented before any Fitbit data is accessed.</w:t>
      </w:r>
    </w:p>
    <w:p>
      <w:pPr>
        <w:pStyle w:val="ListParagraph"/>
        <w:numPr>
          <w:ilvl w:val="0"/>
          <w:numId w:val="2"/>
        </w:numPr>
        <w:spacing w:after="80"/>
      </w:pPr>
      <w:r>
        <w:rPr>
          <w:rFonts w:ascii="Arial" w:cs="Arial" w:eastAsia="Arial" w:hAnsi="Arial"/>
          <w:sz w:val="22"/>
          <w:szCs w:val="22"/>
        </w:rPr>
        <w:t xml:space="preserve">Member can withdraw consent at any time. Processing stops immediately and local data is deleted within 30 days.</w:t>
      </w:r>
    </w:p>
    <w:p>
      <w:pPr>
        <w:pStyle w:val="ListParagraph"/>
        <w:numPr>
          <w:ilvl w:val="0"/>
          <w:numId w:val="2"/>
        </w:numPr>
        <w:spacing w:after="80"/>
      </w:pPr>
      <w:r>
        <w:rPr>
          <w:rFonts w:ascii="Arial" w:cs="Arial" w:eastAsia="Arial" w:hAnsi="Arial"/>
          <w:sz w:val="22"/>
          <w:szCs w:val="22"/>
        </w:rPr>
        <w:t xml:space="preserve">Raw biometric data is never stored. Only aggregated daily activity signals are used.</w:t>
      </w:r>
    </w:p>
    <w:p>
      <w:pPr>
        <w:pStyle w:val="ListParagraph"/>
        <w:numPr>
          <w:ilvl w:val="0"/>
          <w:numId w:val="2"/>
        </w:numPr>
        <w:spacing w:after="80"/>
      </w:pPr>
      <w:r>
        <w:rPr>
          <w:rFonts w:ascii="Arial" w:cs="Arial" w:eastAsia="Arial" w:hAnsi="Arial"/>
          <w:sz w:val="22"/>
          <w:szCs w:val="22"/>
        </w:rPr>
        <w:t xml:space="preserve">Wearable signals are treated as supplementary features, not determinative. The coach makes the final decision on any outreach.</w:t>
      </w:r>
    </w:p>
    <w:p>
      <w:pPr>
        <w:pStyle w:val="ListParagraph"/>
        <w:numPr>
          <w:ilvl w:val="0"/>
          <w:numId w:val="2"/>
        </w:numPr>
        <w:spacing w:after="80"/>
      </w:pPr>
      <w:r>
        <w:rPr>
          <w:rFonts w:ascii="Arial" w:cs="Arial" w:eastAsia="Arial" w:hAnsi="Arial"/>
          <w:sz w:val="22"/>
          <w:szCs w:val="22"/>
        </w:rPr>
        <w:t xml:space="preserve">OAuth tokens stored in local .env files only, not in version control, not in cloud databases.</w:t>
      </w:r>
    </w:p>
    <w:p>
      <w:pPr>
        <w:pStyle w:val="Heading3"/>
        <w:spacing w:before="200" w:after="80"/>
      </w:pPr>
      <w:r>
        <w:rPr>
          <w:rFonts w:ascii="Arial" w:cs="Arial" w:eastAsia="Arial" w:hAnsi="Arial"/>
          <w:b/>
          <w:bCs/>
          <w:color w:val="444444"/>
          <w:sz w:val="22"/>
          <w:szCs w:val="22"/>
        </w:rPr>
        <w:t xml:space="preserve">Residual risk rating</w:t>
      </w:r>
    </w:p>
    <w:p>
      <w:pPr>
        <w:spacing w:after="120"/>
      </w:pPr>
      <w:r>
        <w:rPr>
          <w:rFonts w:ascii="Arial" w:cs="Arial" w:eastAsia="Arial" w:hAnsi="Arial"/>
          <w:sz w:val="22"/>
          <w:szCs w:val="22"/>
        </w:rPr>
        <w:t xml:space="preserve">Low. The mitigations adequately address the identified risks. The most significant residual risk is the potential for unwanted contact during illness or injury, which is addressed by the human-in-the-loop requirement.</w:t>
      </w:r>
    </w:p>
    <w:p>
      <w:pPr>
        <w:pStyle w:val="Heading2"/>
        <w:spacing w:before="280" w:after="100"/>
      </w:pPr>
      <w:r>
        <w:rPr>
          <w:rFonts w:ascii="Arial" w:cs="Arial" w:eastAsia="Arial" w:hAnsi="Arial"/>
          <w:b/>
          <w:bCs/>
          <w:color w:val="2E6DA4"/>
          <w:sz w:val="26"/>
          <w:szCs w:val="26"/>
        </w:rPr>
        <w:t xml:space="preserve">5.4 Data Subject Rights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Right</w:t>
            </w:r>
          </w:p>
        </w:tc>
        <w:tc>
          <w:tcPr>
            <w:tcW w:type="dxa" w:w="677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How the system supports it</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of access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requests a copy of all data held. Studio provides CSV export of visit history. LangSmith logs can be filtered by pseudonymised member ID and shared on request.</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erasure</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ID and associated records deleted from local filesystem and LangSmith within 30 days of request. Wearable OAuth token revoked immediately.</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rectification</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 history corrections made in the source booking system. Pipeline re-run with corrected data within 48 hours.</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portability</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Visit history exportable as CSV on request.</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Right to object</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 can object to AI-driven retention analysis at any time. Their data is excluded from model input and briefings going forward. This does not affect their membership status.</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 22 (automated decisions)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applicable in its strict form. No automated decisions are made. All outputs are recommendations reviewed by a human coach before any action is taken.</w:t>
            </w:r>
          </w:p>
        </w:tc>
      </w:tr>
    </w:tbl>
    <w:p>
      <w:pPr>
        <w:pStyle w:val="Heading2"/>
        <w:spacing w:before="280" w:after="100"/>
      </w:pPr>
      <w:r>
        <w:rPr>
          <w:rFonts w:ascii="Arial" w:cs="Arial" w:eastAsia="Arial" w:hAnsi="Arial"/>
          <w:b/>
          <w:bCs/>
          <w:color w:val="2E6DA4"/>
          <w:sz w:val="26"/>
          <w:szCs w:val="26"/>
        </w:rPr>
        <w:t xml:space="preserve">5.5 Third-Party Data Transfers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What is sent</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Legal mechanism</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Data location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OpenAI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summaries only: group averages, counts, percentages. No individual names, no member 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Standard Contractual Clauses (SCCs)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(OpenAI infrastructure)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text, AI output text, quality scores. No individual member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endpoint configured - data stays in EU</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(LangSmith EU region)</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Fitbit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 token exchange only. Data flows from Fitbit to local script, not the reverse.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OAuth 2.0 with member explicit consent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Fitbit US servers to local filesystem only</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Cloud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Pseudonymised member IDs, days inactive, sessions per week for alert formatting.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SCCs (n8n Cloud EU region selected)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EU (n8n Cloud EU region)</w:t>
            </w:r>
          </w:p>
        </w:tc>
      </w:tr>
    </w:tbl>
    <w:p>
      <w:r>
        <w:br w:type="page"/>
      </w:r>
    </w:p>
    <w:p>
      <w:pPr>
        <w:pStyle w:val="Heading1"/>
        <w:spacing w:before="360" w:after="120"/>
      </w:pPr>
      <w:r>
        <w:rPr>
          <w:rFonts w:ascii="Arial" w:cs="Arial" w:eastAsia="Arial" w:hAnsi="Arial"/>
          <w:b/>
          <w:bCs/>
          <w:color w:val="1A3C5E"/>
          <w:sz w:val="32"/>
          <w:szCs w:val="32"/>
        </w:rPr>
        <w:t xml:space="preserve">6. Strategic Deployment and Commercialisation Plan</w:t>
      </w:r>
    </w:p>
    <w:p>
      <w:pPr>
        <w:spacing w:after="120"/>
      </w:pPr>
      <w:r>
        <w:rPr>
          <w:rFonts w:ascii="Arial" w:cs="Arial" w:eastAsia="Arial" w:hAnsi="Arial"/>
          <w:sz w:val="22"/>
          <w:szCs w:val="22"/>
        </w:rPr>
        <w:t xml:space="preserve">File: strategic_plan.md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6.1 Deployment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33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Key activities</w:t>
            </w:r>
          </w:p>
        </w:tc>
        <w:tc>
          <w:tcPr>
            <w:tcW w:type="dxa" w:w="33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Milestone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POC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1-6</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n8n workflow, dashboard, LangChain agent, LangSmith evaluation all live. One pilot studio in Berlin, direct membership model, no USC dependency. Data via CSV export. Monthly briefing generated manually.</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confirmed coach action taken based on AI alert.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Pilot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7-14</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to five studios in Berlin. Consent gate added for wearable data. Weekly n8n trigger replaces daily. Batched LLM calls reduce token use by approx. 80%. Monthly briefing PDF delivered to studio owner. Weekly Slack digest to coaches.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Documented churn reduction in at least one studio compared to same period prior year.</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Full deployment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15-26</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 or more studios. Automated CSV ingestion. Briefings generated automatically. LangSmith quality gate: briefings below 0.80 flagged for human review before delivery.</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 or more studios on recurring monthly plan.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 7+</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discussions with one gym management platform (Mindbody or Glofox). White-label option for fitness industry consultants. Model retraining on accumulated real studio data.</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platform integration agreement or white-label client.</w:t>
            </w:r>
          </w:p>
        </w:tc>
      </w:tr>
    </w:tbl>
    <w:p>
      <w:pPr>
        <w:pStyle w:val="Heading2"/>
        <w:spacing w:before="280" w:after="100"/>
      </w:pPr>
      <w:r>
        <w:rPr>
          <w:rFonts w:ascii="Arial" w:cs="Arial" w:eastAsia="Arial" w:hAnsi="Arial"/>
          <w:b/>
          <w:bCs/>
          <w:color w:val="2E6DA4"/>
          <w:sz w:val="26"/>
          <w:szCs w:val="26"/>
        </w:rPr>
        <w:t xml:space="preserve">6.2 Go-to-Market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5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77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 buyers</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Owner-operators of boutique fitness studios in Berlin. 50 to 200 direct members. No heavy USC or Gympass dependency. Coaching-led model. Owner knows every member personally.</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Sales channel</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and in-person via existing fitness community networks. No cold outreach. First clients via personal coaching network. Word of mouth within the tight-knit Berlin boutique fitness community.</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model</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consulting service: 250 to 400 EUR per studio per month for the monthly retention briefing. One-time setup fee: 500 to 1,000 EUR for data audit and configuration.</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differentiator</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explains why members are flagged, not just that they are. LangSmith audit trail satisfies GDPR accountability requirements. Built by a coach with 5 years of domain expertise. Existing tools (Mindbody, Glofox) do not provide explanations or GDPR-ready audit trails.</w:t>
            </w:r>
          </w:p>
        </w:tc>
      </w:tr>
      <w:tr>
        <w:trPr>
          <w:tblHeader w:val="false"/>
        </w:trPr>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Competitive moat</w:t>
            </w:r>
          </w:p>
        </w:tc>
        <w:tc>
          <w:tcPr>
            <w:tcW w:type="dxa" w:w="67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expertise (coach perspective baked into features), compliance-by-design (consent gate, audit trail), and validated on real data (167,783 workout sessions). Most comparable tools are US-built with no EU compliance consideration.</w:t>
            </w:r>
          </w:p>
        </w:tc>
      </w:tr>
    </w:tbl>
    <w:p>
      <w:pPr>
        <w:pStyle w:val="Heading2"/>
        <w:spacing w:before="280" w:after="100"/>
      </w:pPr>
      <w:r>
        <w:rPr>
          <w:rFonts w:ascii="Arial" w:cs="Arial" w:eastAsia="Arial" w:hAnsi="Arial"/>
          <w:b/>
          <w:bCs/>
          <w:color w:val="2E6DA4"/>
          <w:sz w:val="26"/>
          <w:szCs w:val="26"/>
        </w:rPr>
        <w:t xml:space="preserve">6.3 Stakeholder Communication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What they need to know</w:t>
            </w:r>
          </w:p>
        </w:tc>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2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Who communicates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Studio owner / CEO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ROI case, what data is used and why, GDPR compliance status, EU AI Act classification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Before sign-up</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Dina (consultant)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Head coach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to read the Slack alert, what to do when a member is flagged, that recommendations are advisory not mandatory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 session</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Dina (consultant)</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Members (data subjects)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notice: visit data used for retention analysis, opt-in required for wearable data, right to object at any 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sign-up or next renewal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Studio owner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or DPA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 processing register, DPIA, data subject rights procedure, EU AI Act conformity assessment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request</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Dina and studio owner jointly</w:t>
            </w:r>
          </w:p>
        </w:tc>
      </w:tr>
    </w:tbl>
    <w:p>
      <w:pPr>
        <w:pStyle w:val="Heading2"/>
        <w:spacing w:before="280" w:after="100"/>
      </w:pPr>
      <w:r>
        <w:rPr>
          <w:rFonts w:ascii="Arial" w:cs="Arial" w:eastAsia="Arial" w:hAnsi="Arial"/>
          <w:b/>
          <w:bCs/>
          <w:color w:val="2E6DA4"/>
          <w:sz w:val="26"/>
          <w:szCs w:val="26"/>
        </w:rPr>
        <w:t xml:space="preserve">6.4 KPIs per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8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KPIs</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1</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workflow runs without errors. LangSmith score above 0.85. At least one coach action taken per week based on AI alert.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churn rate tracked against pre-deployment baseline. Token cost per R (per briefing) below 0.10 EUR. At least 3 studios active on recurring plan.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Documented churn reduction for at least one studio compared to same period prior year. Briefing generation fully automated. 10 or more studios on recurring monthly plan.</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Phase 4</w:t>
            </w:r>
          </w:p>
        </w:tc>
        <w:tc>
          <w:tcPr>
            <w:tcW w:type="dxa" w:w="7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platform integration live or first white-label agreement signed. Model retrained on real studio data with accuracy maintained above 80%.</w:t>
            </w:r>
          </w:p>
        </w:tc>
      </w:tr>
    </w:tbl>
    <w:p>
      <w:pPr>
        <w:pStyle w:val="Heading2"/>
        <w:spacing w:before="280" w:after="100"/>
      </w:pPr>
      <w:r>
        <w:rPr>
          <w:rFonts w:ascii="Arial" w:cs="Arial" w:eastAsia="Arial" w:hAnsi="Arial"/>
          <w:b/>
          <w:bCs/>
          <w:color w:val="2E6DA4"/>
          <w:sz w:val="26"/>
          <w:szCs w:val="26"/>
        </w:rPr>
        <w:t xml:space="preserve">6.5 Commercialisation Model</w:t>
      </w:r>
    </w:p>
    <w:p>
      <w:pPr>
        <w:spacing w:after="120"/>
      </w:pPr>
      <w:r>
        <w:rPr>
          <w:rFonts w:ascii="Arial" w:cs="Arial" w:eastAsia="Arial" w:hAnsi="Arial"/>
          <w:sz w:val="22"/>
          <w:szCs w:val="22"/>
        </w:rPr>
        <w:t xml:space="preserve">Model: consulting service, not SaaS.</w:t>
      </w:r>
    </w:p>
    <w:p>
      <w:pPr>
        <w:spacing w:after="120"/>
      </w:pPr>
      <w:r>
        <w:rPr>
          <w:rFonts w:ascii="Arial" w:cs="Arial" w:eastAsia="Arial" w:hAnsi="Arial"/>
          <w:sz w:val="22"/>
          <w:szCs w:val="22"/>
        </w:rPr>
        <w:t xml:space="preserve">Justification: No engineering team is available to maintain a software product at this stage. The Berlin boutique fitness market is relationship-driven, not self-serve. Regulatory complexity under GDPR and the EU AI Act makes human-in-the-loop consulting more appropriate than automated SaaS during the pilot phase. Studio owners in this segment trust people, not platforms, especially when data privacy is involved.</w:t>
      </w:r>
    </w:p>
    <w:p>
      <w:pPr>
        <w:spacing w:after="120"/>
      </w:pPr>
      <w:r>
        <w:rPr>
          <w:rFonts w:ascii="Arial" w:cs="Arial" w:eastAsia="Arial" w:hAnsi="Arial"/>
          <w:sz w:val="22"/>
          <w:szCs w:val="22"/>
        </w:rPr>
        <w:t xml:space="preserve">Transition path: a SaaS product is a Phase 4 consideration once pilot data validates the model on real studio data and a track record of compliance-aware delivery has been established.</w:t>
      </w:r>
    </w:p>
    <w:p>
      <w:r>
        <w:br w:type="page"/>
      </w:r>
    </w:p>
    <w:p>
      <w:pPr>
        <w:pStyle w:val="Heading1"/>
        <w:spacing w:before="360" w:after="120"/>
      </w:pPr>
      <w:r>
        <w:rPr>
          <w:rFonts w:ascii="Arial" w:cs="Arial" w:eastAsia="Arial" w:hAnsi="Arial"/>
          <w:b/>
          <w:bCs/>
          <w:color w:val="1A3C5E"/>
          <w:sz w:val="32"/>
          <w:szCs w:val="32"/>
        </w:rPr>
        <w:t xml:space="preserve">7. Green Tech Assessment</w:t>
      </w:r>
    </w:p>
    <w:p>
      <w:pPr>
        <w:spacing w:after="120"/>
      </w:pPr>
      <w:r>
        <w:rPr>
          <w:rFonts w:ascii="Arial" w:cs="Arial" w:eastAsia="Arial" w:hAnsi="Arial"/>
          <w:sz w:val="22"/>
          <w:szCs w:val="22"/>
        </w:rPr>
        <w:t xml:space="preserve">Path B (retrofit audit of existing system). Artifact: Project 5 fitness churn prediction system.</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7.1 Functional Unit (R)</w:t>
      </w:r>
    </w:p>
    <w:p>
      <w:pPr>
        <w:spacing w:after="120"/>
      </w:pPr>
      <w:r>
        <w:rPr>
          <w:rFonts w:ascii="Arial" w:cs="Arial" w:eastAsia="Arial" w:hAnsi="Arial"/>
          <w:sz w:val="22"/>
          <w:szCs w:val="22"/>
        </w:rPr>
        <w:t xml:space="preserve">One unit of value for this system is: one monthly retention briefing delivered to one studio, covering churn risk scores for all members, revenue at risk, and prioritised coach actions.</w:t>
      </w:r>
    </w:p>
    <w:p>
      <w:pPr>
        <w:spacing w:after="120"/>
      </w:pPr>
      <w:r>
        <w:rPr>
          <w:rFonts w:ascii="Arial" w:cs="Arial" w:eastAsia="Arial" w:hAnsi="Arial"/>
          <w:sz w:val="22"/>
          <w:szCs w:val="22"/>
        </w:rPr>
        <w:t xml:space="preserve">All measurements in this assessment are relative to one R. This is the SCI framing: energy and carbon are assessed per useful output, not in total.</w:t>
      </w:r>
    </w:p>
    <w:p>
      <w:pPr>
        <w:pStyle w:val="Heading2"/>
        <w:spacing w:before="280" w:after="100"/>
      </w:pPr>
      <w:r>
        <w:rPr>
          <w:rFonts w:ascii="Arial" w:cs="Arial" w:eastAsia="Arial" w:hAnsi="Arial"/>
          <w:b/>
          <w:bCs/>
          <w:color w:val="2E6DA4"/>
          <w:sz w:val="26"/>
          <w:szCs w:val="26"/>
        </w:rPr>
        <w:t xml:space="preserve">7.2 Hotspot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Hotspot</w:t>
            </w:r>
          </w:p>
        </w:tc>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4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sequential LLM calls, each resending full context block</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of the 12 calls sends approx. 500 input tokens of identical context. 6,000 tokens transmitted for work achievable with one context injection and batched questions. Estimated total per run: approx. 7,800 tokens.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re-runs all 12 queries live for evaluation</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High - avoidable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monitoring_setup.py calls run_agent() for each of 12 evaluation examples, generating 12 additional live LLM calls. Reference outputs already exist in insights_generated.json but are not used for comparison. Doubles compute per evaluation cycle for no quality gain.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firing daily for a monthly service</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runs every weekday: 260 executions per year per studio. For a monthly briefing service, 259 runs produce no actionable new output. Trigger cadence misaligned with service cadence.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with no data caching</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sz w:val="20"/>
                <w:szCs w:val="20"/>
              </w:rPr>
              <w:t xml:space="preserve">Low now, medium at scale</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Plotly/Dash reloads both datasets on every page refresh. Negligible at one studio. Material at 10 or more studios with concurrent users.</w:t>
            </w:r>
          </w:p>
        </w:tc>
      </w:tr>
    </w:tbl>
    <w:p>
      <w:pPr>
        <w:pStyle w:val="Heading2"/>
        <w:spacing w:before="280" w:after="100"/>
      </w:pPr>
      <w:r>
        <w:rPr>
          <w:rFonts w:ascii="Arial" w:cs="Arial" w:eastAsia="Arial" w:hAnsi="Arial"/>
          <w:b/>
          <w:bCs/>
          <w:color w:val="2E6DA4"/>
          <w:sz w:val="26"/>
          <w:szCs w:val="26"/>
        </w:rPr>
        <w:t xml:space="preserve">7.3 Honest Assumptions</w:t>
      </w:r>
    </w:p>
    <w:p>
      <w:pPr>
        <w:pStyle w:val="ListParagraph"/>
        <w:numPr>
          <w:ilvl w:val="0"/>
          <w:numId w:val="2"/>
        </w:numPr>
        <w:spacing w:after="80"/>
      </w:pPr>
      <w:r>
        <w:rPr>
          <w:rFonts w:ascii="Arial" w:cs="Arial" w:eastAsia="Arial" w:hAnsi="Arial"/>
          <w:sz w:val="22"/>
          <w:szCs w:val="22"/>
        </w:rPr>
        <w:t xml:space="preserve">Region and grid intensity: OpenAI routes to US data centres by default. US average grid carbon intensity is approximately 0.4 kgCO2/kWh versus approximately 0.2 kgCO2/kWh for EU West regions. This is assumed, not verified - OpenAI does not publish per-region routing data.</w:t>
      </w:r>
    </w:p>
    <w:p>
      <w:pPr>
        <w:pStyle w:val="ListParagraph"/>
        <w:numPr>
          <w:ilvl w:val="0"/>
          <w:numId w:val="2"/>
        </w:numPr>
        <w:spacing w:after="80"/>
      </w:pPr>
      <w:r>
        <w:rPr>
          <w:rFonts w:ascii="Arial" w:cs="Arial" w:eastAsia="Arial" w:hAnsi="Arial"/>
          <w:sz w:val="22"/>
          <w:szCs w:val="22"/>
        </w:rPr>
        <w:t xml:space="preserve">Token counts: estimated at approximately 500 input plus 150 output per LLM call, giving roughly 7,800 tokens per full briefing run. LangSmith logs actual token counts per run - this is the next step to verify.</w:t>
      </w:r>
    </w:p>
    <w:p>
      <w:pPr>
        <w:pStyle w:val="ListParagraph"/>
        <w:numPr>
          <w:ilvl w:val="0"/>
          <w:numId w:val="2"/>
        </w:numPr>
        <w:spacing w:after="80"/>
      </w:pPr>
      <w:r>
        <w:rPr>
          <w:rFonts w:ascii="Arial" w:cs="Arial" w:eastAsia="Arial" w:hAnsi="Arial"/>
          <w:sz w:val="22"/>
          <w:szCs w:val="22"/>
        </w:rPr>
        <w:t xml:space="preserve">Model energy per token: GPT-4o-mini is one of the smaller hosted models. Whether it is the lowest-energy option among available GPT models is unknown. OpenAI does not publish per-model energy figures.</w:t>
      </w:r>
    </w:p>
    <w:p>
      <w:pPr>
        <w:pStyle w:val="ListParagraph"/>
        <w:numPr>
          <w:ilvl w:val="0"/>
          <w:numId w:val="2"/>
        </w:numPr>
        <w:spacing w:after="80"/>
      </w:pPr>
      <w:r>
        <w:rPr>
          <w:rFonts w:ascii="Arial" w:cs="Arial" w:eastAsia="Arial" w:hAnsi="Arial"/>
          <w:sz w:val="22"/>
          <w:szCs w:val="22"/>
        </w:rPr>
        <w:t xml:space="preserve">Idle infrastructure: n8n Cloud and LangSmith run continuously. Their idle draw is not attributable to individual runs and is not included in this assessment.</w:t>
      </w:r>
    </w:p>
    <w:p>
      <w:pPr>
        <w:pStyle w:val="Heading2"/>
        <w:spacing w:before="280" w:after="100"/>
      </w:pPr>
      <w:r>
        <w:rPr>
          <w:rFonts w:ascii="Arial" w:cs="Arial" w:eastAsia="Arial" w:hAnsi="Arial"/>
          <w:b/>
          <w:bCs/>
          <w:color w:val="2E6DA4"/>
          <w:sz w:val="26"/>
          <w:szCs w:val="26"/>
        </w:rPr>
        <w:t xml:space="preserve">7.4 GSF Pillars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Pillar</w:t>
            </w:r>
          </w:p>
        </w:tc>
        <w:tc>
          <w:tcPr>
            <w:tcW w:type="dxa" w:w="72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Where it appears in this system</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Carbon</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LLM calls routed to US infrastructure. Grid carbon intensity approximately double EU West. Reducing call count directly reduces carbon per R.</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Energy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Repeated context injection wastes energy per call. 500 tokens of identical context sent 12 times when once would suffice.</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n8n workflow executing 260 times per year for a service producing one useful output per month. 259 unnecessary server-side executions.</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Measurement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LangSmith already logs token counts per run. This data exists and is not currently used as an energy proxy metric. No new tooling required to start measuring.</w:t>
            </w:r>
          </w:p>
        </w:tc>
      </w:tr>
    </w:tbl>
    <w:p>
      <w:pPr>
        <w:pStyle w:val="Heading2"/>
        <w:spacing w:before="280" w:after="100"/>
      </w:pPr>
      <w:r>
        <w:rPr>
          <w:rFonts w:ascii="Arial" w:cs="Arial" w:eastAsia="Arial" w:hAnsi="Arial"/>
          <w:b/>
          <w:bCs/>
          <w:color w:val="2E6DA4"/>
          <w:sz w:val="26"/>
          <w:szCs w:val="26"/>
        </w:rPr>
        <w:t xml:space="preserve">7.5 Four GSF-Aligned Improvements</w:t>
      </w:r>
    </w:p>
    <w:p>
      <w:pPr>
        <w:pStyle w:val="Heading3"/>
        <w:spacing w:before="200" w:after="80"/>
      </w:pPr>
      <w:r>
        <w:rPr>
          <w:rFonts w:ascii="Arial" w:cs="Arial" w:eastAsia="Arial" w:hAnsi="Arial"/>
          <w:b/>
          <w:bCs/>
          <w:color w:val="444444"/>
          <w:sz w:val="22"/>
          <w:szCs w:val="22"/>
        </w:rPr>
        <w:t xml:space="preserve">Improvement 1: Batch all 12 queries into one LLM call</w:t>
      </w:r>
    </w:p>
    <w:p>
      <w:pPr>
        <w:spacing w:after="120"/>
      </w:pPr>
      <w:r>
        <w:rPr>
          <w:rFonts w:ascii="Arial" w:cs="Arial" w:eastAsia="Arial" w:hAnsi="Arial"/>
          <w:sz w:val="22"/>
          <w:szCs w:val="22"/>
        </w:rPr>
        <w:t xml:space="preserve">Pillar: Energy, Carbon. Change: rewrite agent.py to send one API call with all 12 questions listed sequentially. Context block sent once. One structured response returned with 12 answers. Expected outcome: approximately 80% reduction in input tokens per briefing run. Pattern: Batch Processing (Green Software Patterns catalog).</w:t>
      </w:r>
    </w:p>
    <w:p>
      <w:pPr>
        <w:pStyle w:val="Heading3"/>
        <w:spacing w:before="200" w:after="80"/>
      </w:pPr>
      <w:r>
        <w:rPr>
          <w:rFonts w:ascii="Arial" w:cs="Arial" w:eastAsia="Arial" w:hAnsi="Arial"/>
          <w:b/>
          <w:bCs/>
          <w:color w:val="444444"/>
          <w:sz w:val="22"/>
          <w:szCs w:val="22"/>
        </w:rPr>
        <w:t xml:space="preserve">Improvement 2: Use cached outputs for LangSmith evaluation</w:t>
      </w:r>
    </w:p>
    <w:p>
      <w:pPr>
        <w:spacing w:after="120"/>
      </w:pPr>
      <w:r>
        <w:rPr>
          <w:rFonts w:ascii="Arial" w:cs="Arial" w:eastAsia="Arial" w:hAnsi="Arial"/>
          <w:sz w:val="22"/>
          <w:szCs w:val="22"/>
        </w:rPr>
        <w:t xml:space="preserve">Pillar: Energy, Hardware. Change: modify monitoring_setup.py to compare insights_generated.json (cached outputs) against reference outputs using the LLM-as-judge, instead of re-running the agent live. Expected outcome: eliminates 12 additional LLM calls per evaluation cycle entirely.</w:t>
      </w:r>
    </w:p>
    <w:p>
      <w:pPr>
        <w:pStyle w:val="Heading3"/>
        <w:spacing w:before="200" w:after="80"/>
      </w:pPr>
      <w:r>
        <w:rPr>
          <w:rFonts w:ascii="Arial" w:cs="Arial" w:eastAsia="Arial" w:hAnsi="Arial"/>
          <w:b/>
          <w:bCs/>
          <w:color w:val="444444"/>
          <w:sz w:val="22"/>
          <w:szCs w:val="22"/>
        </w:rPr>
        <w:t xml:space="preserve">Improvement 3: Change n8n trigger from daily to weekly or on-demand</w:t>
      </w:r>
    </w:p>
    <w:p>
      <w:pPr>
        <w:spacing w:after="120"/>
      </w:pPr>
      <w:r>
        <w:rPr>
          <w:rFonts w:ascii="Arial" w:cs="Arial" w:eastAsia="Arial" w:hAnsi="Arial"/>
          <w:sz w:val="22"/>
          <w:szCs w:val="22"/>
        </w:rPr>
        <w:t xml:space="preserve">Pillar: Hardware, Energy. Change: switch schedule trigger from 0 8 * * 1-5 (weekdays) to 0 8 * * 1 (weekly Monday) or replace with a webhook triggered manually. Expected outcome: reduces workflow executions from 260 to 52 per year per studio, an 80% reduction with no loss of service quality.</w:t>
      </w:r>
    </w:p>
    <w:p>
      <w:pPr>
        <w:pStyle w:val="Heading3"/>
        <w:spacing w:before="200" w:after="80"/>
      </w:pPr>
      <w:r>
        <w:rPr>
          <w:rFonts w:ascii="Arial" w:cs="Arial" w:eastAsia="Arial" w:hAnsi="Arial"/>
          <w:b/>
          <w:bCs/>
          <w:color w:val="444444"/>
          <w:sz w:val="22"/>
          <w:szCs w:val="22"/>
        </w:rPr>
        <w:t xml:space="preserve">Improvement 4: Use LangSmith token logs as energy proxy metric</w:t>
      </w:r>
    </w:p>
    <w:p>
      <w:pPr>
        <w:spacing w:after="120"/>
      </w:pPr>
      <w:r>
        <w:rPr>
          <w:rFonts w:ascii="Arial" w:cs="Arial" w:eastAsia="Arial" w:hAnsi="Arial"/>
          <w:sz w:val="22"/>
          <w:szCs w:val="22"/>
        </w:rPr>
        <w:t xml:space="preserve">Pillar: Measurement. Change: read token count fields already logged by LangSmith after each run. Track total tokens per R as the baseline. Set a budget threshold: if tokens per R exceed the threshold, flag for review. Expected outcome: a concrete, trackable proxy metric for energy per unit of value. No new tooling required.</w:t>
      </w:r>
    </w:p>
    <w:p>
      <w:pPr>
        <w:pStyle w:val="Heading2"/>
        <w:spacing w:before="280" w:after="100"/>
      </w:pPr>
      <w:r>
        <w:rPr>
          <w:rFonts w:ascii="Arial" w:cs="Arial" w:eastAsia="Arial" w:hAnsi="Arial"/>
          <w:b/>
          <w:bCs/>
          <w:color w:val="2E6DA4"/>
          <w:sz w:val="26"/>
          <w:szCs w:val="26"/>
        </w:rPr>
        <w:t xml:space="preserve">7.6 Measurement Plan</w:t>
      </w:r>
    </w:p>
    <w:p>
      <w:pPr>
        <w:spacing w:after="120"/>
      </w:pPr>
      <w:r>
        <w:rPr>
          <w:rFonts w:ascii="Arial" w:cs="Arial" w:eastAsia="Arial" w:hAnsi="Arial"/>
          <w:sz w:val="22"/>
          <w:szCs w:val="22"/>
        </w:rPr>
        <w:t xml:space="preserve">Track the following per R for two weeks after implementing improvements: total input tokens, total output tokens, number of LLM API calls, n8n workflow executions triggered, live LangSmith evaluation calls.</w:t>
      </w:r>
    </w:p>
    <w:p>
      <w:pPr>
        <w:spacing w:after="120"/>
      </w:pPr>
      <w:r>
        <w:rPr>
          <w:rFonts w:ascii="Arial" w:cs="Arial" w:eastAsia="Arial" w:hAnsi="Arial"/>
          <w:sz w:val="22"/>
          <w:szCs w:val="22"/>
        </w:rPr>
        <w:t xml:space="preserve">Success looks like: tokens per R drops by at least 60% after batching queries. n8n executions drop from approximately 20 per month to 4 (weekly trigger). Live LangSmith evaluation calls drop to zero.</w:t>
      </w:r>
    </w:p>
    <w:p>
      <w:pPr>
        <w:pStyle w:val="Heading2"/>
        <w:spacing w:before="280" w:after="100"/>
      </w:pPr>
      <w:r>
        <w:rPr>
          <w:rFonts w:ascii="Arial" w:cs="Arial" w:eastAsia="Arial" w:hAnsi="Arial"/>
          <w:b/>
          <w:bCs/>
          <w:color w:val="2E6DA4"/>
          <w:sz w:val="26"/>
          <w:szCs w:val="26"/>
        </w:rPr>
        <w:t xml:space="preserve">7.7 Caveats</w:t>
      </w:r>
    </w:p>
    <w:p>
      <w:pPr>
        <w:spacing w:after="120"/>
      </w:pPr>
      <w:r>
        <w:rPr>
          <w:rFonts w:ascii="Arial" w:cs="Arial" w:eastAsia="Arial" w:hAnsi="Arial"/>
          <w:sz w:val="22"/>
          <w:szCs w:val="22"/>
        </w:rPr>
        <w:t xml:space="preserve">This system is not carbon neutral and this assessment does not make that claim. At current pilot scale, one studio, one monthly briefing run, the absolute energy impact is small. The improvements above are proportionally significant and represent good engineering practice, but they are not the difference between a harmful and a safe system at this scale.</w:t>
      </w:r>
    </w:p>
    <w:p>
      <w:pPr>
        <w:spacing w:after="120"/>
      </w:pPr>
      <w:r>
        <w:rPr>
          <w:rFonts w:ascii="Arial" w:cs="Arial" w:eastAsia="Arial" w:hAnsi="Arial"/>
          <w:sz w:val="22"/>
          <w:szCs w:val="22"/>
        </w:rPr>
        <w:t xml:space="preserve">No carbon offset claims are made. Offsets are not equivalent to emissions reductions and are not included in SCI-style assessments.</w:t>
      </w:r>
    </w:p>
    <w:p>
      <w:pPr>
        <w:spacing w:after="120"/>
      </w:pPr>
      <w:r>
        <w:rPr>
          <w:rFonts w:ascii="Arial" w:cs="Arial" w:eastAsia="Arial" w:hAnsi="Arial"/>
          <w:sz w:val="22"/>
          <w:szCs w:val="22"/>
        </w:rPr>
        <w:t xml:space="preserve">The value of applying green software thinking at this stage is building measurement infrastructure before the system scales to 10 or 50 studios, where the numbers become material.</w:t>
      </w:r>
    </w:p>
    <w:p>
      <w:r>
        <w:br w:type="page"/>
      </w:r>
    </w:p>
    <w:p>
      <w:pPr>
        <w:pStyle w:val="Heading1"/>
        <w:spacing w:before="360" w:after="120"/>
      </w:pPr>
      <w:r>
        <w:rPr>
          <w:rFonts w:ascii="Arial" w:cs="Arial" w:eastAsia="Arial" w:hAnsi="Arial"/>
          <w:b/>
          <w:bCs/>
          <w:color w:val="1A3C5E"/>
          <w:sz w:val="32"/>
          <w:szCs w:val="32"/>
        </w:rPr>
        <w:t xml:space="preserve">8. MVP Documentation (Stretch Deliverable)</w:t>
      </w:r>
    </w:p>
    <w:p>
      <w:pPr>
        <w:spacing w:after="120"/>
      </w:pPr>
      <w:r>
        <w:rPr>
          <w:rFonts w:ascii="Arial" w:cs="Arial" w:eastAsia="Arial" w:hAnsi="Arial"/>
          <w:sz w:val="22"/>
          <w:szCs w:val="22"/>
        </w:rPr>
        <w:t xml:space="preserve">File: mvp/mvp_documentation.md</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8.1 Architecture Overview</w:t>
      </w:r>
    </w:p>
    <w:p>
      <w:pPr>
        <w:spacing w:after="120"/>
      </w:pPr>
      <w:r>
        <w:rPr>
          <w:rFonts w:ascii="Arial" w:cs="Arial" w:eastAsia="Arial" w:hAnsi="Arial"/>
          <w:sz w:val="22"/>
          <w:szCs w:val="22"/>
        </w:rPr>
        <w:t xml:space="preserve">The MVP extends the POC (n8n workflow + dashboard) into a complete end-to-end system with the following layers:</w:t>
      </w:r>
    </w:p>
    <w:p>
      <w:pPr>
        <w:pStyle w:val="ListParagraph"/>
        <w:numPr>
          <w:ilvl w:val="0"/>
          <w:numId w:val="2"/>
        </w:numPr>
        <w:spacing w:after="80"/>
      </w:pPr>
      <w:r>
        <w:rPr>
          <w:rFonts w:ascii="Arial" w:cs="Arial" w:eastAsia="Arial" w:hAnsi="Arial"/>
          <w:sz w:val="22"/>
          <w:szCs w:val="22"/>
        </w:rPr>
        <w:t xml:space="preserve">Data ingestion: CSV export from gym booking system, fed to data pipeline script (prepare_fitness_user_metrics_from_json.py)</w:t>
      </w:r>
    </w:p>
    <w:p>
      <w:pPr>
        <w:pStyle w:val="ListParagraph"/>
        <w:numPr>
          <w:ilvl w:val="0"/>
          <w:numId w:val="2"/>
        </w:numPr>
        <w:spacing w:after="80"/>
      </w:pPr>
      <w:r>
        <w:rPr>
          <w:rFonts w:ascii="Arial" w:cs="Arial" w:eastAsia="Arial" w:hAnsi="Arial"/>
          <w:sz w:val="22"/>
          <w:szCs w:val="22"/>
        </w:rPr>
        <w:t xml:space="preserve">Feature calculation: five behavioural signals computed per member (avg_sessions_per_week, days_since_last_workout, sport_variety, duration_variability, total_sessions)</w:t>
      </w:r>
    </w:p>
    <w:p>
      <w:pPr>
        <w:pStyle w:val="ListParagraph"/>
        <w:numPr>
          <w:ilvl w:val="0"/>
          <w:numId w:val="2"/>
        </w:numPr>
        <w:spacing w:after="80"/>
      </w:pPr>
      <w:r>
        <w:rPr>
          <w:rFonts w:ascii="Arial" w:cs="Arial" w:eastAsia="Arial" w:hAnsi="Arial"/>
          <w:sz w:val="22"/>
          <w:szCs w:val="22"/>
        </w:rPr>
        <w:t xml:space="preserve">Risk classification: logistic regression model, trained on 167,783 real Endomondo workout sessions, outputs low/medium/high risk per member</w:t>
      </w:r>
    </w:p>
    <w:p>
      <w:pPr>
        <w:pStyle w:val="ListParagraph"/>
        <w:numPr>
          <w:ilvl w:val="0"/>
          <w:numId w:val="2"/>
        </w:numPr>
        <w:spacing w:after="80"/>
      </w:pPr>
      <w:r>
        <w:rPr>
          <w:rFonts w:ascii="Arial" w:cs="Arial" w:eastAsia="Arial" w:hAnsi="Arial"/>
          <w:sz w:val="22"/>
          <w:szCs w:val="22"/>
        </w:rPr>
        <w:t xml:space="preserve">LLM insight layer: LangChain agent (agent.py) generates 12 business insights from statistical summaries, scored by LangSmith</w:t>
      </w:r>
    </w:p>
    <w:p>
      <w:pPr>
        <w:pStyle w:val="ListParagraph"/>
        <w:numPr>
          <w:ilvl w:val="0"/>
          <w:numId w:val="2"/>
        </w:numPr>
        <w:spacing w:after="80"/>
      </w:pPr>
      <w:r>
        <w:rPr>
          <w:rFonts w:ascii="Arial" w:cs="Arial" w:eastAsia="Arial" w:hAnsi="Arial"/>
          <w:sz w:val="22"/>
          <w:szCs w:val="22"/>
        </w:rPr>
        <w:t xml:space="preserve">Automation layer: n8n workflow (5 nodes including consent gate) delivers daily Slack alert to coaches</w:t>
      </w:r>
    </w:p>
    <w:p>
      <w:pPr>
        <w:pStyle w:val="ListParagraph"/>
        <w:numPr>
          <w:ilvl w:val="0"/>
          <w:numId w:val="2"/>
        </w:numPr>
        <w:spacing w:after="80"/>
      </w:pPr>
      <w:r>
        <w:rPr>
          <w:rFonts w:ascii="Arial" w:cs="Arial" w:eastAsia="Arial" w:hAnsi="Arial"/>
          <w:sz w:val="22"/>
          <w:szCs w:val="22"/>
        </w:rPr>
        <w:t xml:space="preserve">Wearable data (optional): Fitbit OAuth 2.0 integration, active for members who have given explicit consent</w:t>
      </w:r>
    </w:p>
    <w:p>
      <w:pPr>
        <w:pStyle w:val="ListParagraph"/>
        <w:numPr>
          <w:ilvl w:val="0"/>
          <w:numId w:val="2"/>
        </w:numPr>
        <w:spacing w:after="80"/>
      </w:pPr>
      <w:r>
        <w:rPr>
          <w:rFonts w:ascii="Arial" w:cs="Arial" w:eastAsia="Arial" w:hAnsi="Arial"/>
          <w:sz w:val="22"/>
          <w:szCs w:val="22"/>
        </w:rPr>
        <w:t xml:space="preserve">Visualisation: Plotly/Dash interactive dashboard (5 charts, KPI cards) and Tableau Public published workbook</w:t>
      </w:r>
    </w:p>
    <w:p>
      <w:pPr>
        <w:pStyle w:val="Heading2"/>
        <w:spacing w:before="280" w:after="100"/>
      </w:pPr>
      <w:r>
        <w:rPr>
          <w:rFonts w:ascii="Arial" w:cs="Arial" w:eastAsia="Arial" w:hAnsi="Arial"/>
          <w:b/>
          <w:bCs/>
          <w:color w:val="2E6DA4"/>
          <w:sz w:val="26"/>
          <w:szCs w:val="26"/>
        </w:rPr>
        <w:t xml:space="preserve">8.2 Setup and Installation</w:t>
      </w:r>
    </w:p>
    <w:p>
      <w:pPr>
        <w:pStyle w:val="ListParagraph"/>
        <w:numPr>
          <w:ilvl w:val="0"/>
          <w:numId w:val="2"/>
        </w:numPr>
        <w:spacing w:after="80"/>
      </w:pPr>
      <w:r>
        <w:rPr>
          <w:rFonts w:ascii="Arial" w:cs="Arial" w:eastAsia="Arial" w:hAnsi="Arial"/>
          <w:sz w:val="22"/>
          <w:szCs w:val="22"/>
        </w:rPr>
        <w:t xml:space="preserve">Clone the repository and navigate to the project folder</w:t>
      </w:r>
    </w:p>
    <w:p>
      <w:pPr>
        <w:pStyle w:val="ListParagraph"/>
        <w:numPr>
          <w:ilvl w:val="0"/>
          <w:numId w:val="2"/>
        </w:numPr>
        <w:spacing w:after="80"/>
      </w:pPr>
      <w:r>
        <w:rPr>
          <w:rFonts w:ascii="Arial" w:cs="Arial" w:eastAsia="Arial" w:hAnsi="Arial"/>
          <w:sz w:val="22"/>
          <w:szCs w:val="22"/>
        </w:rPr>
        <w:t xml:space="preserve">Create a virtual environment: python -m venv venv</w:t>
      </w:r>
    </w:p>
    <w:p>
      <w:pPr>
        <w:pStyle w:val="ListParagraph"/>
        <w:numPr>
          <w:ilvl w:val="0"/>
          <w:numId w:val="2"/>
        </w:numPr>
        <w:spacing w:after="80"/>
      </w:pPr>
      <w:r>
        <w:rPr>
          <w:rFonts w:ascii="Arial" w:cs="Arial" w:eastAsia="Arial" w:hAnsi="Arial"/>
          <w:sz w:val="22"/>
          <w:szCs w:val="22"/>
        </w:rPr>
        <w:t xml:space="preserve">Activate: source venv/bin/activate (Windows: venv/Scripts/activate)</w:t>
      </w:r>
    </w:p>
    <w:p>
      <w:pPr>
        <w:pStyle w:val="ListParagraph"/>
        <w:numPr>
          <w:ilvl w:val="0"/>
          <w:numId w:val="2"/>
        </w:numPr>
        <w:spacing w:after="80"/>
      </w:pPr>
      <w:r>
        <w:rPr>
          <w:rFonts w:ascii="Arial" w:cs="Arial" w:eastAsia="Arial" w:hAnsi="Arial"/>
          <w:sz w:val="22"/>
          <w:szCs w:val="22"/>
        </w:rPr>
        <w:t xml:space="preserve">Install dependencies: pip install -r requirements.txt</w:t>
      </w:r>
    </w:p>
    <w:p>
      <w:pPr>
        <w:pStyle w:val="ListParagraph"/>
        <w:numPr>
          <w:ilvl w:val="0"/>
          <w:numId w:val="2"/>
        </w:numPr>
        <w:spacing w:after="80"/>
      </w:pPr>
      <w:r>
        <w:rPr>
          <w:rFonts w:ascii="Arial" w:cs="Arial" w:eastAsia="Arial" w:hAnsi="Arial"/>
          <w:sz w:val="22"/>
          <w:szCs w:val="22"/>
        </w:rPr>
        <w:t xml:space="preserve">Copy .env.example to .env and fill in OPENAI_API_KEY, LANGCHAIN_API_KEY, LANGCHAIN_TRACING_V2=true, LANGCHAIN_PROJECT, LANGCHAIN_ENDPOINT (use EU endpoint: https://eu.api.smith.langchain.com)</w:t>
      </w:r>
    </w:p>
    <w:p>
      <w:pPr>
        <w:pStyle w:val="ListParagraph"/>
        <w:numPr>
          <w:ilvl w:val="0"/>
          <w:numId w:val="2"/>
        </w:numPr>
        <w:spacing w:after="80"/>
      </w:pPr>
      <w:r>
        <w:rPr>
          <w:rFonts w:ascii="Arial" w:cs="Arial" w:eastAsia="Arial" w:hAnsi="Arial"/>
          <w:sz w:val="22"/>
          <w:szCs w:val="22"/>
        </w:rPr>
        <w:t xml:space="preserve">Run data pipeline: python data/prepare_fitness_user_metrics_from_json.py</w:t>
      </w:r>
    </w:p>
    <w:p>
      <w:pPr>
        <w:pStyle w:val="ListParagraph"/>
        <w:numPr>
          <w:ilvl w:val="0"/>
          <w:numId w:val="2"/>
        </w:numPr>
        <w:spacing w:after="80"/>
      </w:pPr>
      <w:r>
        <w:rPr>
          <w:rFonts w:ascii="Arial" w:cs="Arial" w:eastAsia="Arial" w:hAnsi="Arial"/>
          <w:sz w:val="22"/>
          <w:szCs w:val="22"/>
        </w:rPr>
        <w:t xml:space="preserve">Run dashboard: python dashboard/plotly_dashboard.py (opens at http://127.0.0.1:8050)</w:t>
      </w:r>
    </w:p>
    <w:p>
      <w:pPr>
        <w:pStyle w:val="ListParagraph"/>
        <w:numPr>
          <w:ilvl w:val="0"/>
          <w:numId w:val="2"/>
        </w:numPr>
        <w:spacing w:after="80"/>
      </w:pPr>
      <w:r>
        <w:rPr>
          <w:rFonts w:ascii="Arial" w:cs="Arial" w:eastAsia="Arial" w:hAnsi="Arial"/>
          <w:sz w:val="22"/>
          <w:szCs w:val="22"/>
        </w:rPr>
        <w:t xml:space="preserve">Run agent: python agent/agent.py (generates insights_generated.json)</w:t>
      </w:r>
    </w:p>
    <w:p>
      <w:pPr>
        <w:pStyle w:val="Heading2"/>
        <w:spacing w:before="280" w:after="100"/>
      </w:pPr>
      <w:r>
        <w:rPr>
          <w:rFonts w:ascii="Arial" w:cs="Arial" w:eastAsia="Arial" w:hAnsi="Arial"/>
          <w:b/>
          <w:bCs/>
          <w:color w:val="2E6DA4"/>
          <w:sz w:val="26"/>
          <w:szCs w:val="26"/>
        </w:rPr>
        <w:t xml:space="preserve">8.3 Wearable Consent Gate: Step-by-Step Implementation</w:t>
      </w:r>
    </w:p>
    <w:p>
      <w:pPr>
        <w:spacing w:after="120"/>
      </w:pPr>
      <w:r>
        <w:rPr>
          <w:rFonts w:ascii="Arial" w:cs="Arial" w:eastAsia="Arial" w:hAnsi="Arial"/>
          <w:sz w:val="22"/>
          <w:szCs w:val="22"/>
        </w:rPr>
        <w:t xml:space="preserve">The consent gate is the new node added for this capstone. It ensures GDPR Article 9 compliance is enforced at the workflow level, not just documented.</w:t>
      </w:r>
    </w:p>
    <w:p>
      <w:pPr>
        <w:pStyle w:val="ListParagraph"/>
        <w:numPr>
          <w:ilvl w:val="0"/>
          <w:numId w:val="2"/>
        </w:numPr>
        <w:spacing w:after="80"/>
      </w:pPr>
      <w:r>
        <w:rPr>
          <w:rFonts w:ascii="Arial" w:cs="Arial" w:eastAsia="Arial" w:hAnsi="Arial"/>
          <w:sz w:val="22"/>
          <w:szCs w:val="22"/>
        </w:rPr>
        <w:t xml:space="preserve">Step 1: Open your n8n Cloud workflow at dina2.app.n8n.cloud</w:t>
      </w:r>
    </w:p>
    <w:p>
      <w:pPr>
        <w:pStyle w:val="ListParagraph"/>
        <w:numPr>
          <w:ilvl w:val="0"/>
          <w:numId w:val="2"/>
        </w:numPr>
        <w:spacing w:after="80"/>
      </w:pPr>
      <w:r>
        <w:rPr>
          <w:rFonts w:ascii="Arial" w:cs="Arial" w:eastAsia="Arial" w:hAnsi="Arial"/>
          <w:sz w:val="22"/>
          <w:szCs w:val="22"/>
        </w:rPr>
        <w:t xml:space="preserve">Step 2: Click the + button between Node 1 (Schedule Trigger) and Node 2 (Load High-Risk Members) to add a new node</w:t>
      </w:r>
    </w:p>
    <w:p>
      <w:pPr>
        <w:pStyle w:val="ListParagraph"/>
        <w:numPr>
          <w:ilvl w:val="0"/>
          <w:numId w:val="2"/>
        </w:numPr>
        <w:spacing w:after="80"/>
      </w:pPr>
      <w:r>
        <w:rPr>
          <w:rFonts w:ascii="Arial" w:cs="Arial" w:eastAsia="Arial" w:hAnsi="Arial"/>
          <w:sz w:val="22"/>
          <w:szCs w:val="22"/>
        </w:rPr>
        <w:t xml:space="preserve">Step 3: Search for and select IF node</w:t>
      </w:r>
    </w:p>
    <w:p>
      <w:pPr>
        <w:pStyle w:val="ListParagraph"/>
        <w:numPr>
          <w:ilvl w:val="0"/>
          <w:numId w:val="2"/>
        </w:numPr>
        <w:spacing w:after="80"/>
      </w:pPr>
      <w:r>
        <w:rPr>
          <w:rFonts w:ascii="Arial" w:cs="Arial" w:eastAsia="Arial" w:hAnsi="Arial"/>
          <w:sz w:val="22"/>
          <w:szCs w:val="22"/>
        </w:rPr>
        <w:t xml:space="preserve">Step 4: In the IF node conditions, set: field = consent_wearable, operator = Equal, value = true</w:t>
      </w:r>
    </w:p>
    <w:p>
      <w:pPr>
        <w:pStyle w:val="ListParagraph"/>
        <w:numPr>
          <w:ilvl w:val="0"/>
          <w:numId w:val="2"/>
        </w:numPr>
        <w:spacing w:after="80"/>
      </w:pPr>
      <w:r>
        <w:rPr>
          <w:rFonts w:ascii="Arial" w:cs="Arial" w:eastAsia="Arial" w:hAnsi="Arial"/>
          <w:sz w:val="22"/>
          <w:szCs w:val="22"/>
        </w:rPr>
        <w:t xml:space="preserve">Step 5: In the true branch (consent given): connect to an HTTP Request node that calls the Fitbit API endpoint for that member's activity data. The Fitbit OAuth token is stored in n8n credentials, not in the workflow JSON.</w:t>
      </w:r>
    </w:p>
    <w:p>
      <w:pPr>
        <w:pStyle w:val="ListParagraph"/>
        <w:numPr>
          <w:ilvl w:val="0"/>
          <w:numId w:val="2"/>
        </w:numPr>
        <w:spacing w:after="80"/>
      </w:pPr>
      <w:r>
        <w:rPr>
          <w:rFonts w:ascii="Arial" w:cs="Arial" w:eastAsia="Arial" w:hAnsi="Arial"/>
          <w:sz w:val="22"/>
          <w:szCs w:val="22"/>
        </w:rPr>
        <w:t xml:space="preserve">Step 6: In the false branch (no consent or field absent): connect directly to Node 2 (Load High-Risk Members). Member is assessed using check-in data only. Fitbit is never called.</w:t>
      </w:r>
    </w:p>
    <w:p>
      <w:pPr>
        <w:pStyle w:val="ListParagraph"/>
        <w:numPr>
          <w:ilvl w:val="0"/>
          <w:numId w:val="2"/>
        </w:numPr>
        <w:spacing w:after="80"/>
      </w:pPr>
      <w:r>
        <w:rPr>
          <w:rFonts w:ascii="Arial" w:cs="Arial" w:eastAsia="Arial" w:hAnsi="Arial"/>
          <w:sz w:val="22"/>
          <w:szCs w:val="22"/>
        </w:rPr>
        <w:t xml:space="preserve">Step 7: Test with a mock member record where consent_wearable = true. Confirm Fitbit data is fetched and the member's risk calculation includes activity signals.</w:t>
      </w:r>
    </w:p>
    <w:p>
      <w:pPr>
        <w:pStyle w:val="ListParagraph"/>
        <w:numPr>
          <w:ilvl w:val="0"/>
          <w:numId w:val="2"/>
        </w:numPr>
        <w:spacing w:after="80"/>
      </w:pPr>
      <w:r>
        <w:rPr>
          <w:rFonts w:ascii="Arial" w:cs="Arial" w:eastAsia="Arial" w:hAnsi="Arial"/>
          <w:sz w:val="22"/>
          <w:szCs w:val="22"/>
        </w:rPr>
        <w:t xml:space="preserve">Step 8: Test with a mock member record where consent_wearable = false. Confirm Fitbit is not called and the member proceeds with check-in data only.</w:t>
      </w:r>
    </w:p>
    <w:p>
      <w:pPr>
        <w:pStyle w:val="ListParagraph"/>
        <w:numPr>
          <w:ilvl w:val="0"/>
          <w:numId w:val="2"/>
        </w:numPr>
        <w:spacing w:after="80"/>
      </w:pPr>
      <w:r>
        <w:rPr>
          <w:rFonts w:ascii="Arial" w:cs="Arial" w:eastAsia="Arial" w:hAnsi="Arial"/>
          <w:sz w:val="22"/>
          <w:szCs w:val="22"/>
        </w:rPr>
        <w:t xml:space="preserve">Step 9: Export updated workflow JSON and save as poc/poc_workflow.json</w:t>
      </w:r>
    </w:p>
    <w:p>
      <w:pPr>
        <w:pStyle w:val="Heading2"/>
        <w:spacing w:before="280" w:after="100"/>
      </w:pPr>
      <w:r>
        <w:rPr>
          <w:rFonts w:ascii="Arial" w:cs="Arial" w:eastAsia="Arial" w:hAnsi="Arial"/>
          <w:b/>
          <w:bCs/>
          <w:color w:val="2E6DA4"/>
          <w:sz w:val="26"/>
          <w:szCs w:val="26"/>
        </w:rPr>
        <w:t xml:space="preserve">8.4 Known Limitations and Production Requirements</w:t>
      </w:r>
    </w:p>
    <w:p>
      <w:pPr>
        <w:pStyle w:val="ListParagraph"/>
        <w:numPr>
          <w:ilvl w:val="0"/>
          <w:numId w:val="2"/>
        </w:numPr>
        <w:spacing w:after="80"/>
      </w:pPr>
      <w:r>
        <w:rPr>
          <w:rFonts w:ascii="Arial" w:cs="Arial" w:eastAsia="Arial" w:hAnsi="Arial"/>
          <w:sz w:val="22"/>
          <w:szCs w:val="22"/>
        </w:rPr>
        <w:t xml:space="preserve">Node 2 currently uses hardcoded member data. Production requires an authenticated API connection to gym management software (Mindbody, Glofox, or similar).</w:t>
      </w:r>
    </w:p>
    <w:p>
      <w:pPr>
        <w:pStyle w:val="ListParagraph"/>
        <w:numPr>
          <w:ilvl w:val="0"/>
          <w:numId w:val="2"/>
        </w:numPr>
        <w:spacing w:after="80"/>
      </w:pPr>
      <w:r>
        <w:rPr>
          <w:rFonts w:ascii="Arial" w:cs="Arial" w:eastAsia="Arial" w:hAnsi="Arial"/>
          <w:sz w:val="22"/>
          <w:szCs w:val="22"/>
        </w:rPr>
        <w:t xml:space="preserve">LLM agent runs 12 sequential calls. Improvement 1 from the green tech assessment (batching) should be implemented before scaling beyond 3 studios.</w:t>
      </w:r>
    </w:p>
    <w:p>
      <w:pPr>
        <w:pStyle w:val="ListParagraph"/>
        <w:numPr>
          <w:ilvl w:val="0"/>
          <w:numId w:val="2"/>
        </w:numPr>
        <w:spacing w:after="80"/>
      </w:pPr>
      <w:r>
        <w:rPr>
          <w:rFonts w:ascii="Arial" w:cs="Arial" w:eastAsia="Arial" w:hAnsi="Arial"/>
          <w:sz w:val="22"/>
          <w:szCs w:val="22"/>
        </w:rPr>
        <w:t xml:space="preserve">Model trained on 2015 to 2016 Endomondo data with synthetic recency. Retraining on real studio data required after 6 to 8 weeks of pilot.</w:t>
      </w:r>
    </w:p>
    <w:p>
      <w:pPr>
        <w:pStyle w:val="ListParagraph"/>
        <w:numPr>
          <w:ilvl w:val="0"/>
          <w:numId w:val="2"/>
        </w:numPr>
        <w:spacing w:after="80"/>
      </w:pPr>
      <w:r>
        <w:rPr>
          <w:rFonts w:ascii="Arial" w:cs="Arial" w:eastAsia="Arial" w:hAnsi="Arial"/>
          <w:sz w:val="22"/>
          <w:szCs w:val="22"/>
        </w:rPr>
        <w:t xml:space="preserve">No multi-user authentication. Single studio context. Multi-studio support requires user management layer.</w:t>
      </w:r>
    </w:p>
    <w:p>
      <w:pPr>
        <w:pStyle w:val="ListParagraph"/>
        <w:numPr>
          <w:ilvl w:val="0"/>
          <w:numId w:val="2"/>
        </w:numPr>
        <w:spacing w:after="80"/>
      </w:pPr>
      <w:r>
        <w:rPr>
          <w:rFonts w:ascii="Arial" w:cs="Arial" w:eastAsia="Arial" w:hAnsi="Arial"/>
          <w:sz w:val="22"/>
          <w:szCs w:val="22"/>
        </w:rPr>
        <w:t xml:space="preserve">No automated PDF generation for monthly briefings. Currently manual export from dashboard.</w:t>
      </w:r>
    </w:p>
    <w:p>
      <w:pPr>
        <w:pStyle w:val="Heading2"/>
        <w:spacing w:before="280" w:after="100"/>
      </w:pPr>
      <w:r>
        <w:rPr>
          <w:rFonts w:ascii="Arial" w:cs="Arial" w:eastAsia="Arial" w:hAnsi="Arial"/>
          <w:b/>
          <w:bCs/>
          <w:color w:val="2E6DA4"/>
          <w:sz w:val="26"/>
          <w:szCs w:val="26"/>
        </w:rPr>
        <w:t xml:space="preserve">8.5 How the MVP Extends the POC</w:t>
      </w:r>
    </w:p>
    <w:p>
      <w:pPr>
        <w:spacing w:after="120"/>
      </w:pPr>
      <w:r>
        <w:rPr>
          <w:rFonts w:ascii="Arial" w:cs="Arial" w:eastAsia="Arial" w:hAnsi="Arial"/>
          <w:sz w:val="22"/>
          <w:szCs w:val="22"/>
        </w:rPr>
        <w:t xml:space="preserve">The POC demonstrates that the AI capability works: the n8n workflow fires, the LangSmith scores confirm quality, and the dashboard visualises the data. The MVP extends this by adding the wearable consent gate (GDPR Article 9 operationalised in the workflow), the full data pipeline from raw JSON to processed metrics, the complete LangChain agent with LangSmith monitoring, and a Fitbit OAuth integration proof of concept. Together these components demonstrate a system that a developer could pick up, extend with real studio data, and deploy into a pilot.</w:t>
      </w:r>
    </w:p>
    <w:p>
      <w:r>
        <w:br w:type="page"/>
      </w:r>
    </w:p>
    <w:p>
      <w:pPr>
        <w:pStyle w:val="Heading1"/>
        <w:spacing w:before="360" w:after="120"/>
      </w:pPr>
      <w:r>
        <w:rPr>
          <w:rFonts w:ascii="Arial" w:cs="Arial" w:eastAsia="Arial" w:hAnsi="Arial"/>
          <w:b/>
          <w:bCs/>
          <w:color w:val="1A3C5E"/>
          <w:sz w:val="32"/>
          <w:szCs w:val="32"/>
        </w:rPr>
        <w:t xml:space="preserve">9. Submission Checklist</w:t>
      </w:r>
    </w:p>
    <w:p>
      <w:pPr>
        <w:pBdr>
          <w:bottom w:val="single" w:color="DDDDDD" w:sz="4" w:space="1"/>
        </w:pBdr>
        <w:spacing w:before="200" w:after="200"/>
      </w:pPr>
    </w:p>
    <w:p>
      <w:pPr>
        <w:pStyle w:val="Heading2"/>
        <w:spacing w:before="280" w:after="100"/>
      </w:pPr>
      <w:r>
        <w:rPr>
          <w:rFonts w:ascii="Arial" w:cs="Arial" w:eastAsia="Arial" w:hAnsi="Arial"/>
          <w:b/>
          <w:bCs/>
          <w:color w:val="2E6DA4"/>
          <w:sz w:val="26"/>
          <w:szCs w:val="26"/>
        </w:rPr>
        <w:t xml:space="preserve">Core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use_case_definition.md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1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poc/poc_documentation.md + poc_workflow.json</w:t>
            </w:r>
          </w:p>
        </w:tc>
        <w:tc>
          <w:tcPr>
            <w:tcW w:type="dxa" w:w="451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sz w:val="20"/>
                <w:szCs w:val="20"/>
              </w:rPr>
              <w:t xml:space="preserve">Documentation complete - Section 2. Workflow JSON to be exported from n8n before submission.</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recording (2-5 minutes)</w:t>
            </w:r>
          </w:p>
        </w:tc>
        <w:tc>
          <w:tcPr>
            <w:tcW w:type="dxa" w:w="451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To be recorded: 3 min showing n8n workflow running, Slack alert, Plotly dashboard. Add link to poc_documentation.md.</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roi_risk_assessment.md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3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compliance/eu_ai_act_compliance.md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4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compliance/gdpr_documentation.md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5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strategic_plan.md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6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green_tech_assessment.md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7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presentation.pdf / .pptx</w:t>
            </w:r>
          </w:p>
        </w:tc>
        <w:tc>
          <w:tcPr>
            <w:tcW w:type="dxa" w:w="451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To be created using 10-slide structure from project brief. Content available in all sections above.</w:t>
            </w:r>
          </w:p>
        </w:tc>
      </w:tr>
    </w:tbl>
    <w:p>
      <w:pPr>
        <w:pStyle w:val="Heading2"/>
        <w:spacing w:before="280" w:after="100"/>
      </w:pPr>
      <w:r>
        <w:rPr>
          <w:rFonts w:ascii="Arial" w:cs="Arial" w:eastAsia="Arial" w:hAnsi="Arial"/>
          <w:b/>
          <w:bCs/>
          <w:color w:val="2E6DA4"/>
          <w:sz w:val="26"/>
          <w:szCs w:val="26"/>
        </w:rPr>
        <w:t xml:space="preserve">Stretch 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4513"/>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mvp_documentation.md</w:t>
            </w:r>
          </w:p>
        </w:tc>
        <w:tc>
          <w:tcPr>
            <w:tcW w:type="dxa" w:w="4513"/>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Complete - Section 8 of this document</w:t>
            </w:r>
          </w:p>
        </w:tc>
      </w:tr>
      <w:tr>
        <w:trPr>
          <w:tblHeader w:val="false"/>
        </w:trP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repository link</w:t>
            </w:r>
          </w:p>
        </w:tc>
        <w:tc>
          <w:tcPr>
            <w:tcW w:type="dxa" w:w="4513"/>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sz w:val="20"/>
                <w:szCs w:val="20"/>
              </w:rPr>
              <w:t xml:space="preserve">To be added: repository URL with organised code structure, requirements.txt, .env.example</w:t>
            </w:r>
          </w:p>
        </w:tc>
      </w:tr>
    </w:tbl>
    <w:p>
      <w:pPr>
        <w:pStyle w:val="Heading2"/>
        <w:spacing w:before="280" w:after="100"/>
      </w:pPr>
      <w:r>
        <w:rPr>
          <w:rFonts w:ascii="Arial" w:cs="Arial" w:eastAsia="Arial" w:hAnsi="Arial"/>
          <w:b/>
          <w:bCs/>
          <w:color w:val="2E6DA4"/>
          <w:sz w:val="26"/>
          <w:szCs w:val="26"/>
        </w:rPr>
        <w:t xml:space="preserve">Three Items Remaining Before Final Submission</w:t>
      </w:r>
    </w:p>
    <w:p>
      <w:pPr>
        <w:pStyle w:val="ListParagraph"/>
        <w:numPr>
          <w:ilvl w:val="0"/>
          <w:numId w:val="2"/>
        </w:numPr>
        <w:spacing w:after="80"/>
      </w:pPr>
      <w:r>
        <w:rPr>
          <w:rFonts w:ascii="Arial" w:cs="Arial" w:eastAsia="Arial" w:hAnsi="Arial"/>
          <w:sz w:val="22"/>
          <w:szCs w:val="22"/>
        </w:rPr>
        <w:t xml:space="preserve">Record the 3-minute demo video (n8n workflow running, Slack alert appearing, Plotly dashboard loading). Add the link to poc_documentation.md.</w:t>
      </w:r>
    </w:p>
    <w:p>
      <w:pPr>
        <w:pStyle w:val="ListParagraph"/>
        <w:numPr>
          <w:ilvl w:val="0"/>
          <w:numId w:val="2"/>
        </w:numPr>
        <w:spacing w:after="80"/>
      </w:pPr>
      <w:r>
        <w:rPr>
          <w:rFonts w:ascii="Arial" w:cs="Arial" w:eastAsia="Arial" w:hAnsi="Arial"/>
          <w:sz w:val="22"/>
          <w:szCs w:val="22"/>
        </w:rPr>
        <w:t xml:space="preserve">Export the n8n workflow JSON from dina2.app.n8n.cloud: open workflow, click three-dot menu, click Download or Export, save as poc_workflow.json.</w:t>
      </w:r>
    </w:p>
    <w:p>
      <w:pPr>
        <w:pStyle w:val="ListParagraph"/>
        <w:numPr>
          <w:ilvl w:val="0"/>
          <w:numId w:val="2"/>
        </w:numPr>
        <w:spacing w:after="80"/>
      </w:pPr>
      <w:r>
        <w:rPr>
          <w:rFonts w:ascii="Arial" w:cs="Arial" w:eastAsia="Arial" w:hAnsi="Arial"/>
          <w:sz w:val="22"/>
          <w:szCs w:val="22"/>
        </w:rPr>
        <w:t xml:space="preserve">Build the presentation slides following the 10-slide structure from the project brief. All content is available in the sections above.</w:t>
      </w:r>
    </w:p>
    <w:p>
      <w:pPr>
        <w:pBdr>
          <w:bottom w:val="single" w:color="DDDDDD" w:sz="4" w:space="1"/>
        </w:pBdr>
        <w:spacing w:before="200" w:after="200"/>
      </w:pPr>
    </w:p>
    <w:p>
      <w:pPr>
        <w:spacing w:before="240" w:after="120"/>
        <w:jc w:val="center"/>
      </w:pPr>
      <w:r>
        <w:rPr>
          <w:rFonts w:ascii="Arial" w:cs="Arial" w:eastAsia="Arial" w:hAnsi="Arial"/>
          <w:i/>
          <w:iCs/>
          <w:color w:val="888888"/>
          <w:sz w:val="20"/>
          <w:szCs w:val="20"/>
        </w:rPr>
        <w:t xml:space="preserve">End of capstone project documentation</w:t>
      </w:r>
    </w:p>
    <w:p>
      <w:pPr>
        <w:jc w:val="center"/>
      </w:pPr>
      <w:r>
        <w:rPr>
          <w:rFonts w:ascii="Arial" w:cs="Arial" w:eastAsia="Arial" w:hAnsi="Arial"/>
          <w:color w:val="888888"/>
          <w:sz w:val="20"/>
          <w:szCs w:val="20"/>
        </w:rPr>
        <w:t xml:space="preserve">Dina Bosma  |  AI Consultancy Bootcamp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AI Early Warning System  |  Member Churn Prevention  |  Dina Bosma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2026-03-24T12:11:50.654Z</dcterms:created>
  <dcterms:modified xsi:type="dcterms:W3CDTF">2026-03-24T12:11:50.654Z</dcterms:modified>
</cp:coreProperties>
</file>

<file path=docProps/custom.xml><?xml version="1.0" encoding="utf-8"?>
<Properties xmlns="http://schemas.openxmlformats.org/officeDocument/2006/custom-properties" xmlns:vt="http://schemas.openxmlformats.org/officeDocument/2006/docPropsVTypes"/>
</file>