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3C5E"/>
          <w:sz w:val="56"/>
          <w:szCs w:val="56"/>
        </w:rPr>
        <w:t xml:space="preserve">Use Case Definition</w:t>
      </w:r>
    </w:p>
    <w:p>
      <w:pPr>
        <w:spacing w:after="120"/>
        <w:jc w:val="center"/>
      </w:pPr>
      <w:r>
        <w:rPr>
          <w:rFonts w:ascii="Arial" w:cs="Arial" w:eastAsia="Arial" w:hAnsi="Arial"/>
          <w:color w:val="2E6DA4"/>
          <w:sz w:val="32"/>
          <w:szCs w:val="32"/>
        </w:rPr>
        <w:t xml:space="preserve">Boutique Fitness AI Retention System</w:t>
      </w:r>
    </w:p>
    <w:p>
      <w:pPr>
        <w:spacing w:after="600"/>
        <w:jc w:val="center"/>
      </w:pPr>
      <w:r>
        <w:rPr>
          <w:rFonts w:ascii="Arial" w:cs="Arial" w:eastAsia="Arial" w:hAnsi="Arial"/>
          <w:i/>
          <w:iCs/>
          <w:color w:val="888888"/>
          <w:sz w:val="22"/>
          <w:szCs w:val="22"/>
        </w:rPr>
        <w:t xml:space="preserve">AI Consultancy Bootcamp Capstone  |  Dina Bosma  |  March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Document</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Use Case Definition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Project</w:t>
            </w:r>
          </w:p>
        </w:tc>
        <w:tc>
          <w:tcPr>
            <w:tcW w:type="dxa" w:w="7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 Early Warning System: Member Churn Prevention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Industry</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Boutique fitness, European studios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Prepared by</w:t>
            </w:r>
          </w:p>
        </w:tc>
        <w:tc>
          <w:tcPr>
            <w:tcW w:type="dxa" w:w="7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Dina Bosma</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Date</w:t>
            </w:r>
          </w:p>
        </w:tc>
        <w:tc>
          <w:tcPr>
            <w:tcW w:type="dxa" w:w="7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March 2026</w:t>
            </w:r>
          </w:p>
        </w:tc>
      </w:tr>
    </w:tbl>
    <w:p>
      <w:r>
        <w:br w:type="page"/>
      </w:r>
    </w:p>
    <w:p>
      <w:pPr>
        <w:pStyle w:val="Heading1"/>
        <w:pBdr>
          <w:bottom w:val="single" w:color="2E6DA4" w:sz="6" w:space="4"/>
        </w:pBdr>
        <w:spacing w:before="400" w:after="120"/>
      </w:pPr>
      <w:r>
        <w:rPr>
          <w:rFonts w:ascii="Arial" w:cs="Arial" w:eastAsia="Arial" w:hAnsi="Arial"/>
          <w:b/>
          <w:bCs/>
          <w:color w:val="1A3C5E"/>
          <w:sz w:val="30"/>
          <w:szCs w:val="30"/>
        </w:rPr>
        <w:t xml:space="preserve">1. Business Problem</w:t>
      </w:r>
    </w:p>
    <w:p>
      <w:pPr>
        <w:spacing w:after="120" w:line="276"/>
      </w:pPr>
      <w:r>
        <w:rPr>
          <w:rFonts w:ascii="Arial" w:cs="Arial" w:eastAsia="Arial" w:hAnsi="Arial"/>
          <w:sz w:val="22"/>
          <w:szCs w:val="22"/>
        </w:rPr>
        <w:t xml:space="preserve">Boutique fitness studios operate on tight margins with structurally high member turnover. Annual churn for boutique studios with up to 200 direct members is approximately 40% (IHRSA European Market Report). The critical insight is that churn is almost never sudden: members disengage gradually over 4 to 6 weeks before cancelling. Visit frequency drops. Coaching sessions get skipped. Activity goes quiet. Then they cancel.</w:t>
      </w:r>
    </w:p>
    <w:p>
      <w:pPr>
        <w:spacing w:after="120" w:line="276"/>
      </w:pPr>
      <w:r>
        <w:rPr>
          <w:rFonts w:ascii="Arial" w:cs="Arial" w:eastAsia="Arial" w:hAnsi="Arial"/>
          <w:sz w:val="22"/>
          <w:szCs w:val="22"/>
        </w:rPr>
        <w:t xml:space="preserve">Studio owners and coaches rarely have the time or tooling to spot these patterns early across their full member base. They rely on intuition, personal relationships, and memory, which works at 30 members and breaks at 150. By the time someone notices a member has gone quiet, the decision to leave has often already been made.</w:t>
      </w:r>
    </w:p>
    <w:p>
      <w:pPr>
        <w:spacing w:after="120" w:line="276"/>
      </w:pPr>
      <w:r>
        <w:rPr>
          <w:rFonts w:ascii="Arial" w:cs="Arial" w:eastAsia="Arial" w:hAnsi="Arial"/>
          <w:sz w:val="22"/>
          <w:szCs w:val="22"/>
        </w:rPr>
        <w:t xml:space="preserve">The result is preventable revenue loss at scale. A member paying 120 EUR per month who churns after 5 months represents 1,440 EUR in lost lifetime value. Replacing them costs approximately 5 times more than retaining them (acquisition cost: marketing, promotions, onboarding). At a studio of 150 members with 40% annual churn, this is roughly 90,000 EUR in annual revenue lost to churn that could partially be prevented with earlier intervention.</w:t>
      </w:r>
    </w:p>
    <w:p>
      <w:pPr>
        <w:spacing w:after="120" w:line="276"/>
      </w:pPr>
      <w:r>
        <w:rPr>
          <w:rFonts w:ascii="Arial" w:cs="Arial" w:eastAsia="Arial" w:hAnsi="Arial"/>
          <w:sz w:val="22"/>
          <w:szCs w:val="22"/>
        </w:rPr>
        <w:t xml:space="preserve">The problem is not that coaches do not care. The problem is that they have no systematic way to see who is slipping before it is too late.</w:t>
      </w:r>
    </w:p>
    <w:p>
      <w:pPr>
        <w:spacing w:after="80"/>
      </w:pPr>
    </w:p>
    <w:p>
      <w:pPr>
        <w:pStyle w:val="Heading1"/>
        <w:pBdr>
          <w:bottom w:val="single" w:color="2E6DA4" w:sz="6" w:space="4"/>
        </w:pBdr>
        <w:spacing w:before="400" w:after="120"/>
      </w:pPr>
      <w:r>
        <w:rPr>
          <w:rFonts w:ascii="Arial" w:cs="Arial" w:eastAsia="Arial" w:hAnsi="Arial"/>
          <w:b/>
          <w:bCs/>
          <w:color w:val="1A3C5E"/>
          <w:sz w:val="30"/>
          <w:szCs w:val="30"/>
        </w:rPr>
        <w:t xml:space="preserve">2. Company Profile</w:t>
      </w:r>
    </w:p>
    <w:p>
      <w:pPr>
        <w:pStyle w:val="Heading2"/>
        <w:spacing w:before="280" w:after="80"/>
      </w:pPr>
      <w:r>
        <w:rPr>
          <w:rFonts w:ascii="Arial" w:cs="Arial" w:eastAsia="Arial" w:hAnsi="Arial"/>
          <w:b/>
          <w:bCs/>
          <w:color w:val="2E6DA4"/>
          <w:sz w:val="24"/>
          <w:szCs w:val="24"/>
        </w:rPr>
        <w:t xml:space="preserve">Industry</w:t>
      </w:r>
    </w:p>
    <w:p>
      <w:pPr>
        <w:spacing w:after="120" w:line="276"/>
      </w:pPr>
      <w:r>
        <w:rPr>
          <w:rFonts w:ascii="Arial" w:cs="Arial" w:eastAsia="Arial" w:hAnsi="Arial"/>
          <w:sz w:val="22"/>
          <w:szCs w:val="22"/>
        </w:rPr>
        <w:t xml:space="preserve">Boutique fitness: a distinct segment characterised by specialised formats (yoga, Pilates, CrossFit, HIIT, personal training), small group or individual sessions, premium pricing, and high member-coach relationship intensity.</w:t>
      </w:r>
    </w:p>
    <w:p>
      <w:pPr>
        <w:pStyle w:val="Heading2"/>
        <w:spacing w:before="280" w:after="80"/>
      </w:pPr>
      <w:r>
        <w:rPr>
          <w:rFonts w:ascii="Arial" w:cs="Arial" w:eastAsia="Arial" w:hAnsi="Arial"/>
          <w:b/>
          <w:bCs/>
          <w:color w:val="2E6DA4"/>
          <w:sz w:val="24"/>
          <w:szCs w:val="24"/>
        </w:rPr>
        <w:t xml:space="preserve">Target company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Direct members</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80 to 250 (direct billing only, not USC/Gympass)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Locations</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 to 3</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Coaching staff</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2 to 8 coaches or instructors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Annual revenue</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150,000 to 600,000 EUR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Technology team</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None in-house</w:t>
            </w:r>
          </w:p>
        </w:tc>
      </w:tr>
    </w:tbl>
    <w:p>
      <w:pPr>
        <w:spacing w:after="80"/>
      </w:pPr>
    </w:p>
    <w:p>
      <w:pPr>
        <w:pStyle w:val="Heading2"/>
        <w:spacing w:before="280" w:after="80"/>
      </w:pPr>
      <w:r>
        <w:rPr>
          <w:rFonts w:ascii="Arial" w:cs="Arial" w:eastAsia="Arial" w:hAnsi="Arial"/>
          <w:b/>
          <w:bCs/>
          <w:color w:val="2E6DA4"/>
          <w:sz w:val="24"/>
          <w:szCs w:val="24"/>
        </w:rPr>
        <w:t xml:space="preserve">Current state</w:t>
      </w:r>
    </w:p>
    <w:p>
      <w:pPr>
        <w:pStyle w:val="ListParagraph"/>
        <w:numPr>
          <w:ilvl w:val="0"/>
          <w:numId w:val="2"/>
        </w:numPr>
        <w:spacing w:after="80"/>
      </w:pPr>
      <w:r>
        <w:rPr>
          <w:rFonts w:ascii="Arial" w:cs="Arial" w:eastAsia="Arial" w:hAnsi="Arial"/>
          <w:sz w:val="22"/>
          <w:szCs w:val="22"/>
        </w:rPr>
        <w:t xml:space="preserve">A gym management system (Mindbody, Gymdesk, Magicline) that stores attendance data but provides no predictive analytics</w:t>
      </w:r>
    </w:p>
    <w:p>
      <w:pPr>
        <w:pStyle w:val="ListParagraph"/>
        <w:numPr>
          <w:ilvl w:val="0"/>
          <w:numId w:val="2"/>
        </w:numPr>
        <w:spacing w:after="80"/>
      </w:pPr>
      <w:r>
        <w:rPr>
          <w:rFonts w:ascii="Arial" w:cs="Arial" w:eastAsia="Arial" w:hAnsi="Arial"/>
          <w:sz w:val="22"/>
          <w:szCs w:val="22"/>
        </w:rPr>
        <w:t xml:space="preserve">No formal churn monitoring process: retention is managed reactively</w:t>
      </w:r>
    </w:p>
    <w:p>
      <w:pPr>
        <w:pStyle w:val="ListParagraph"/>
        <w:numPr>
          <w:ilvl w:val="0"/>
          <w:numId w:val="2"/>
        </w:numPr>
        <w:spacing w:after="80"/>
      </w:pPr>
      <w:r>
        <w:rPr>
          <w:rFonts w:ascii="Arial" w:cs="Arial" w:eastAsia="Arial" w:hAnsi="Arial"/>
          <w:sz w:val="22"/>
          <w:szCs w:val="22"/>
        </w:rPr>
        <w:t xml:space="preserve">Coaches know their regulars well but have no visibility on members they see less frequently</w:t>
      </w:r>
    </w:p>
    <w:p>
      <w:pPr>
        <w:pStyle w:val="ListParagraph"/>
        <w:numPr>
          <w:ilvl w:val="0"/>
          <w:numId w:val="2"/>
        </w:numPr>
        <w:spacing w:after="80"/>
      </w:pPr>
      <w:r>
        <w:rPr>
          <w:rFonts w:ascii="Arial" w:cs="Arial" w:eastAsia="Arial" w:hAnsi="Arial"/>
          <w:sz w:val="22"/>
          <w:szCs w:val="22"/>
        </w:rPr>
        <w:t xml:space="preserve">No structured outreach process for at-risk members: contact happens when something breaks, not before</w:t>
      </w:r>
    </w:p>
    <w:p>
      <w:pPr>
        <w:pStyle w:val="ListParagraph"/>
        <w:numPr>
          <w:ilvl w:val="0"/>
          <w:numId w:val="2"/>
        </w:numPr>
        <w:spacing w:after="80"/>
      </w:pPr>
      <w:r>
        <w:rPr>
          <w:rFonts w:ascii="Arial" w:cs="Arial" w:eastAsia="Arial" w:hAnsi="Arial"/>
          <w:sz w:val="22"/>
          <w:szCs w:val="22"/>
        </w:rPr>
        <w:t xml:space="preserve">GDPR obligations they are aware of but not confident they are fully meeting</w:t>
      </w:r>
    </w:p>
    <w:p>
      <w:pPr>
        <w:spacing w:after="80"/>
      </w:pPr>
    </w:p>
    <w:p>
      <w:pPr>
        <w:pStyle w:val="Heading2"/>
        <w:spacing w:before="280" w:after="80"/>
      </w:pPr>
      <w:r>
        <w:rPr>
          <w:rFonts w:ascii="Arial" w:cs="Arial" w:eastAsia="Arial" w:hAnsi="Arial"/>
          <w:b/>
          <w:bCs/>
          <w:color w:val="2E6DA4"/>
          <w:sz w:val="24"/>
          <w:szCs w:val="24"/>
        </w:rPr>
        <w:t xml:space="preserve">What they do not have</w:t>
      </w:r>
    </w:p>
    <w:p>
      <w:pPr>
        <w:pStyle w:val="ListParagraph"/>
        <w:numPr>
          <w:ilvl w:val="0"/>
          <w:numId w:val="2"/>
        </w:numPr>
        <w:spacing w:after="80"/>
      </w:pPr>
      <w:r>
        <w:rPr>
          <w:rFonts w:ascii="Arial" w:cs="Arial" w:eastAsia="Arial" w:hAnsi="Arial"/>
          <w:sz w:val="22"/>
          <w:szCs w:val="22"/>
        </w:rPr>
        <w:t xml:space="preserve">A data analyst or business intelligence function</w:t>
      </w:r>
    </w:p>
    <w:p>
      <w:pPr>
        <w:pStyle w:val="ListParagraph"/>
        <w:numPr>
          <w:ilvl w:val="0"/>
          <w:numId w:val="2"/>
        </w:numPr>
        <w:spacing w:after="80"/>
      </w:pPr>
      <w:r>
        <w:rPr>
          <w:rFonts w:ascii="Arial" w:cs="Arial" w:eastAsia="Arial" w:hAnsi="Arial"/>
          <w:sz w:val="22"/>
          <w:szCs w:val="22"/>
        </w:rPr>
        <w:t xml:space="preserve">Budget for enterprise retention software (500 to 2,000 EUR per month is out of reach)</w:t>
      </w:r>
    </w:p>
    <w:p>
      <w:pPr>
        <w:pStyle w:val="ListParagraph"/>
        <w:numPr>
          <w:ilvl w:val="0"/>
          <w:numId w:val="2"/>
        </w:numPr>
        <w:spacing w:after="80"/>
      </w:pPr>
      <w:r>
        <w:rPr>
          <w:rFonts w:ascii="Arial" w:cs="Arial" w:eastAsia="Arial" w:hAnsi="Arial"/>
          <w:sz w:val="22"/>
          <w:szCs w:val="22"/>
        </w:rPr>
        <w:t xml:space="preserve">Time to build or manage complex tooling</w:t>
      </w:r>
    </w:p>
    <w:p>
      <w:pPr>
        <w:spacing w:after="80"/>
      </w:pPr>
    </w:p>
    <w:p>
      <w:r>
        <w:br w:type="page"/>
      </w:r>
    </w:p>
    <w:p>
      <w:pPr>
        <w:pStyle w:val="Heading1"/>
        <w:pBdr>
          <w:bottom w:val="single" w:color="2E6DA4" w:sz="6" w:space="4"/>
        </w:pBdr>
        <w:spacing w:before="400" w:after="120"/>
      </w:pPr>
      <w:r>
        <w:rPr>
          <w:rFonts w:ascii="Arial" w:cs="Arial" w:eastAsia="Arial" w:hAnsi="Arial"/>
          <w:b/>
          <w:bCs/>
          <w:color w:val="1A3C5E"/>
          <w:sz w:val="30"/>
          <w:szCs w:val="30"/>
        </w:rPr>
        <w:t xml:space="preserve">3. The AI-Powered Solution</w:t>
      </w:r>
    </w:p>
    <w:p>
      <w:pPr>
        <w:pStyle w:val="Heading2"/>
        <w:spacing w:before="280" w:after="80"/>
      </w:pPr>
      <w:r>
        <w:rPr>
          <w:rFonts w:ascii="Arial" w:cs="Arial" w:eastAsia="Arial" w:hAnsi="Arial"/>
          <w:b/>
          <w:bCs/>
          <w:color w:val="2E6DA4"/>
          <w:sz w:val="24"/>
          <w:szCs w:val="24"/>
        </w:rPr>
        <w:t xml:space="preserve">Core system: churn prediction for all members</w:t>
      </w:r>
    </w:p>
    <w:p>
      <w:pPr>
        <w:spacing w:after="120" w:line="276"/>
      </w:pPr>
      <w:r>
        <w:rPr>
          <w:rFonts w:ascii="Arial" w:cs="Arial" w:eastAsia="Arial" w:hAnsi="Arial"/>
          <w:sz w:val="22"/>
          <w:szCs w:val="22"/>
        </w:rPr>
        <w:t xml:space="preserve">A scheduled AI pipeline ingests daily visit data, pseudonymises member identities, calculates a churn risk score for every member using a logistic regression model, and delivers a natural language briefing to the coaching team each morning via Slack.</w:t>
      </w:r>
    </w:p>
    <w:p>
      <w:pPr>
        <w:pBdr>
          <w:left w:val="single" w:color="2E6DA4" w:sz="12" w:space="6"/>
        </w:pBdr>
        <w:spacing w:after="120"/>
        <w:ind w:left="400"/>
      </w:pPr>
      <w:r>
        <w:rPr>
          <w:rFonts w:ascii="Arial" w:cs="Arial" w:eastAsia="Arial" w:hAnsi="Arial"/>
          <w:i/>
          <w:iCs/>
          <w:color w:val="444444"/>
          <w:sz w:val="20"/>
          <w:szCs w:val="20"/>
        </w:rPr>
        <w:t xml:space="preserve">The AI's role is to summarise, not instruct. The briefing tells a coach what the data shows in plain language. The coach decides whether and how to reach out. This keeps the human relationship at the centre.</w:t>
      </w:r>
    </w:p>
    <w:p>
      <w:pPr>
        <w:spacing w:after="80"/>
      </w:pPr>
    </w:p>
    <w:p>
      <w:pPr>
        <w:spacing w:before="200" w:after="60"/>
      </w:pPr>
      <w:r>
        <w:rPr>
          <w:rFonts w:ascii="Arial" w:cs="Arial" w:eastAsia="Arial" w:hAnsi="Arial"/>
          <w:b/>
          <w:bCs/>
          <w:color w:val="555555"/>
          <w:sz w:val="22"/>
          <w:szCs w:val="22"/>
        </w:rPr>
        <w:t xml:space="preserve">Data inputs</w:t>
      </w:r>
    </w:p>
    <w:p>
      <w:pPr>
        <w:pStyle w:val="ListParagraph"/>
        <w:numPr>
          <w:ilvl w:val="0"/>
          <w:numId w:val="2"/>
        </w:numPr>
        <w:spacing w:after="80"/>
      </w:pPr>
      <w:r>
        <w:rPr>
          <w:rFonts w:ascii="Arial" w:cs="Arial" w:eastAsia="Arial" w:hAnsi="Arial"/>
          <w:sz w:val="22"/>
          <w:szCs w:val="22"/>
        </w:rPr>
        <w:t xml:space="preserve">Member visit frequency and recency</w:t>
      </w:r>
    </w:p>
    <w:p>
      <w:pPr>
        <w:pStyle w:val="ListParagraph"/>
        <w:numPr>
          <w:ilvl w:val="0"/>
          <w:numId w:val="2"/>
        </w:numPr>
        <w:spacing w:after="80"/>
      </w:pPr>
      <w:r>
        <w:rPr>
          <w:rFonts w:ascii="Arial" w:cs="Arial" w:eastAsia="Arial" w:hAnsi="Arial"/>
          <w:sz w:val="22"/>
          <w:szCs w:val="22"/>
        </w:rPr>
        <w:t xml:space="preserve">Class attendance history</w:t>
      </w:r>
    </w:p>
    <w:p>
      <w:pPr>
        <w:pStyle w:val="ListParagraph"/>
        <w:numPr>
          <w:ilvl w:val="0"/>
          <w:numId w:val="2"/>
        </w:numPr>
        <w:spacing w:after="80"/>
      </w:pPr>
      <w:r>
        <w:rPr>
          <w:rFonts w:ascii="Arial" w:cs="Arial" w:eastAsia="Arial" w:hAnsi="Arial"/>
          <w:sz w:val="22"/>
          <w:szCs w:val="22"/>
        </w:rPr>
        <w:t xml:space="preserve">Membership tier and tenure</w:t>
      </w:r>
    </w:p>
    <w:p>
      <w:pPr>
        <w:pStyle w:val="ListParagraph"/>
        <w:numPr>
          <w:ilvl w:val="0"/>
          <w:numId w:val="2"/>
        </w:numPr>
        <w:spacing w:after="80"/>
      </w:pPr>
      <w:r>
        <w:rPr>
          <w:rFonts w:ascii="Arial" w:cs="Arial" w:eastAsia="Arial" w:hAnsi="Arial"/>
          <w:sz w:val="22"/>
          <w:szCs w:val="22"/>
        </w:rPr>
        <w:t xml:space="preserve">Member survey responses (event-triggered, see below)</w:t>
      </w:r>
    </w:p>
    <w:p>
      <w:pPr>
        <w:spacing w:after="80"/>
      </w:pPr>
    </w:p>
    <w:p>
      <w:pPr>
        <w:spacing w:before="200" w:after="60"/>
      </w:pPr>
      <w:r>
        <w:rPr>
          <w:rFonts w:ascii="Arial" w:cs="Arial" w:eastAsia="Arial" w:hAnsi="Arial"/>
          <w:b/>
          <w:bCs/>
          <w:color w:val="555555"/>
          <w:sz w:val="22"/>
          <w:szCs w:val="22"/>
        </w:rPr>
        <w:t xml:space="preserve">Output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Content</w:t>
            </w:r>
          </w:p>
        </w:tc>
        <w:tc>
          <w:tcPr>
            <w:tcW w:type="dxa" w:w="22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Recipients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Slack alert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Daily 07:00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Top 3 highest-risk members, days inactive, revenue at risk</w:t>
            </w:r>
          </w:p>
        </w:tc>
        <w:tc>
          <w:tcPr>
            <w:tcW w:type="dxa" w:w="2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#coaching-alerts channel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Weekly email</w:t>
            </w:r>
          </w:p>
        </w:tc>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Monday 07:00</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Full member risk overview, survey responses, natural language coaching context per flagged member</w:t>
            </w:r>
          </w:p>
        </w:tc>
        <w:tc>
          <w:tcPr>
            <w:tcW w:type="dxa" w:w="2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coaches and studio owner</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Plotly dashboard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Always-on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Studio-level retention trends, segment breakdowns</w:t>
            </w:r>
          </w:p>
        </w:tc>
        <w:tc>
          <w:tcPr>
            <w:tcW w:type="dxa" w:w="2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Studio owner</w:t>
            </w:r>
          </w:p>
        </w:tc>
      </w:tr>
    </w:tbl>
    <w:p>
      <w:pPr>
        <w:spacing w:after="80"/>
      </w:pPr>
    </w:p>
    <w:p>
      <w:pPr>
        <w:spacing w:before="200" w:after="60"/>
      </w:pPr>
      <w:r>
        <w:rPr>
          <w:rFonts w:ascii="Arial" w:cs="Arial" w:eastAsia="Arial" w:hAnsi="Arial"/>
          <w:b/>
          <w:bCs/>
          <w:color w:val="555555"/>
          <w:sz w:val="22"/>
          <w:szCs w:val="22"/>
        </w:rPr>
        <w:t xml:space="preserve">Weekly email: coaching context section</w:t>
      </w:r>
    </w:p>
    <w:p>
      <w:pPr>
        <w:spacing w:after="120" w:line="276"/>
      </w:pPr>
      <w:r>
        <w:rPr>
          <w:rFonts w:ascii="Arial" w:cs="Arial" w:eastAsia="Arial" w:hAnsi="Arial"/>
          <w:sz w:val="22"/>
          <w:szCs w:val="22"/>
        </w:rPr>
        <w:t xml:space="preserve">For each flagged member, the AI generates a short natural language paragraph (under 80 words) describing what the data shows and what context might be useful before the coach reaches out. This is background for the coach's own judgement, not a script and not an instruction. The coach decides whether and how to act.</w:t>
      </w:r>
    </w:p>
    <w:p>
      <w:pPr>
        <w:spacing w:after="80"/>
      </w:pPr>
    </w:p>
    <w:p>
      <w:pPr>
        <w:spacing w:before="200" w:after="60"/>
      </w:pPr>
      <w:r>
        <w:rPr>
          <w:rFonts w:ascii="Arial" w:cs="Arial" w:eastAsia="Arial" w:hAnsi="Arial"/>
          <w:b/>
          <w:bCs/>
          <w:color w:val="555555"/>
          <w:sz w:val="22"/>
          <w:szCs w:val="22"/>
        </w:rPr>
        <w:t xml:space="preserve">Technical stack</w:t>
      </w:r>
    </w:p>
    <w:p>
      <w:pPr>
        <w:spacing w:after="120" w:line="276"/>
      </w:pPr>
      <w:r>
        <w:rPr>
          <w:rFonts w:ascii="Arial" w:cs="Arial" w:eastAsia="Arial" w:hAnsi="Arial"/>
          <w:sz w:val="22"/>
          <w:szCs w:val="22"/>
        </w:rPr>
        <w:t xml:space="preserve">Python (scikit-learn, LangChain) | n8n workflow automation | OpenAI GPT-4o-mini temperature=0 (no LangGraph, no memory: structured 12-query loop, simplicity deliberate) | LangSmith EU endpoint for quality monitoring | Plotly Dash for visualisation | Slack and email via SMTP through n8n for delivery.</w:t>
      </w:r>
    </w:p>
    <w:p>
      <w:pPr>
        <w:spacing w:after="80"/>
      </w:pPr>
    </w:p>
    <w:p>
      <w:pPr>
        <w:spacing w:before="200" w:after="60"/>
      </w:pPr>
      <w:r>
        <w:rPr>
          <w:rFonts w:ascii="Arial" w:cs="Arial" w:eastAsia="Arial" w:hAnsi="Arial"/>
          <w:b/>
          <w:bCs/>
          <w:color w:val="555555"/>
          <w:sz w:val="22"/>
          <w:szCs w:val="22"/>
        </w:rPr>
        <w:t xml:space="preserve">Member survey: event-triggered, not scheduled</w:t>
      </w:r>
    </w:p>
    <w:p>
      <w:pPr>
        <w:spacing w:after="120" w:line="276"/>
      </w:pPr>
      <w:r>
        <w:rPr>
          <w:rFonts w:ascii="Arial" w:cs="Arial" w:eastAsia="Arial" w:hAnsi="Arial"/>
          <w:sz w:val="22"/>
          <w:szCs w:val="22"/>
        </w:rPr>
        <w:t xml:space="preserve">A short 3-question survey is sent to members when one of two attendance signals drops below a configured threshold:</w:t>
      </w:r>
    </w:p>
    <w:p>
      <w:pPr>
        <w:pStyle w:val="ListParagraph"/>
        <w:numPr>
          <w:ilvl w:val="0"/>
          <w:numId w:val="2"/>
        </w:numPr>
        <w:spacing w:after="80"/>
      </w:pPr>
      <w:r>
        <w:rPr>
          <w:rFonts w:ascii="Arial" w:cs="Arial" w:eastAsia="Arial" w:hAnsi="Arial"/>
          <w:sz w:val="22"/>
          <w:szCs w:val="22"/>
        </w:rPr>
        <w:t xml:space="preserve">Class-level trigger: a specific class drops in attendance versus its rolling 4-week average. Survey sent to recent attendees of that class.</w:t>
      </w:r>
    </w:p>
    <w:p>
      <w:pPr>
        <w:pStyle w:val="ListParagraph"/>
        <w:numPr>
          <w:ilvl w:val="0"/>
          <w:numId w:val="2"/>
        </w:numPr>
        <w:spacing w:after="80"/>
      </w:pPr>
      <w:r>
        <w:rPr>
          <w:rFonts w:ascii="Arial" w:cs="Arial" w:eastAsia="Arial" w:hAnsi="Arial"/>
          <w:sz w:val="22"/>
          <w:szCs w:val="22"/>
        </w:rPr>
        <w:t xml:space="preserve">Studio-level trigger: total daily check-ins fall more than 20% week-on-week. Survey sent to all active members.</w:t>
      </w:r>
    </w:p>
    <w:p>
      <w:pPr>
        <w:spacing w:after="120" w:line="276"/>
      </w:pPr>
      <w:r>
        <w:rPr>
          <w:rFonts w:ascii="Arial" w:cs="Arial" w:eastAsia="Arial" w:hAnsi="Arial"/>
          <w:sz w:val="22"/>
          <w:szCs w:val="22"/>
        </w:rPr>
        <w:t xml:space="preserve">To prevent survey fatigue, no member receives a survey more than once every 5 weeks regardless of how many triggers fire.</w:t>
      </w:r>
    </w:p>
    <w:p>
      <w:pPr>
        <w:spacing w:after="80"/>
      </w:pPr>
    </w:p>
    <w:p>
      <w:pPr>
        <w:spacing w:before="200" w:after="60"/>
      </w:pPr>
      <w:r>
        <w:rPr>
          <w:rFonts w:ascii="Arial" w:cs="Arial" w:eastAsia="Arial" w:hAnsi="Arial"/>
          <w:b/>
          <w:bCs/>
          <w:color w:val="555555"/>
          <w:sz w:val="22"/>
          <w:szCs w:val="22"/>
        </w:rPr>
        <w:t xml:space="preserve">Survey questions (3 maximum)</w:t>
      </w:r>
    </w:p>
    <w:p>
      <w:pPr>
        <w:pStyle w:val="ListParagraph"/>
        <w:numPr>
          <w:ilvl w:val="0"/>
          <w:numId w:val="2"/>
        </w:numPr>
        <w:spacing w:after="80"/>
      </w:pPr>
      <w:r>
        <w:rPr>
          <w:rFonts w:ascii="Arial" w:cs="Arial" w:eastAsia="Arial" w:hAnsi="Arial"/>
          <w:sz w:val="22"/>
          <w:szCs w:val="22"/>
        </w:rPr>
        <w:t xml:space="preserve">How have you been finding your sessions lately? (1 to 5 stars)</w:t>
      </w:r>
    </w:p>
    <w:p>
      <w:pPr>
        <w:pStyle w:val="ListParagraph"/>
        <w:numPr>
          <w:ilvl w:val="0"/>
          <w:numId w:val="2"/>
        </w:numPr>
        <w:spacing w:after="80"/>
      </w:pPr>
      <w:r>
        <w:rPr>
          <w:rFonts w:ascii="Arial" w:cs="Arial" w:eastAsia="Arial" w:hAnsi="Arial"/>
          <w:sz w:val="22"/>
          <w:szCs w:val="22"/>
        </w:rPr>
        <w:t xml:space="preserve">Is there anything making it harder to come in regularly? (optional free text)</w:t>
      </w:r>
    </w:p>
    <w:p>
      <w:pPr>
        <w:pStyle w:val="ListParagraph"/>
        <w:numPr>
          <w:ilvl w:val="0"/>
          <w:numId w:val="2"/>
        </w:numPr>
        <w:spacing w:after="80"/>
      </w:pPr>
      <w:r>
        <w:rPr>
          <w:rFonts w:ascii="Arial" w:cs="Arial" w:eastAsia="Arial" w:hAnsi="Arial"/>
          <w:sz w:val="22"/>
          <w:szCs w:val="22"/>
        </w:rPr>
        <w:t xml:space="preserve">Would you like your coach to check in with you this week? (Yes / No)</w:t>
      </w:r>
    </w:p>
    <w:p>
      <w:pPr>
        <w:spacing w:after="80"/>
      </w:pPr>
    </w:p>
    <w:p>
      <w:pPr>
        <w:pBdr>
          <w:left w:val="single" w:color="2E6DA4" w:sz="12" w:space="6"/>
        </w:pBdr>
        <w:spacing w:after="120"/>
        <w:ind w:left="400"/>
      </w:pPr>
      <w:r>
        <w:rPr>
          <w:rFonts w:ascii="Arial" w:cs="Arial" w:eastAsia="Arial" w:hAnsi="Arial"/>
          <w:i/>
          <w:iCs/>
          <w:color w:val="444444"/>
          <w:sz w:val="20"/>
          <w:szCs w:val="20"/>
        </w:rPr>
        <w:t xml:space="preserve">GDPR note: survey participation is voluntary. Legal basis is legitimate interest (Article 6(1)(f)). No sensitive data is collected. Responses stored for 90 days, included in erasure requests. Members can opt out at any time.</w:t>
      </w:r>
    </w:p>
    <w:p>
      <w:pPr>
        <w:spacing w:after="80"/>
      </w:pPr>
    </w:p>
    <w:p>
      <w:pPr>
        <w:spacing w:before="200" w:after="60"/>
      </w:pPr>
      <w:r>
        <w:rPr>
          <w:rFonts w:ascii="Arial" w:cs="Arial" w:eastAsia="Arial" w:hAnsi="Arial"/>
          <w:b/>
          <w:bCs/>
          <w:color w:val="555555"/>
          <w:sz w:val="22"/>
          <w:szCs w:val="22"/>
        </w:rPr>
        <w:t xml:space="preserve">Customisable thresholds: set per 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34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Agreed at</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Days inactive = high risk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21 days</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Visit drop threshold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50% vs prior 4-week avg</w:t>
            </w:r>
          </w:p>
        </w:tc>
        <w:tc>
          <w:tcPr>
            <w:tcW w:type="dxa" w:w="3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Class attendance drop trigger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30% below 4-week avg for 2 sessions</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Studio-wide check-in drop trigger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More than 20% drop week-on-week</w:t>
            </w:r>
          </w:p>
        </w:tc>
        <w:tc>
          <w:tcPr>
            <w:tcW w:type="dxa" w:w="3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Survey cooldown per member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 weeks</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Briefing delivery time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07:00</w:t>
            </w:r>
          </w:p>
        </w:tc>
        <w:tc>
          <w:tcPr>
            <w:tcW w:type="dxa" w:w="3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Onboarding</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Members shown in briefing</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Top 10 by risk score</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Onboarding</w:t>
            </w:r>
          </w:p>
        </w:tc>
      </w:tr>
    </w:tbl>
    <w:p>
      <w:pPr>
        <w:spacing w:after="80"/>
      </w:pPr>
    </w:p>
    <w:p>
      <w:pPr>
        <w:pStyle w:val="Heading2"/>
        <w:spacing w:before="280" w:after="80"/>
      </w:pPr>
      <w:r>
        <w:rPr>
          <w:rFonts w:ascii="Arial" w:cs="Arial" w:eastAsia="Arial" w:hAnsi="Arial"/>
          <w:b/>
          <w:bCs/>
          <w:color w:val="2E6DA4"/>
          <w:sz w:val="24"/>
          <w:szCs w:val="24"/>
        </w:rPr>
        <w:t xml:space="preserve">Coaching add-on: private coaching retention</w:t>
      </w:r>
    </w:p>
    <w:p>
      <w:pPr>
        <w:spacing w:after="120" w:line="276"/>
      </w:pPr>
      <w:r>
        <w:rPr>
          <w:rFonts w:ascii="Arial" w:cs="Arial" w:eastAsia="Arial" w:hAnsi="Arial"/>
          <w:sz w:val="22"/>
          <w:szCs w:val="22"/>
        </w:rPr>
        <w:t xml:space="preserve">Many boutique studios offer private or semi-private coaching programmes. These clients have a higher LTV (200 to 400 EUR per month) and a distinct churn pattern: they may maintain general membership while quietly disengaging from coaching sessions, detectable weeks before they cancel.</w:t>
      </w:r>
    </w:p>
    <w:p>
      <w:pPr>
        <w:spacing w:after="120" w:line="276"/>
      </w:pPr>
      <w:r>
        <w:rPr>
          <w:rFonts w:ascii="Arial" w:cs="Arial" w:eastAsia="Arial" w:hAnsi="Arial"/>
          <w:sz w:val="22"/>
          <w:szCs w:val="22"/>
        </w:rPr>
        <w:t xml:space="preserve">The coaching add-on extends the core system with tiered data signals, each collected under explicit informed consent:</w:t>
      </w:r>
    </w:p>
    <w:p>
      <w:pPr>
        <w:pStyle w:val="ListParagraph"/>
        <w:numPr>
          <w:ilvl w:val="0"/>
          <w:numId w:val="2"/>
        </w:numPr>
        <w:spacing w:after="80"/>
      </w:pPr>
      <w:r>
        <w:rPr>
          <w:rFonts w:ascii="Arial" w:cs="Arial" w:eastAsia="Arial" w:hAnsi="Arial"/>
          <w:sz w:val="22"/>
          <w:szCs w:val="22"/>
        </w:rPr>
        <w:t xml:space="preserve">Signal 1: coaching session check-in (required). Attendance at every scheduled coaching session recorded. Tracks attendance rate, consecutive missed sessions, days since last check-in.</w:t>
      </w:r>
    </w:p>
    <w:p>
      <w:pPr>
        <w:pStyle w:val="ListParagraph"/>
        <w:numPr>
          <w:ilvl w:val="0"/>
          <w:numId w:val="2"/>
        </w:numPr>
        <w:spacing w:after="80"/>
      </w:pPr>
      <w:r>
        <w:rPr>
          <w:rFonts w:ascii="Arial" w:cs="Arial" w:eastAsia="Arial" w:hAnsi="Arial"/>
          <w:sz w:val="22"/>
          <w:szCs w:val="22"/>
        </w:rPr>
        <w:t xml:space="preserve">Signal 2: general studio attendance (optional). Distinguishes full disengagement from coaching-specific drop-off: two different problems requiring different interventions.</w:t>
      </w:r>
    </w:p>
    <w:p>
      <w:pPr>
        <w:pStyle w:val="ListParagraph"/>
        <w:numPr>
          <w:ilvl w:val="0"/>
          <w:numId w:val="2"/>
        </w:numPr>
        <w:spacing w:after="80"/>
      </w:pPr>
      <w:r>
        <w:rPr>
          <w:rFonts w:ascii="Arial" w:cs="Arial" w:eastAsia="Arial" w:hAnsi="Arial"/>
          <w:sz w:val="22"/>
          <w:szCs w:val="22"/>
        </w:rPr>
        <w:t xml:space="preserve">Signal 3a: wearable workout session data (optional, explicit Article 9 consent). Manually-initiated sessions from Fitbit or Garmin. Session type, duration, calories, heart rate.</w:t>
      </w:r>
    </w:p>
    <w:p>
      <w:pPr>
        <w:pStyle w:val="ListParagraph"/>
        <w:numPr>
          <w:ilvl w:val="0"/>
          <w:numId w:val="2"/>
        </w:numPr>
        <w:spacing w:after="80"/>
      </w:pPr>
      <w:r>
        <w:rPr>
          <w:rFonts w:ascii="Arial" w:cs="Arial" w:eastAsia="Arial" w:hAnsi="Arial"/>
          <w:sz w:val="22"/>
          <w:szCs w:val="22"/>
        </w:rPr>
        <w:t xml:space="preserve">Signal 3b: full daily activity data (optional, explicit Article 9 consent, requires 3a). Daily step count, active minutes, resting heart rate. Separate consent from 3a.</w:t>
      </w:r>
    </w:p>
    <w:p>
      <w:pPr>
        <w:pBdr>
          <w:left w:val="single" w:color="2E6DA4" w:sz="12" w:space="6"/>
        </w:pBdr>
        <w:spacing w:after="120"/>
        <w:ind w:left="400"/>
      </w:pPr>
      <w:r>
        <w:rPr>
          <w:rFonts w:ascii="Arial" w:cs="Arial" w:eastAsia="Arial" w:hAnsi="Arial"/>
          <w:i/>
          <w:iCs/>
          <w:color w:val="444444"/>
          <w:sz w:val="20"/>
          <w:szCs w:val="20"/>
        </w:rPr>
        <w:t xml:space="preserve">The consent gate in the n8n workflow technically enforces these tiers. Wearable data is never accessed unless the corresponding consent flag is set from the coaching intake form.</w:t>
      </w:r>
    </w:p>
    <w:p>
      <w:r>
        <w:br w:type="page"/>
      </w:r>
    </w:p>
    <w:p>
      <w:pPr>
        <w:pStyle w:val="Heading1"/>
        <w:pBdr>
          <w:bottom w:val="single" w:color="2E6DA4" w:sz="6" w:space="4"/>
        </w:pBdr>
        <w:spacing w:before="400" w:after="120"/>
      </w:pPr>
      <w:r>
        <w:rPr>
          <w:rFonts w:ascii="Arial" w:cs="Arial" w:eastAsia="Arial" w:hAnsi="Arial"/>
          <w:b/>
          <w:bCs/>
          <w:color w:val="1A3C5E"/>
          <w:sz w:val="30"/>
          <w:szCs w:val="30"/>
        </w:rPr>
        <w:t xml:space="preserve">4. Key Stakeholders and Their Interests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48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Primary interest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Studio owner</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 controller, buyer</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Revenue protection, GDPR compliance, minimal operational overhead. Wants churn caught early without hiring someone to watch a spreadsheet.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Coaches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Primary system users</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Timely, useful information that helps them have better member conversations without creating more admin. Sceptical of tools that do not match how they work.</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Members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Data subjects</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Not feeling surveilled. Trusting that their data is used to support them, not to pressure them. Clear right to opt out at any time.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Dina Bosma</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Data processor, system operator</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Delivering measurable retention outcomes. Building a replicable system deployable across multiple studios.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Legal / DPA</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Compliance oversight</w:t>
            </w:r>
          </w:p>
        </w:tc>
        <w:tc>
          <w:tcPr>
            <w:tcW w:type="dxa" w:w="48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GDPR Article 28 DPA in place before processing begins. EU AI Act classification documented. Clear data subject rights processes.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Gym management software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System ingests exported data: no deep integration at POC stage. Partnership potential at scale.</w:t>
            </w:r>
          </w:p>
        </w:tc>
      </w:tr>
    </w:tbl>
    <w:p>
      <w:pPr>
        <w:spacing w:after="80"/>
      </w:pPr>
    </w:p>
    <w:p>
      <w:r>
        <w:br w:type="page"/>
      </w:r>
    </w:p>
    <w:p>
      <w:pPr>
        <w:pStyle w:val="Heading1"/>
        <w:pBdr>
          <w:bottom w:val="single" w:color="2E6DA4" w:sz="6" w:space="4"/>
        </w:pBdr>
        <w:spacing w:before="400" w:after="120"/>
      </w:pPr>
      <w:r>
        <w:rPr>
          <w:rFonts w:ascii="Arial" w:cs="Arial" w:eastAsia="Arial" w:hAnsi="Arial"/>
          <w:b/>
          <w:bCs/>
          <w:color w:val="1A3C5E"/>
          <w:sz w:val="30"/>
          <w:szCs w:val="30"/>
        </w:rPr>
        <w:t xml:space="preserve">5. Success Criteria</w:t>
      </w:r>
    </w:p>
    <w:p>
      <w:pPr>
        <w:pStyle w:val="Heading2"/>
        <w:spacing w:before="280" w:after="80"/>
      </w:pPr>
      <w:r>
        <w:rPr>
          <w:rFonts w:ascii="Arial" w:cs="Arial" w:eastAsia="Arial" w:hAnsi="Arial"/>
          <w:b/>
          <w:bCs/>
          <w:color w:val="2E6DA4"/>
          <w:sz w:val="24"/>
          <w:szCs w:val="24"/>
        </w:rPr>
        <w:t xml:space="preserve">The validation hypotheses</w:t>
      </w:r>
    </w:p>
    <w:p>
      <w:pPr>
        <w:spacing w:after="120" w:line="276"/>
      </w:pPr>
      <w:r>
        <w:rPr>
          <w:rFonts w:ascii="Arial" w:cs="Arial" w:eastAsia="Arial" w:hAnsi="Arial"/>
          <w:sz w:val="22"/>
          <w:szCs w:val="22"/>
        </w:rPr>
        <w:t xml:space="preserve">The business case rests on two claims that cannot be assumed. They must be tested in sequence. The 90-day pilot is structured as an experiment with explicit pass/fail criteria for each. Neither hypothesis is treated as true before evidence is collected.</w:t>
      </w:r>
    </w:p>
    <w:p>
      <w:pPr>
        <w:spacing w:after="80"/>
      </w:pPr>
    </w:p>
    <w:p>
      <w:pPr>
        <w:spacing w:before="200" w:after="60"/>
      </w:pPr>
      <w:r>
        <w:rPr>
          <w:rFonts w:ascii="Arial" w:cs="Arial" w:eastAsia="Arial" w:hAnsi="Arial"/>
          <w:b/>
          <w:bCs/>
          <w:color w:val="555555"/>
          <w:sz w:val="22"/>
          <w:szCs w:val="22"/>
        </w:rPr>
        <w:t xml:space="preserve">H1: Prediction</w:t>
      </w:r>
    </w:p>
    <w:p>
      <w:pPr>
        <w:pBdr>
          <w:left w:val="single" w:color="2E6DA4" w:sz="12" w:space="6"/>
        </w:pBdr>
        <w:spacing w:after="120"/>
        <w:ind w:left="400"/>
      </w:pPr>
      <w:r>
        <w:rPr>
          <w:rFonts w:ascii="Arial" w:cs="Arial" w:eastAsia="Arial" w:hAnsi="Arial"/>
          <w:i/>
          <w:iCs/>
          <w:color w:val="444444"/>
          <w:sz w:val="20"/>
          <w:szCs w:val="20"/>
        </w:rPr>
        <w:t xml:space="preserve">Behavioural signals in member visit data (frequency, recency, drop-off patterns) reliably predict which members will churn within the next 4 to 6 weeks.</w:t>
      </w:r>
    </w:p>
    <w:p>
      <w:pPr>
        <w:spacing w:after="120" w:line="276"/>
      </w:pPr>
      <w:r>
        <w:rPr>
          <w:rFonts w:ascii="Arial" w:cs="Arial" w:eastAsia="Arial" w:hAnsi="Arial"/>
          <w:sz w:val="22"/>
          <w:szCs w:val="22"/>
        </w:rPr>
        <w:t xml:space="preserve">Test design (Weeks 1 to 6): the system flags members as high-risk at the pilot studio. For a defined subset of flagged members, no intervention is made. The studio tracks what actually happens over the following 4 to 6 weeks.</w:t>
      </w:r>
    </w:p>
    <w:p>
      <w:pPr>
        <w:spacing w:after="120" w:line="276"/>
      </w:pPr>
      <w:r>
        <w:rPr>
          <w:rFonts w:ascii="Arial" w:cs="Arial" w:eastAsia="Arial" w:hAnsi="Arial"/>
          <w:sz w:val="22"/>
          <w:szCs w:val="22"/>
        </w:rPr>
        <w:t xml:space="preserve">Pass criterion: at least 60% of high-risk flags in the no-intervention group are validated by actual cancellation or formal disengagement within 6 weeks.</w:t>
      </w:r>
    </w:p>
    <w:p>
      <w:pPr>
        <w:spacing w:after="120" w:line="276"/>
      </w:pPr>
      <w:r>
        <w:rPr>
          <w:rFonts w:ascii="Arial" w:cs="Arial" w:eastAsia="Arial" w:hAnsi="Arial"/>
          <w:sz w:val="22"/>
          <w:szCs w:val="22"/>
        </w:rPr>
        <w:t xml:space="preserve">What a failed H1 means: the model is not accurate enough on real studio data. Recalibrate signal thresholds or retrain on the studio's actual historical data. The project is not abandoned. H2 cannot be tested until H1 passes.</w:t>
      </w:r>
    </w:p>
    <w:p>
      <w:pPr>
        <w:spacing w:after="80"/>
      </w:pPr>
    </w:p>
    <w:p>
      <w:pPr>
        <w:spacing w:before="200" w:after="60"/>
      </w:pPr>
      <w:r>
        <w:rPr>
          <w:rFonts w:ascii="Arial" w:cs="Arial" w:eastAsia="Arial" w:hAnsi="Arial"/>
          <w:b/>
          <w:bCs/>
          <w:color w:val="555555"/>
          <w:sz w:val="22"/>
          <w:szCs w:val="22"/>
        </w:rPr>
        <w:t xml:space="preserve">H2: Intervention</w:t>
      </w:r>
    </w:p>
    <w:p>
      <w:pPr>
        <w:pBdr>
          <w:left w:val="single" w:color="2E6DA4" w:sz="12" w:space="6"/>
        </w:pBdr>
        <w:spacing w:after="120"/>
        <w:ind w:left="400"/>
      </w:pPr>
      <w:r>
        <w:rPr>
          <w:rFonts w:ascii="Arial" w:cs="Arial" w:eastAsia="Arial" w:hAnsi="Arial"/>
          <w:i/>
          <w:iCs/>
          <w:color w:val="444444"/>
          <w:sz w:val="20"/>
          <w:szCs w:val="20"/>
        </w:rPr>
        <w:t xml:space="preserve">When coaches receive AI-generated briefings identifying at-risk members and reach out based on those recommendations, those members retain at a measurably higher rate than at-risk members who were not contacted.</w:t>
      </w:r>
    </w:p>
    <w:p>
      <w:pPr>
        <w:spacing w:after="120" w:line="276"/>
      </w:pPr>
      <w:r>
        <w:rPr>
          <w:rFonts w:ascii="Arial" w:cs="Arial" w:eastAsia="Arial" w:hAnsi="Arial"/>
          <w:sz w:val="22"/>
          <w:szCs w:val="22"/>
        </w:rPr>
        <w:t xml:space="preserve">H2 is only testable if H1 holds. Test design (Weeks 7 to 12): flagged high-risk members are split into two groups. Group A receives a coach contact based on the AI recommendation. Group B does not. The studio tracks cancellation rates for both groups over 8 weeks.</w:t>
      </w:r>
    </w:p>
    <w:p>
      <w:pPr>
        <w:spacing w:after="120" w:line="276"/>
      </w:pPr>
      <w:r>
        <w:rPr>
          <w:rFonts w:ascii="Arial" w:cs="Arial" w:eastAsia="Arial" w:hAnsi="Arial"/>
          <w:sz w:val="22"/>
          <w:szCs w:val="22"/>
        </w:rPr>
        <w:t xml:space="preserve">Pass criterion: Group A retains at least 25% more members than Group B over 8 weeks. This is the low end of published fitness retention intervention benchmarks (25 to 40% success rate on personalised outreach).</w:t>
      </w:r>
    </w:p>
    <w:p>
      <w:pPr>
        <w:spacing w:after="120" w:line="276"/>
      </w:pPr>
      <w:r>
        <w:rPr>
          <w:rFonts w:ascii="Arial" w:cs="Arial" w:eastAsia="Arial" w:hAnsi="Arial"/>
          <w:sz w:val="22"/>
          <w:szCs w:val="22"/>
        </w:rPr>
        <w:t xml:space="preserve">What a failed H2 means: the model predicts correctly but the intervention is not working. Redesign the briefing format or outreach protocol. The failure is in the recommendation design, not the prediction.</w:t>
      </w:r>
    </w:p>
    <w:p>
      <w:pPr>
        <w:spacing w:after="80"/>
      </w:pPr>
    </w:p>
    <w:p>
      <w:pPr>
        <w:pStyle w:val="Heading2"/>
        <w:spacing w:before="280" w:after="80"/>
      </w:pPr>
      <w:r>
        <w:rPr>
          <w:rFonts w:ascii="Arial" w:cs="Arial" w:eastAsia="Arial" w:hAnsi="Arial"/>
          <w:b/>
          <w:bCs/>
          <w:color w:val="2E6DA4"/>
          <w:sz w:val="24"/>
          <w:szCs w:val="24"/>
        </w:rPr>
        <w:t xml:space="preserve">Outcome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H1</w:t>
            </w:r>
          </w:p>
        </w:tc>
        <w:tc>
          <w:tcPr>
            <w:tcW w:type="dxa" w:w="1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H2</w:t>
            </w:r>
          </w:p>
        </w:tc>
        <w:tc>
          <w:tcPr>
            <w:tcW w:type="dxa" w:w="30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0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Next step</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Pass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System works end to end</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Proceed to Phase 2: onboard 3 to 5 studios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Pass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Fail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Model accurate, intervention broken</w:t>
            </w:r>
          </w:p>
        </w:tc>
        <w:tc>
          <w:tcPr>
            <w:tcW w:type="dxa" w:w="4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Redesign briefing format and outreach protocol before scaling</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Fail</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Not tested</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Model not accurate on real data</w:t>
            </w:r>
          </w:p>
        </w:tc>
        <w:tc>
          <w:tcPr>
            <w:tcW w:type="dxa" w:w="4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Recalibrate signal thresholds, retrain on studio data, retest H1</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Fail</w:t>
            </w:r>
          </w:p>
        </w:tc>
        <w:tc>
          <w:tcPr>
            <w:tcW w:type="dxa" w:w="1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b/>
                <w:bCs/>
                <w:sz w:val="20"/>
                <w:szCs w:val="20"/>
              </w:rPr>
              <w:t xml:space="preserve">Fail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Both layers need work</w:t>
            </w:r>
          </w:p>
        </w:tc>
        <w:tc>
          <w:tcPr>
            <w:tcW w:type="dxa" w:w="4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Recalibrate model first, then retest both hypotheses</w:t>
            </w:r>
          </w:p>
        </w:tc>
      </w:tr>
    </w:tbl>
    <w:p>
      <w:pPr>
        <w:spacing w:after="80"/>
      </w:pPr>
    </w:p>
    <w:p>
      <w:pPr>
        <w:pStyle w:val="Heading2"/>
        <w:spacing w:before="280" w:after="80"/>
      </w:pPr>
      <w:r>
        <w:rPr>
          <w:rFonts w:ascii="Arial" w:cs="Arial" w:eastAsia="Arial" w:hAnsi="Arial"/>
          <w:b/>
          <w:bCs/>
          <w:color w:val="2E6DA4"/>
          <w:sz w:val="24"/>
          <w:szCs w:val="24"/>
        </w:rPr>
        <w:t xml:space="preserve">What "this works" looks like at 90 days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Measure</w:t>
            </w:r>
          </w:p>
        </w:tc>
        <w:tc>
          <w:tcPr>
            <w:tcW w:type="dxa" w:w="30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Coaches act on briefings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 of high-risk alerts where coach initiates outreach within 7 days</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More than 60%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Outreach changes outcomes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Churn rate: flagged + contacted vs flagged + not contacted</w:t>
            </w:r>
          </w:p>
        </w:tc>
        <w:tc>
          <w:tcPr>
            <w:tcW w:type="dxa" w:w="3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Contacted members churn at measurably lower rate (H2)</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Briefing quality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"Would you miss this briefing if it stopped?"</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At least 2 of 3 coaches say yes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Model relevance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 flagged members churn more than unflagged members?</w:t>
            </w:r>
          </w:p>
        </w:tc>
        <w:tc>
          <w:tcPr>
            <w:tcW w:type="dxa" w:w="3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Flagged cohort churn rate at least 2x unflagged (H1)</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Operational reliability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Briefing delivered without failure</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At least 95% of scheduled runs succeed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GDPR compliance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 complaints, DPA in place, deletion executed on request</w:t>
            </w:r>
          </w:p>
        </w:tc>
        <w:tc>
          <w:tcPr>
            <w:tcW w:type="dxa" w:w="3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Zero compliance incidents</w:t>
            </w:r>
          </w:p>
        </w:tc>
      </w:tr>
    </w:tbl>
    <w:p>
      <w:pPr>
        <w:spacing w:after="80"/>
      </w:pPr>
    </w:p>
    <w:p>
      <w:pPr>
        <w:pStyle w:val="Heading2"/>
        <w:spacing w:before="280" w:after="80"/>
      </w:pPr>
      <w:r>
        <w:rPr>
          <w:rFonts w:ascii="Arial" w:cs="Arial" w:eastAsia="Arial" w:hAnsi="Arial"/>
          <w:b/>
          <w:bCs/>
          <w:color w:val="2E6DA4"/>
          <w:sz w:val="24"/>
          <w:szCs w:val="24"/>
        </w:rPr>
        <w:t xml:space="preserve">What "this works" looks like at 12 months (commercial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Criterion</w:t>
            </w:r>
          </w:p>
        </w:tc>
        <w:tc>
          <w:tcPr>
            <w:tcW w:type="dxa" w:w="3200"/>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Measure</w:t>
            </w:r>
          </w:p>
        </w:tc>
        <w:tc>
          <w:tcPr>
            <w:tcW w:type="dxa" w:w="3026"/>
            <w:tcBorders>
              <w:top w:val="single" w:color="CCCCCC" w:sz="1"/>
              <w:left w:val="single" w:color="CCCCCC" w:sz="1"/>
              <w:bottom w:val="single" w:color="CCCCCC" w:sz="1"/>
              <w:right w:val="single" w:color="CCCCCC" w:sz="1"/>
            </w:tcBorders>
            <w:shd w:fill="1A3C5E"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Studio retention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 of POC studios that renew beyond initial term</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At least 50%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Revenue per studio</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Annual retained revenue from AI-flagged outreach</w:t>
            </w:r>
          </w:p>
        </w:tc>
        <w:tc>
          <w:tcPr>
            <w:tcW w:type="dxa" w:w="3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At least 15,000 EUR (based on 40% churn, 1-in-3 intervention success)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Onboarding efficiency</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Time from DPA signing to first live briefing</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5 working days or fewer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Model accuracy on real data</w:t>
            </w:r>
          </w:p>
        </w:tc>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Accuracy on real studio hold-out set after retraining</w:t>
            </w:r>
          </w:p>
        </w:tc>
        <w:tc>
          <w:tcPr>
            <w:tcW w:type="dxa" w:w="3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At least 80%</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Coaching add-on adoption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 of studios with coaching clients that activate the add-on</w:t>
            </w:r>
          </w:p>
        </w:tc>
        <w:tc>
          <w:tcPr>
            <w:tcW w:type="dxa" w:w="30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At least 40%</w:t>
            </w:r>
          </w:p>
        </w:tc>
      </w:tr>
    </w:tbl>
    <w:p>
      <w:pPr>
        <w:spacing w:after="80"/>
      </w:pPr>
    </w:p>
    <w:p>
      <w:pPr>
        <w:pStyle w:val="Heading2"/>
        <w:spacing w:before="280" w:after="80"/>
      </w:pPr>
      <w:r>
        <w:rPr>
          <w:rFonts w:ascii="Arial" w:cs="Arial" w:eastAsia="Arial" w:hAnsi="Arial"/>
          <w:b/>
          <w:bCs/>
          <w:color w:val="2E6DA4"/>
          <w:sz w:val="24"/>
          <w:szCs w:val="24"/>
        </w:rPr>
        <w:t xml:space="preserve">What failure looks like, and what to do with it</w:t>
      </w:r>
    </w:p>
    <w:p>
      <w:pPr>
        <w:spacing w:after="120" w:line="276"/>
      </w:pPr>
      <w:r>
        <w:rPr>
          <w:rFonts w:ascii="Arial" w:cs="Arial" w:eastAsia="Arial" w:hAnsi="Arial"/>
          <w:sz w:val="22"/>
          <w:szCs w:val="22"/>
        </w:rPr>
        <w:t xml:space="preserve">A failed POC is not a wasted POC if the measurement framework is in place. If coaches read the briefings but do not change behaviour, the failure is in the briefing format or the outreach culture, not the model. If flagged members churn at the same rate as unflagged members, the failure is in the signal selection for this specific studio. Both outcomes are actionable. The 90-day joint debrief exists to make this decision clearly and honestly.</w:t>
      </w:r>
    </w:p>
    <w:p>
      <w:pPr>
        <w:pBdr>
          <w:left w:val="single" w:color="2E6DA4" w:sz="12" w:space="6"/>
        </w:pBdr>
        <w:spacing w:after="120"/>
        <w:ind w:left="400"/>
      </w:pPr>
      <w:r>
        <w:rPr>
          <w:rFonts w:ascii="Arial" w:cs="Arial" w:eastAsia="Arial" w:hAnsi="Arial"/>
          <w:i/>
          <w:iCs/>
          <w:color w:val="444444"/>
          <w:sz w:val="20"/>
          <w:szCs w:val="20"/>
        </w:rPr>
        <w:t xml:space="preserve">The entry criterion for Phase 2 is explicit: both H1 and H2 must pass with measurable evidence. Not "results look promising." Not "the studio owner is happy." Both hypotheses confirmed.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999999"/>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999999"/>
        <w:sz w:val="18"/>
        <w:szCs w:val="18"/>
      </w:rPr>
      <w:t xml:space="preserve">Boutique Fitness AI Retention System  |  Use Case Definition  |  Dina Bosma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C5E"/>
      <w:sz w:val="30"/>
      <w:szCs w:val="30"/>
    </w:rPr>
  </w:style>
  <w:style w:type="paragraph" w:styleId="Heading2">
    <w:name w:val="Heading 2"/>
    <w:basedOn w:val="Normal"/>
    <w:next w:val="Normal"/>
    <w:qFormat/>
    <w:pPr>
      <w:spacing w:before="280" w:after="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2026-03-26T20:29:55.841Z</dcterms:created>
  <dcterms:modified xsi:type="dcterms:W3CDTF">2026-03-26T20:29:55.841Z</dcterms:modified>
</cp:coreProperties>
</file>

<file path=docProps/custom.xml><?xml version="1.0" encoding="utf-8"?>
<Properties xmlns="http://schemas.openxmlformats.org/officeDocument/2006/custom-properties" xmlns:vt="http://schemas.openxmlformats.org/officeDocument/2006/docPropsVTypes"/>
</file>