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맑은 고딕" w:hAnsi="맑은 고딕" w:eastAsia="맑은 고딕"/>
          <w:b/>
          <w:i w:val="0"/>
          <w:color w:val="1F3364"/>
          <w:sz w:val="36"/>
        </w:rPr>
        <w:t>M1013 VLA 모방학습 · 전이학습 연구방향 정리</w:t>
      </w:r>
    </w:p>
    <w:p>
      <w:pPr>
        <w:spacing w:after="280"/>
        <w:jc w:val="center"/>
      </w:pPr>
      <w:r>
        <w:rPr>
          <w:rFonts w:ascii="맑은 고딕" w:hAnsi="맑은 고딕" w:eastAsia="맑은 고딕"/>
          <w:b w:val="0"/>
          <w:i w:val="0"/>
          <w:color w:val="555555"/>
          <w:sz w:val="22"/>
        </w:rPr>
        <w:t>이종 형상(Cross-embodiment) 로봇 간 모방학습 전이 — 축 불일치 문제의 재정의</w:t>
      </w:r>
    </w:p>
    <w:p>
      <w:pPr>
        <w:spacing w:after="320"/>
        <w:jc w:val="right"/>
      </w:pPr>
      <w:r>
        <w:rPr>
          <w:rFonts w:ascii="맑은 고딕" w:hAnsi="맑은 고딕" w:eastAsia="맑은 고딕"/>
          <w:b w:val="0"/>
          <w:i w:val="0"/>
          <w:color w:val="555555"/>
          <w:sz w:val="20"/>
        </w:rPr>
        <w:t>2026. 09. 09.</w:t>
      </w:r>
    </w:p>
    <w:tbl>
      <w:tblPr>
        <w:tblW w:type="auto" w:w="0"/>
        <w:jc w:val="center"/>
        <w:tblLook w:firstColumn="1" w:firstRow="1" w:lastColumn="0" w:lastRow="0" w:noHBand="0" w:noVBand="1" w:val="04A0"/>
      </w:tblPr>
      <w:tblGrid>
        <w:gridCol w:w="9518"/>
      </w:tblGrid>
      <w:tr>
        <w:tc>
          <w:tcPr>
            <w:tcW w:type="dxa" w:w="9184"/>
            <w:shd w:val="clear" w:color="auto" w:fill="1F3364"/>
          </w:tcPr>
          <w:p>
            <w:pPr>
              <w:spacing w:before="80" w:after="80"/>
            </w:pPr>
            <w:r>
              <w:rPr>
                <w:rFonts w:ascii="맑은 고딕" w:hAnsi="맑은 고딕" w:eastAsia="맑은 고딕"/>
                <w:b/>
                <w:i w:val="0"/>
                <w:color w:val="FFFFFF"/>
                <w:sz w:val="26"/>
              </w:rPr>
              <w:t>연구 주제 (한 문장)</w:t>
            </w:r>
          </w:p>
        </w:tc>
      </w:tr>
    </w:tbl>
    <w:p>
      <w:pPr>
        <w:spacing w:after="40"/>
      </w:pPr>
    </w:p>
    <w:tbl>
      <w:tblPr>
        <w:tblW w:type="auto" w:w="0"/>
        <w:tblLook w:firstColumn="1" w:firstRow="1" w:lastColumn="0" w:lastRow="0" w:noHBand="0" w:noVBand="1" w:val="04A0"/>
      </w:tblPr>
      <w:tblGrid>
        <w:gridCol w:w="9518"/>
      </w:tblGrid>
      <w:tr>
        <w:tc>
          <w:tcPr>
            <w:tcW w:type="dxa" w:w="9518"/>
            <w:shd w:val="clear" w:color="auto" w:fill="EEF2F8"/>
            <w:tcBorders>
              <w:top w:val="single" w:sz="4" w:color="1F3364"/>
              <w:left w:val="single" w:sz="12" w:color="1F3364"/>
              <w:bottom w:val="single" w:sz="4" w:color="1F3364"/>
              <w:right w:val="single" w:sz="4" w:color="1F3364"/>
            </w:tcBorders>
          </w:tcPr>
          <w:p>
            <w:pPr>
              <w:spacing w:before="80"/>
            </w:pPr>
            <w:r>
              <w:rPr>
                <w:rFonts w:ascii="맑은 고딕" w:hAnsi="맑은 고딕" w:eastAsia="맑은 고딕"/>
                <w:b/>
                <w:i w:val="0"/>
                <w:color w:val="1F3364"/>
                <w:sz w:val="21"/>
              </w:rPr>
              <w:t>■ 대표안</w:t>
            </w:r>
          </w:p>
          <w:p>
            <w:pPr>
              <w:spacing w:after="100"/>
            </w:pPr>
            <w:r>
              <w:rPr>
                <w:rFonts w:ascii="맑은 고딕" w:hAnsi="맑은 고딕" w:eastAsia="맑은 고딕"/>
                <w:b w:val="0"/>
                <w:i w:val="0"/>
                <w:sz w:val="21"/>
              </w:rPr>
              <w:t>저자유도(5축) 저가 매니퓰레이터에서 수집한 모방학습 데모가 고자유도(6축) 산업용 매니퓰레이터의 VLA 정책 학습에 기여하는 정도를, 엔드이펙터 pose 기반 공통 행동공간에서 정량화한다.</w:t>
            </w:r>
          </w:p>
        </w:tc>
      </w:tr>
    </w:tbl>
    <w:p>
      <w:pPr>
        <w:spacing w:after="40"/>
      </w:pPr>
    </w:p>
    <w:p>
      <w:pPr>
        <w:ind w:left="0"/>
      </w:pPr>
      <w:r>
        <w:rPr>
          <w:rFonts w:ascii="맑은 고딕" w:hAnsi="맑은 고딕" w:eastAsia="맑은 고딕"/>
          <w:b w:val="0"/>
          <w:i w:val="0"/>
          <w:sz w:val="21"/>
        </w:rPr>
        <w:t>· 보조안(실용 강조): 서로 다른 자유도의 로봇 데모를 EE pose 공통 표현으로 통합했을 때, 목표 로봇의 실물 데모를 몇 개까지 대체할 수 있는지를 데이터 효율 곡선으로 규명한다.</w:t>
      </w:r>
    </w:p>
    <w:p>
      <w:pPr>
        <w:ind w:left="0"/>
      </w:pPr>
      <w:r>
        <w:rPr>
          <w:rFonts w:ascii="맑은 고딕" w:hAnsi="맑은 고딕" w:eastAsia="맑은 고딕"/>
          <w:b w:val="0"/>
          <w:i w:val="0"/>
          <w:sz w:val="21"/>
        </w:rPr>
        <w:t>· 보조안(학술 강조): 형상 격차(morphology gap)와 도메인 격차(sim-to-real gap)가 VLA 전이 성능에 미치는 영향을 분리 측정하고, 자유도 결손 축을 보상하는 residual 어댑터 구조를 제안한다.</w:t>
      </w:r>
    </w:p>
    <w:p/>
    <w:tbl>
      <w:tblPr>
        <w:tblW w:type="auto" w:w="0"/>
        <w:jc w:val="center"/>
        <w:tblLook w:firstColumn="1" w:firstRow="1" w:lastColumn="0" w:lastRow="0" w:noHBand="0" w:noVBand="1" w:val="04A0"/>
      </w:tblPr>
      <w:tblGrid>
        <w:gridCol w:w="9518"/>
      </w:tblGrid>
      <w:tr>
        <w:tc>
          <w:tcPr>
            <w:tcW w:type="dxa" w:w="9184"/>
            <w:shd w:val="clear" w:color="auto" w:fill="1F3364"/>
          </w:tcPr>
          <w:p>
            <w:pPr>
              <w:spacing w:before="80" w:after="80"/>
            </w:pPr>
            <w:r>
              <w:rPr>
                <w:rFonts w:ascii="맑은 고딕" w:hAnsi="맑은 고딕" w:eastAsia="맑은 고딕"/>
                <w:b/>
                <w:i w:val="0"/>
                <w:color w:val="FFFFFF"/>
                <w:sz w:val="26"/>
              </w:rPr>
              <w:t>1. 현황 진단 — 문제의 재정의</w:t>
            </w:r>
          </w:p>
        </w:tc>
      </w:tr>
    </w:tbl>
    <w:p>
      <w:pPr>
        <w:spacing w:after="40"/>
      </w:pPr>
    </w:p>
    <w:p>
      <w:pPr>
        <w:spacing w:before="200" w:after="80"/>
      </w:pPr>
      <w:r>
        <w:rPr>
          <w:rFonts w:ascii="맑은 고딕" w:hAnsi="맑은 고딕" w:eastAsia="맑은 고딕"/>
          <w:b/>
          <w:i w:val="0"/>
          <w:color w:val="1F3364"/>
          <w:sz w:val="23"/>
        </w:rPr>
        <w:t>1.1  기존 인식</w:t>
      </w:r>
    </w:p>
    <w:p>
      <w:pPr>
        <w:ind w:left="0"/>
      </w:pPr>
      <w:r>
        <w:rPr>
          <w:rFonts w:ascii="맑은 고딕" w:hAnsi="맑은 고딕" w:eastAsia="맑은 고딕"/>
          <w:b w:val="0"/>
          <w:i w:val="0"/>
          <w:sz w:val="21"/>
        </w:rPr>
        <w:t>OMX(그리퍼 포함 6축)와 M1013(그리퍼 포함 7축)의 축 개수가 달라 모방학습 데이터를 그대로 전이할 수 없다는 것이 기존 문제 인식이었음.</w:t>
      </w:r>
    </w:p>
    <w:p>
      <w:pPr>
        <w:spacing w:before="200" w:after="80"/>
      </w:pPr>
      <w:r>
        <w:rPr>
          <w:rFonts w:ascii="맑은 고딕" w:hAnsi="맑은 고딕" w:eastAsia="맑은 고딕"/>
          <w:b/>
          <w:i w:val="0"/>
          <w:color w:val="1F3364"/>
          <w:sz w:val="23"/>
        </w:rPr>
        <w:t>1.2  데이터 확인 결과</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701"/>
            <w:shd w:val="clear" w:color="auto" w:fill="1F3364"/>
          </w:tcPr>
          <w:p>
            <w:pPr>
              <w:spacing w:after="40"/>
              <w:jc w:val="center"/>
            </w:pPr>
            <w:r>
              <w:rPr>
                <w:rFonts w:ascii="맑은 고딕" w:hAnsi="맑은 고딕" w:eastAsia="맑은 고딕"/>
                <w:b/>
                <w:i w:val="0"/>
                <w:color w:val="FFFFFF"/>
                <w:sz w:val="19"/>
              </w:rPr>
              <w:t>구분</w:t>
            </w:r>
          </w:p>
        </w:tc>
        <w:tc>
          <w:tcPr>
            <w:tcW w:type="dxa" w:w="1247"/>
            <w:shd w:val="clear" w:color="auto" w:fill="1F3364"/>
          </w:tcPr>
          <w:p>
            <w:pPr>
              <w:spacing w:after="40"/>
              <w:jc w:val="center"/>
            </w:pPr>
            <w:r>
              <w:rPr>
                <w:rFonts w:ascii="맑은 고딕" w:hAnsi="맑은 고딕" w:eastAsia="맑은 고딕"/>
                <w:b/>
                <w:i w:val="0"/>
                <w:color w:val="FFFFFF"/>
                <w:sz w:val="19"/>
              </w:rPr>
              <w:t>팔 자유도</w:t>
            </w:r>
          </w:p>
        </w:tc>
        <w:tc>
          <w:tcPr>
            <w:tcW w:type="dxa" w:w="1020"/>
            <w:shd w:val="clear" w:color="auto" w:fill="1F3364"/>
          </w:tcPr>
          <w:p>
            <w:pPr>
              <w:spacing w:after="40"/>
              <w:jc w:val="center"/>
            </w:pPr>
            <w:r>
              <w:rPr>
                <w:rFonts w:ascii="맑은 고딕" w:hAnsi="맑은 고딕" w:eastAsia="맑은 고딕"/>
                <w:b/>
                <w:i w:val="0"/>
                <w:color w:val="FFFFFF"/>
                <w:sz w:val="19"/>
              </w:rPr>
              <w:t>그리퍼</w:t>
            </w:r>
          </w:p>
        </w:tc>
        <w:tc>
          <w:tcPr>
            <w:tcW w:type="dxa" w:w="1814"/>
            <w:shd w:val="clear" w:color="auto" w:fill="1F3364"/>
          </w:tcPr>
          <w:p>
            <w:pPr>
              <w:spacing w:after="40"/>
              <w:jc w:val="center"/>
            </w:pPr>
            <w:r>
              <w:rPr>
                <w:rFonts w:ascii="맑은 고딕" w:hAnsi="맑은 고딕" w:eastAsia="맑은 고딕"/>
                <w:b/>
                <w:i w:val="0"/>
                <w:color w:val="FFFFFF"/>
                <w:sz w:val="19"/>
              </w:rPr>
              <w:t>행동벡터</w:t>
            </w:r>
          </w:p>
        </w:tc>
        <w:tc>
          <w:tcPr>
            <w:tcW w:type="dxa" w:w="3402"/>
            <w:shd w:val="clear" w:color="auto" w:fill="1F3364"/>
          </w:tcPr>
          <w:p>
            <w:pPr>
              <w:spacing w:after="40"/>
              <w:jc w:val="center"/>
            </w:pPr>
            <w:r>
              <w:rPr>
                <w:rFonts w:ascii="맑은 고딕" w:hAnsi="맑은 고딕" w:eastAsia="맑은 고딕"/>
                <w:b/>
                <w:i w:val="0"/>
                <w:color w:val="FFFFFF"/>
                <w:sz w:val="19"/>
              </w:rPr>
              <w:t>비고</w:t>
            </w:r>
          </w:p>
        </w:tc>
      </w:tr>
      <w:tr>
        <w:tc>
          <w:tcPr>
            <w:tcW w:type="dxa" w:w="1701"/>
          </w:tcPr>
          <w:p>
            <w:pPr>
              <w:spacing w:after="40"/>
              <w:jc w:val="left"/>
            </w:pPr>
            <w:r>
              <w:rPr>
                <w:rFonts w:ascii="맑은 고딕" w:hAnsi="맑은 고딕" w:eastAsia="맑은 고딕"/>
                <w:b/>
                <w:i w:val="0"/>
                <w:sz w:val="19"/>
              </w:rPr>
              <w:t>omx_f (소스)</w:t>
            </w:r>
          </w:p>
        </w:tc>
        <w:tc>
          <w:tcPr>
            <w:tcW w:type="dxa" w:w="1247"/>
          </w:tcPr>
          <w:p>
            <w:pPr>
              <w:spacing w:after="40"/>
              <w:jc w:val="center"/>
            </w:pPr>
            <w:r>
              <w:rPr>
                <w:rFonts w:ascii="맑은 고딕" w:hAnsi="맑은 고딕" w:eastAsia="맑은 고딕"/>
                <w:b w:val="0"/>
                <w:i w:val="0"/>
                <w:sz w:val="19"/>
              </w:rPr>
              <w:t>5축</w:t>
            </w:r>
          </w:p>
        </w:tc>
        <w:tc>
          <w:tcPr>
            <w:tcW w:type="dxa" w:w="1020"/>
          </w:tcPr>
          <w:p>
            <w:pPr>
              <w:spacing w:after="40"/>
              <w:jc w:val="center"/>
            </w:pPr>
            <w:r>
              <w:rPr>
                <w:rFonts w:ascii="맑은 고딕" w:hAnsi="맑은 고딕" w:eastAsia="맑은 고딕"/>
                <w:b w:val="0"/>
                <w:i w:val="0"/>
                <w:sz w:val="19"/>
              </w:rPr>
              <w:t>1</w:t>
            </w:r>
          </w:p>
        </w:tc>
        <w:tc>
          <w:tcPr>
            <w:tcW w:type="dxa" w:w="1814"/>
          </w:tcPr>
          <w:p>
            <w:pPr>
              <w:spacing w:after="40"/>
              <w:jc w:val="center"/>
            </w:pPr>
            <w:r>
              <w:rPr>
                <w:rFonts w:ascii="맑은 고딕" w:hAnsi="맑은 고딕" w:eastAsia="맑은 고딕"/>
                <w:b w:val="0"/>
                <w:i w:val="0"/>
                <w:sz w:val="19"/>
              </w:rPr>
              <w:t>7D (EE pose)</w:t>
            </w:r>
          </w:p>
        </w:tc>
        <w:tc>
          <w:tcPr>
            <w:tcW w:type="dxa" w:w="3402"/>
          </w:tcPr>
          <w:p>
            <w:pPr>
              <w:spacing w:after="40"/>
              <w:jc w:val="center"/>
            </w:pPr>
            <w:r>
              <w:rPr>
                <w:rFonts w:ascii="맑은 고딕" w:hAnsi="맑은 고딕" w:eastAsia="맑은 고딕"/>
                <w:b w:val="0"/>
                <w:i w:val="0"/>
                <w:sz w:val="19"/>
              </w:rPr>
              <w:t>joint1 yaw / joint2·3·4 pitch / joint5 roll</w:t>
            </w:r>
          </w:p>
        </w:tc>
      </w:tr>
      <w:tr>
        <w:tc>
          <w:tcPr>
            <w:tcW w:type="dxa" w:w="1701"/>
          </w:tcPr>
          <w:p>
            <w:pPr>
              <w:spacing w:after="40"/>
              <w:jc w:val="left"/>
            </w:pPr>
            <w:r>
              <w:rPr>
                <w:rFonts w:ascii="맑은 고딕" w:hAnsi="맑은 고딕" w:eastAsia="맑은 고딕"/>
                <w:b/>
                <w:i w:val="0"/>
                <w:sz w:val="19"/>
              </w:rPr>
              <w:t>M1013 (목표)</w:t>
            </w:r>
          </w:p>
        </w:tc>
        <w:tc>
          <w:tcPr>
            <w:tcW w:type="dxa" w:w="1247"/>
          </w:tcPr>
          <w:p>
            <w:pPr>
              <w:spacing w:after="40"/>
              <w:jc w:val="center"/>
            </w:pPr>
            <w:r>
              <w:rPr>
                <w:rFonts w:ascii="맑은 고딕" w:hAnsi="맑은 고딕" w:eastAsia="맑은 고딕"/>
                <w:b w:val="0"/>
                <w:i w:val="0"/>
                <w:sz w:val="19"/>
              </w:rPr>
              <w:t>6축</w:t>
            </w:r>
          </w:p>
        </w:tc>
        <w:tc>
          <w:tcPr>
            <w:tcW w:type="dxa" w:w="1020"/>
          </w:tcPr>
          <w:p>
            <w:pPr>
              <w:spacing w:after="40"/>
              <w:jc w:val="center"/>
            </w:pPr>
            <w:r>
              <w:rPr>
                <w:rFonts w:ascii="맑은 고딕" w:hAnsi="맑은 고딕" w:eastAsia="맑은 고딕"/>
                <w:b w:val="0"/>
                <w:i w:val="0"/>
                <w:sz w:val="19"/>
              </w:rPr>
              <w:t>1</w:t>
            </w:r>
          </w:p>
        </w:tc>
        <w:tc>
          <w:tcPr>
            <w:tcW w:type="dxa" w:w="1814"/>
          </w:tcPr>
          <w:p>
            <w:pPr>
              <w:spacing w:after="40"/>
              <w:jc w:val="center"/>
            </w:pPr>
            <w:r>
              <w:rPr>
                <w:rFonts w:ascii="맑은 고딕" w:hAnsi="맑은 고딕" w:eastAsia="맑은 고딕"/>
                <w:b w:val="0"/>
                <w:i w:val="0"/>
                <w:sz w:val="19"/>
              </w:rPr>
              <w:t>7D (EE pose)</w:t>
            </w:r>
          </w:p>
        </w:tc>
        <w:tc>
          <w:tcPr>
            <w:tcW w:type="dxa" w:w="3402"/>
          </w:tcPr>
          <w:p>
            <w:pPr>
              <w:spacing w:after="40"/>
              <w:jc w:val="center"/>
            </w:pPr>
            <w:r>
              <w:rPr>
                <w:rFonts w:ascii="맑은 고딕" w:hAnsi="맑은 고딕" w:eastAsia="맑은 고딕"/>
                <w:b w:val="0"/>
                <w:i w:val="0"/>
                <w:sz w:val="19"/>
              </w:rPr>
              <w:t>2026-09-20 도착 예정</w:t>
            </w:r>
          </w:p>
        </w:tc>
      </w:tr>
    </w:tbl>
    <w:p>
      <w:pPr>
        <w:spacing w:after="40"/>
      </w:pPr>
    </w:p>
    <w:p>
      <w:pPr>
        <w:ind w:left="0"/>
      </w:pPr>
      <w:r>
        <w:rPr>
          <w:rFonts w:ascii="맑은 고딕" w:hAnsi="맑은 고딕" w:eastAsia="맑은 고딕"/>
          <w:b w:val="0"/>
          <w:i w:val="0"/>
          <w:sz w:val="21"/>
        </w:rPr>
        <w:t>현재 사전학습 데이터셋(robot_type = omx_f, 159 에피소드 / 76,345 프레임)은 이미 [x, y, z, rx, ry, rz, gripper] 7차원 task-space 표현으로 구축되어 있음.</w:t>
      </w:r>
    </w:p>
    <w:tbl>
      <w:tblPr>
        <w:tblW w:type="auto" w:w="0"/>
        <w:tblLook w:firstColumn="1" w:firstRow="1" w:lastColumn="0" w:lastRow="0" w:noHBand="0" w:noVBand="1" w:val="04A0"/>
      </w:tblPr>
      <w:tblGrid>
        <w:gridCol w:w="9518"/>
      </w:tblGrid>
      <w:tr>
        <w:tc>
          <w:tcPr>
            <w:tcW w:type="dxa" w:w="9518"/>
            <w:shd w:val="clear" w:color="auto" w:fill="EEF2F8"/>
            <w:tcBorders>
              <w:top w:val="single" w:sz="4" w:color="1F3364"/>
              <w:left w:val="single" w:sz="12" w:color="1F3364"/>
              <w:bottom w:val="single" w:sz="4" w:color="1F3364"/>
              <w:right w:val="single" w:sz="4" w:color="1F3364"/>
            </w:tcBorders>
          </w:tcPr>
          <w:p>
            <w:pPr>
              <w:spacing w:before="80"/>
            </w:pPr>
            <w:r>
              <w:rPr>
                <w:rFonts w:ascii="맑은 고딕" w:hAnsi="맑은 고딕" w:eastAsia="맑은 고딕"/>
                <w:b/>
                <w:i w:val="0"/>
                <w:color w:val="1F3364"/>
                <w:sz w:val="21"/>
              </w:rPr>
              <w:t>■ 결론 1 — 축 개수는 이미 해결된 문제</w:t>
            </w:r>
          </w:p>
          <w:p>
            <w:pPr>
              <w:spacing w:after="100"/>
            </w:pPr>
            <w:r>
              <w:rPr>
                <w:rFonts w:ascii="맑은 고딕" w:hAnsi="맑은 고딕" w:eastAsia="맑은 고딕"/>
                <w:b w:val="0"/>
                <w:i w:val="0"/>
                <w:sz w:val="21"/>
              </w:rPr>
              <w:t>FK로 EE pose를 추출한 시점에서 관절 개수는 표현에서 사라졌음. OMX도 7D, M1013도 7D로 동일하며, 정책 출력(EE pose)을 IK로 목표 로봇의 관절값으로 되돌리는 경로도 이미 확보되어 있음.</w:t>
            </w:r>
          </w:p>
        </w:tc>
      </w:tr>
    </w:tbl>
    <w:p>
      <w:pPr>
        <w:spacing w:after="40"/>
      </w:pPr>
    </w:p>
    <w:tbl>
      <w:tblPr>
        <w:tblW w:type="auto" w:w="0"/>
        <w:tblLook w:firstColumn="1" w:firstRow="1" w:lastColumn="0" w:lastRow="0" w:noHBand="0" w:noVBand="1" w:val="04A0"/>
      </w:tblPr>
      <w:tblGrid>
        <w:gridCol w:w="9518"/>
      </w:tblGrid>
      <w:tr>
        <w:tc>
          <w:tcPr>
            <w:tcW w:type="dxa" w:w="9518"/>
            <w:shd w:val="clear" w:color="auto" w:fill="FBF0EC"/>
            <w:tcBorders>
              <w:top w:val="single" w:sz="4" w:color="C0502A"/>
              <w:left w:val="single" w:sz="12" w:color="C0502A"/>
              <w:bottom w:val="single" w:sz="4" w:color="C0502A"/>
              <w:right w:val="single" w:sz="4" w:color="C0502A"/>
            </w:tcBorders>
          </w:tcPr>
          <w:p>
            <w:pPr>
              <w:spacing w:before="80"/>
            </w:pPr>
            <w:r>
              <w:rPr>
                <w:rFonts w:ascii="맑은 고딕" w:hAnsi="맑은 고딕" w:eastAsia="맑은 고딕"/>
                <w:b/>
                <w:i w:val="0"/>
                <w:color w:val="1F3364"/>
                <w:sz w:val="21"/>
              </w:rPr>
              <w:t>■ 결론 2 — 실질 병목은 '자세 커버리지 결손'</w:t>
            </w:r>
          </w:p>
          <w:p>
            <w:pPr>
              <w:spacing w:after="100"/>
            </w:pPr>
            <w:r>
              <w:rPr>
                <w:rFonts w:ascii="맑은 고딕" w:hAnsi="맑은 고딕" w:eastAsia="맑은 고딕"/>
                <w:b w:val="0"/>
                <w:i w:val="0"/>
                <w:sz w:val="21"/>
              </w:rPr>
              <w:t>omx_f는 5축이므로 EE yaw를 독립적으로 제어할 수 없음. joint1이 베이스 회전축이라 EE의 yaw가 위치에 종속(yaw ≈ atan2(y, x))되며, 결과적으로 7차원 행동벡터 중 실질 자유도는 6개, SE(3) 내에서 5차원 부분다양체만 커버함. 즉 사전학습 데이터에 'yaw를 자유롭게 사용하는 조작' 사례가 원천적으로 존재하지 않는 것이 진짜 격차임.</w:t>
            </w:r>
          </w:p>
        </w:tc>
      </w:tr>
    </w:tbl>
    <w:p>
      <w:pPr>
        <w:spacing w:after="40"/>
      </w:pPr>
    </w:p>
    <w:p>
      <w:pPr>
        <w:ind w:left="0"/>
      </w:pPr>
      <w:r>
        <w:rPr>
          <w:rFonts w:ascii="맑은 고딕" w:hAnsi="맑은 고딕" w:eastAsia="맑은 고딕"/>
          <w:b w:val="0"/>
          <w:i w:val="0"/>
          <w:sz w:val="21"/>
        </w:rPr>
        <w:t>이 진단은 문제인 동시에 연구 프레이밍의 근거가 됨 — 자유도 결손을 제거 대상이 아니라 통제 변수로 삼으면 그 자체가 실험 설계가 됨.</w:t>
      </w:r>
    </w:p>
    <w:p>
      <w:r>
        <w:br w:type="page"/>
      </w:r>
    </w:p>
    <w:tbl>
      <w:tblPr>
        <w:tblW w:type="auto" w:w="0"/>
        <w:jc w:val="center"/>
        <w:tblLook w:firstColumn="1" w:firstRow="1" w:lastColumn="0" w:lastRow="0" w:noHBand="0" w:noVBand="1" w:val="04A0"/>
      </w:tblPr>
      <w:tblGrid>
        <w:gridCol w:w="9518"/>
      </w:tblGrid>
      <w:tr>
        <w:tc>
          <w:tcPr>
            <w:tcW w:type="dxa" w:w="9184"/>
            <w:shd w:val="clear" w:color="auto" w:fill="1F3364"/>
          </w:tcPr>
          <w:p>
            <w:pPr>
              <w:spacing w:before="80" w:after="80"/>
            </w:pPr>
            <w:r>
              <w:rPr>
                <w:rFonts w:ascii="맑은 고딕" w:hAnsi="맑은 고딕" w:eastAsia="맑은 고딕"/>
                <w:b/>
                <w:i w:val="0"/>
                <w:color w:val="FFFFFF"/>
                <w:sz w:val="26"/>
              </w:rPr>
              <w:t>방향 1. OMX → M1013 직접 전이 효과의 정량화 (권장)</w:t>
            </w:r>
          </w:p>
          <w:p>
            <w:pPr>
              <w:spacing w:after="80"/>
            </w:pPr>
            <w:r>
              <w:rPr>
                <w:rFonts w:ascii="맑은 고딕" w:hAnsi="맑은 고딕" w:eastAsia="맑은 고딕"/>
                <w:b w:val="0"/>
                <w:i w:val="0"/>
                <w:color w:val="C8D4E8"/>
                <w:sz w:val="19"/>
              </w:rPr>
              <w:t>'모방학습 데이터가 값어치를 하는가'에 대한 직접적 답</w:t>
            </w:r>
          </w:p>
        </w:tc>
      </w:tr>
    </w:tbl>
    <w:p>
      <w:pPr>
        <w:spacing w:after="40"/>
      </w:pPr>
    </w:p>
    <w:p>
      <w:pPr>
        <w:spacing w:before="200" w:after="80"/>
      </w:pPr>
      <w:r>
        <w:rPr>
          <w:rFonts w:ascii="맑은 고딕" w:hAnsi="맑은 고딕" w:eastAsia="맑은 고딕"/>
          <w:b/>
          <w:i w:val="0"/>
          <w:color w:val="1F3364"/>
          <w:sz w:val="23"/>
        </w:rPr>
        <w:t>핵심 아이디어</w:t>
      </w:r>
    </w:p>
    <w:p>
      <w:pPr>
        <w:ind w:left="0"/>
      </w:pPr>
      <w:r>
        <w:rPr>
          <w:rFonts w:ascii="맑은 고딕" w:hAnsi="맑은 고딕" w:eastAsia="맑은 고딕"/>
          <w:b w:val="0"/>
          <w:i w:val="0"/>
          <w:sz w:val="21"/>
        </w:rPr>
        <w:t>지도교수님 요구사항의 본질은 '모방학습 데이터가 실제로 효과가 있는가'를 보이는 것임. 이를 보이는 표준 형식은 데이터 효율 곡선(data efficiency curve)이며, 여기서 도출되는 등가 데이터량(data equivalence) 지표가 결론 문장이 됨. 보유 중인 omx_f 데이터 159 에피소드만으로 추가 장비 없이 즉시 착수 가능함.</w:t>
      </w:r>
    </w:p>
    <w:p>
      <w:pPr>
        <w:spacing w:before="200" w:after="80"/>
      </w:pPr>
      <w:r>
        <w:rPr>
          <w:rFonts w:ascii="맑은 고딕" w:hAnsi="맑은 고딕" w:eastAsia="맑은 고딕"/>
          <w:b/>
          <w:i w:val="0"/>
          <w:color w:val="1F3364"/>
          <w:sz w:val="23"/>
        </w:rPr>
        <w:t>1-A.  데이터 효율 곡선</w:t>
      </w:r>
    </w:p>
    <w:p>
      <w:pPr>
        <w:spacing w:after="60"/>
        <w:ind w:left="510" w:hanging="227"/>
      </w:pPr>
      <w:r>
        <w:rPr>
          <w:rFonts w:ascii="맑은 고딕" w:hAnsi="맑은 고딕" w:eastAsia="맑은 고딕"/>
          <w:b w:val="0"/>
          <w:i w:val="0"/>
          <w:sz w:val="21"/>
        </w:rPr>
        <w:t>• x축: M1013 실물 데모 개수 (10 / 30 / 60 / 120)</w:t>
      </w:r>
    </w:p>
    <w:p>
      <w:pPr>
        <w:spacing w:after="60"/>
        <w:ind w:left="510" w:hanging="227"/>
      </w:pPr>
      <w:r>
        <w:rPr>
          <w:rFonts w:ascii="맑은 고딕" w:hAnsi="맑은 고딕" w:eastAsia="맑은 고딕"/>
          <w:b w:val="0"/>
          <w:i w:val="0"/>
          <w:sz w:val="21"/>
        </w:rPr>
        <w:t>• y축: 태스크 성공률</w:t>
      </w:r>
    </w:p>
    <w:p>
      <w:pPr>
        <w:spacing w:after="60"/>
        <w:ind w:left="510" w:hanging="227"/>
      </w:pPr>
      <w:r>
        <w:rPr>
          <w:rFonts w:ascii="맑은 고딕" w:hAnsi="맑은 고딕" w:eastAsia="맑은 고딕"/>
          <w:b w:val="0"/>
          <w:i w:val="0"/>
          <w:sz w:val="21"/>
        </w:rPr>
        <w:t>• 곡선: ① scratch(M1013 데모만)  ② 비전 인코더만 전이  ③ 전체(비전+행동) 전이</w:t>
      </w:r>
    </w:p>
    <w:p>
      <w:pPr>
        <w:spacing w:after="60"/>
        <w:ind w:left="510" w:hanging="227"/>
      </w:pPr>
      <w:r>
        <w:rPr>
          <w:rFonts w:ascii="맑은 고딕" w:hAnsi="맑은 고딕" w:eastAsia="맑은 고딕"/>
          <w:b w:val="0"/>
          <w:i w:val="0"/>
          <w:sz w:val="21"/>
        </w:rPr>
        <w:t xml:space="preserve">• </w:t>
      </w:r>
      <w:r>
        <w:rPr>
          <w:rFonts w:ascii="맑은 고딕" w:hAnsi="맑은 고딕" w:eastAsia="맑은 고딕"/>
          <w:b/>
          <w:i w:val="0"/>
          <w:sz w:val="21"/>
        </w:rPr>
        <w:t xml:space="preserve">도출 지표: </w:t>
      </w:r>
      <w:r>
        <w:rPr>
          <w:rFonts w:ascii="맑은 고딕" w:hAnsi="맑은 고딕" w:eastAsia="맑은 고딕"/>
          <w:b/>
          <w:i w:val="0"/>
          <w:color w:val="C0502A"/>
          <w:sz w:val="21"/>
        </w:rPr>
        <w:t>"OMX 데모 159개 = M1013 실물 데모 N개 값어치"</w:t>
      </w:r>
      <w:r>
        <w:rPr>
          <w:rFonts w:ascii="맑은 고딕" w:hAnsi="맑은 고딕" w:eastAsia="맑은 고딕"/>
          <w:b w:val="0"/>
          <w:i w:val="0"/>
          <w:sz w:val="21"/>
        </w:rPr>
        <w:t xml:space="preserve"> — 이 한 문장이 보고의 결론</w:t>
      </w:r>
    </w:p>
    <w:p>
      <w:pPr>
        <w:spacing w:before="200" w:after="80"/>
      </w:pPr>
      <w:r>
        <w:rPr>
          <w:rFonts w:ascii="맑은 고딕" w:hAnsi="맑은 고딕" w:eastAsia="맑은 고딕"/>
          <w:b/>
          <w:i w:val="0"/>
          <w:color w:val="1F3364"/>
          <w:sz w:val="23"/>
        </w:rPr>
        <w:t>1-B.  전이 층위 3단 분해</w:t>
      </w:r>
    </w:p>
    <w:p>
      <w:pPr>
        <w:ind w:left="0"/>
      </w:pPr>
      <w:r>
        <w:rPr>
          <w:rFonts w:ascii="맑은 고딕" w:hAnsi="맑은 고딕" w:eastAsia="맑은 고딕"/>
          <w:b w:val="0"/>
          <w:i w:val="0"/>
          <w:sz w:val="21"/>
        </w:rPr>
        <w:t>어디까지 전이되고 어디부터 전이되지 않는지를 분해하여, 형상 격차의 영향 지점을 특정함.</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361"/>
            <w:shd w:val="clear" w:color="auto" w:fill="1F3364"/>
          </w:tcPr>
          <w:p>
            <w:pPr>
              <w:spacing w:after="40"/>
              <w:jc w:val="center"/>
            </w:pPr>
            <w:r>
              <w:rPr>
                <w:rFonts w:ascii="맑은 고딕" w:hAnsi="맑은 고딕" w:eastAsia="맑은 고딕"/>
                <w:b/>
                <w:i w:val="0"/>
                <w:color w:val="FFFFFF"/>
                <w:sz w:val="19"/>
              </w:rPr>
              <w:t>층위</w:t>
            </w:r>
          </w:p>
        </w:tc>
        <w:tc>
          <w:tcPr>
            <w:tcW w:type="dxa" w:w="2268"/>
            <w:shd w:val="clear" w:color="auto" w:fill="1F3364"/>
          </w:tcPr>
          <w:p>
            <w:pPr>
              <w:spacing w:after="40"/>
              <w:jc w:val="center"/>
            </w:pPr>
            <w:r>
              <w:rPr>
                <w:rFonts w:ascii="맑은 고딕" w:hAnsi="맑은 고딕" w:eastAsia="맑은 고딕"/>
                <w:b/>
                <w:i w:val="0"/>
                <w:color w:val="FFFFFF"/>
                <w:sz w:val="19"/>
              </w:rPr>
              <w:t>전이 범위</w:t>
            </w:r>
          </w:p>
        </w:tc>
        <w:tc>
          <w:tcPr>
            <w:tcW w:type="dxa" w:w="2381"/>
            <w:shd w:val="clear" w:color="auto" w:fill="1F3364"/>
          </w:tcPr>
          <w:p>
            <w:pPr>
              <w:spacing w:after="40"/>
              <w:jc w:val="center"/>
            </w:pPr>
            <w:r>
              <w:rPr>
                <w:rFonts w:ascii="맑은 고딕" w:hAnsi="맑은 고딕" w:eastAsia="맑은 고딕"/>
                <w:b/>
                <w:i w:val="0"/>
                <w:color w:val="FFFFFF"/>
                <w:sz w:val="19"/>
              </w:rPr>
              <w:t>행동공간 처리</w:t>
            </w:r>
          </w:p>
        </w:tc>
        <w:tc>
          <w:tcPr>
            <w:tcW w:type="dxa" w:w="3175"/>
            <w:shd w:val="clear" w:color="auto" w:fill="1F3364"/>
          </w:tcPr>
          <w:p>
            <w:pPr>
              <w:spacing w:after="40"/>
              <w:jc w:val="center"/>
            </w:pPr>
            <w:r>
              <w:rPr>
                <w:rFonts w:ascii="맑은 고딕" w:hAnsi="맑은 고딕" w:eastAsia="맑은 고딕"/>
                <w:b/>
                <w:i w:val="0"/>
                <w:color w:val="FFFFFF"/>
                <w:sz w:val="19"/>
              </w:rPr>
              <w:t>확인 사항</w:t>
            </w:r>
          </w:p>
        </w:tc>
      </w:tr>
      <w:tr>
        <w:tc>
          <w:tcPr>
            <w:tcW w:type="dxa" w:w="1361"/>
          </w:tcPr>
          <w:p>
            <w:pPr>
              <w:spacing w:after="40"/>
              <w:jc w:val="left"/>
            </w:pPr>
            <w:r>
              <w:rPr>
                <w:rFonts w:ascii="맑은 고딕" w:hAnsi="맑은 고딕" w:eastAsia="맑은 고딕"/>
                <w:b/>
                <w:i w:val="0"/>
                <w:sz w:val="19"/>
              </w:rPr>
              <w:t>L1 (지각)</w:t>
            </w:r>
          </w:p>
        </w:tc>
        <w:tc>
          <w:tcPr>
            <w:tcW w:type="dxa" w:w="2268"/>
          </w:tcPr>
          <w:p>
            <w:pPr>
              <w:spacing w:after="40"/>
              <w:jc w:val="center"/>
            </w:pPr>
            <w:r>
              <w:rPr>
                <w:rFonts w:ascii="맑은 고딕" w:hAnsi="맑은 고딕" w:eastAsia="맑은 고딕"/>
                <w:b w:val="0"/>
                <w:i w:val="0"/>
                <w:sz w:val="19"/>
              </w:rPr>
              <w:t>비전 인코더 + 언어 조건</w:t>
            </w:r>
          </w:p>
        </w:tc>
        <w:tc>
          <w:tcPr>
            <w:tcW w:type="dxa" w:w="2381"/>
          </w:tcPr>
          <w:p>
            <w:pPr>
              <w:spacing w:after="40"/>
              <w:jc w:val="center"/>
            </w:pPr>
            <w:r>
              <w:rPr>
                <w:rFonts w:ascii="맑은 고딕" w:hAnsi="맑은 고딕" w:eastAsia="맑은 고딕"/>
                <w:b w:val="0"/>
                <w:i w:val="0"/>
                <w:sz w:val="19"/>
              </w:rPr>
              <w:t>action head는 신규 학습</w:t>
            </w:r>
          </w:p>
        </w:tc>
        <w:tc>
          <w:tcPr>
            <w:tcW w:type="dxa" w:w="3175"/>
          </w:tcPr>
          <w:p>
            <w:pPr>
              <w:spacing w:after="40"/>
              <w:jc w:val="center"/>
            </w:pPr>
            <w:r>
              <w:rPr>
                <w:rFonts w:ascii="맑은 고딕" w:hAnsi="맑은 고딕" w:eastAsia="맑은 고딕"/>
                <w:b w:val="0"/>
                <w:i w:val="0"/>
                <w:sz w:val="19"/>
              </w:rPr>
              <w:t>축 문제를 완전히 회피한 전이 하한선</w:t>
            </w:r>
          </w:p>
        </w:tc>
      </w:tr>
      <w:tr>
        <w:tc>
          <w:tcPr>
            <w:tcW w:type="dxa" w:w="1361"/>
          </w:tcPr>
          <w:p>
            <w:pPr>
              <w:spacing w:after="40"/>
              <w:jc w:val="left"/>
            </w:pPr>
            <w:r>
              <w:rPr>
                <w:rFonts w:ascii="맑은 고딕" w:hAnsi="맑은 고딕" w:eastAsia="맑은 고딕"/>
                <w:b/>
                <w:i w:val="0"/>
                <w:sz w:val="19"/>
              </w:rPr>
              <w:t>L2 (전체)</w:t>
            </w:r>
          </w:p>
        </w:tc>
        <w:tc>
          <w:tcPr>
            <w:tcW w:type="dxa" w:w="2268"/>
          </w:tcPr>
          <w:p>
            <w:pPr>
              <w:spacing w:after="40"/>
              <w:jc w:val="center"/>
            </w:pPr>
            <w:r>
              <w:rPr>
                <w:rFonts w:ascii="맑은 고딕" w:hAnsi="맑은 고딕" w:eastAsia="맑은 고딕"/>
                <w:b w:val="0"/>
                <w:i w:val="0"/>
                <w:sz w:val="19"/>
              </w:rPr>
              <w:t>비전 + task-space 행동</w:t>
            </w:r>
          </w:p>
        </w:tc>
        <w:tc>
          <w:tcPr>
            <w:tcW w:type="dxa" w:w="2381"/>
          </w:tcPr>
          <w:p>
            <w:pPr>
              <w:spacing w:after="40"/>
              <w:jc w:val="center"/>
            </w:pPr>
            <w:r>
              <w:rPr>
                <w:rFonts w:ascii="맑은 고딕" w:hAnsi="맑은 고딕" w:eastAsia="맑은 고딕"/>
                <w:b w:val="0"/>
                <w:i w:val="0"/>
                <w:sz w:val="19"/>
              </w:rPr>
              <w:t>7D 행동 그대로 전이</w:t>
            </w:r>
          </w:p>
        </w:tc>
        <w:tc>
          <w:tcPr>
            <w:tcW w:type="dxa" w:w="3175"/>
          </w:tcPr>
          <w:p>
            <w:pPr>
              <w:spacing w:after="40"/>
              <w:jc w:val="center"/>
            </w:pPr>
            <w:r>
              <w:rPr>
                <w:rFonts w:ascii="맑은 고딕" w:hAnsi="맑은 고딕" w:eastAsia="맑은 고딕"/>
                <w:b w:val="0"/>
                <w:i w:val="0"/>
                <w:sz w:val="19"/>
              </w:rPr>
              <w:t>yaw 결손 부분공간이 도움인가 방해인가</w:t>
            </w:r>
          </w:p>
        </w:tc>
      </w:tr>
      <w:tr>
        <w:tc>
          <w:tcPr>
            <w:tcW w:type="dxa" w:w="1361"/>
          </w:tcPr>
          <w:p>
            <w:pPr>
              <w:spacing w:after="40"/>
              <w:jc w:val="left"/>
            </w:pPr>
            <w:r>
              <w:rPr>
                <w:rFonts w:ascii="맑은 고딕" w:hAnsi="맑은 고딕" w:eastAsia="맑은 고딕"/>
                <w:b/>
                <w:i w:val="0"/>
                <w:sz w:val="19"/>
              </w:rPr>
              <w:t>L3 (어댑터)</w:t>
            </w:r>
          </w:p>
        </w:tc>
        <w:tc>
          <w:tcPr>
            <w:tcW w:type="dxa" w:w="2268"/>
          </w:tcPr>
          <w:p>
            <w:pPr>
              <w:spacing w:after="40"/>
              <w:jc w:val="center"/>
            </w:pPr>
            <w:r>
              <w:rPr>
                <w:rFonts w:ascii="맑은 고딕" w:hAnsi="맑은 고딕" w:eastAsia="맑은 고딕"/>
                <w:b w:val="0"/>
                <w:i w:val="0"/>
                <w:sz w:val="19"/>
              </w:rPr>
              <w:t>L2 + yaw residual head</w:t>
            </w:r>
          </w:p>
        </w:tc>
        <w:tc>
          <w:tcPr>
            <w:tcW w:type="dxa" w:w="2381"/>
          </w:tcPr>
          <w:p>
            <w:pPr>
              <w:spacing w:after="40"/>
              <w:jc w:val="center"/>
            </w:pPr>
            <w:r>
              <w:rPr>
                <w:rFonts w:ascii="맑은 고딕" w:hAnsi="맑은 고딕" w:eastAsia="맑은 고딕"/>
                <w:b w:val="0"/>
                <w:i w:val="0"/>
                <w:sz w:val="19"/>
              </w:rPr>
              <w:t>결손 1축만 M1013 데모로 학습</w:t>
            </w:r>
          </w:p>
        </w:tc>
        <w:tc>
          <w:tcPr>
            <w:tcW w:type="dxa" w:w="3175"/>
          </w:tcPr>
          <w:p>
            <w:pPr>
              <w:spacing w:after="40"/>
              <w:jc w:val="center"/>
            </w:pPr>
            <w:r>
              <w:rPr>
                <w:rFonts w:ascii="맑은 고딕" w:hAnsi="맑은 고딕" w:eastAsia="맑은 고딕"/>
                <w:b w:val="0"/>
                <w:i w:val="0"/>
                <w:sz w:val="19"/>
              </w:rPr>
              <w:t>부족 자유도만 선택적으로 보강 가능한가</w:t>
            </w:r>
          </w:p>
        </w:tc>
      </w:tr>
    </w:tbl>
    <w:p>
      <w:pPr>
        <w:spacing w:after="40"/>
      </w:pPr>
    </w:p>
    <w:tbl>
      <w:tblPr>
        <w:tblW w:type="auto" w:w="0"/>
        <w:tblLook w:firstColumn="1" w:firstRow="1" w:lastColumn="0" w:lastRow="0" w:noHBand="0" w:noVBand="1" w:val="04A0"/>
      </w:tblPr>
      <w:tblGrid>
        <w:gridCol w:w="9518"/>
      </w:tblGrid>
      <w:tr>
        <w:tc>
          <w:tcPr>
            <w:tcW w:type="dxa" w:w="9518"/>
            <w:shd w:val="clear" w:color="auto" w:fill="FBF0EC"/>
            <w:tcBorders>
              <w:top w:val="single" w:sz="4" w:color="C0502A"/>
              <w:left w:val="single" w:sz="12" w:color="C0502A"/>
              <w:bottom w:val="single" w:sz="4" w:color="C0502A"/>
              <w:right w:val="single" w:sz="4" w:color="C0502A"/>
            </w:tcBorders>
          </w:tcPr>
          <w:p>
            <w:pPr>
              <w:spacing w:before="80"/>
            </w:pPr>
            <w:r>
              <w:rPr>
                <w:rFonts w:ascii="맑은 고딕" w:hAnsi="맑은 고딕" w:eastAsia="맑은 고딕"/>
                <w:b/>
                <w:i w:val="0"/>
                <w:color w:val="1F3364"/>
                <w:sz w:val="21"/>
              </w:rPr>
              <w:t>■ 이 설계의 강점 — 실패해도 결과가 남음</w:t>
            </w:r>
          </w:p>
          <w:p>
            <w:pPr>
              <w:spacing w:after="100"/>
            </w:pPr>
            <w:r>
              <w:rPr>
                <w:rFonts w:ascii="맑은 고딕" w:hAnsi="맑은 고딕" w:eastAsia="맑은 고딕"/>
                <w:b w:val="0"/>
                <w:i w:val="0"/>
                <w:sz w:val="21"/>
              </w:rPr>
              <w:t>L1이 L2보다 우수하게 나올 경우, 이는 실패가 아니라 '형상 격차가 행동공간 전이를 오염시킨다'는 독립적인 연구 결과임. 어떤 순위가 나오더라도 해석 가능한 결론이 도출되는 구조.</w:t>
            </w:r>
          </w:p>
        </w:tc>
      </w:tr>
    </w:tbl>
    <w:p>
      <w:pPr>
        <w:spacing w:after="40"/>
      </w:pPr>
    </w:p>
    <w:p>
      <w:pPr>
        <w:spacing w:before="200" w:after="80"/>
      </w:pPr>
      <w:r>
        <w:rPr>
          <w:rFonts w:ascii="맑은 고딕" w:hAnsi="맑은 고딕" w:eastAsia="맑은 고딕"/>
          <w:b/>
          <w:i w:val="0"/>
          <w:color w:val="1F3364"/>
          <w:sz w:val="23"/>
        </w:rPr>
        <w:t>1-C.  평가 태스크</w:t>
      </w:r>
    </w:p>
    <w:p>
      <w:pPr>
        <w:spacing w:after="60"/>
        <w:ind w:left="510" w:hanging="227"/>
      </w:pPr>
      <w:r>
        <w:rPr>
          <w:rFonts w:ascii="맑은 고딕" w:hAnsi="맑은 고딕" w:eastAsia="맑은 고딕"/>
          <w:b w:val="0"/>
          <w:i w:val="0"/>
          <w:sz w:val="21"/>
        </w:rPr>
        <w:t>• 기존 pick &amp; place 태스크를 기본 평가군으로 유지 (omx_f 데이터와 동일 태스크)</w:t>
      </w:r>
    </w:p>
    <w:p>
      <w:pPr>
        <w:spacing w:after="60"/>
        <w:ind w:left="510" w:hanging="227"/>
      </w:pPr>
      <w:r>
        <w:rPr>
          <w:rFonts w:ascii="맑은 고딕" w:hAnsi="맑은 고딕" w:eastAsia="맑은 고딕"/>
          <w:b w:val="0"/>
          <w:i w:val="0"/>
          <w:sz w:val="21"/>
        </w:rPr>
        <w:t>• yaw 자유도가 필요한 태스크(비스듬히 놓인 물체 파지 등)를 별도 평가군으로 추가</w:t>
      </w:r>
    </w:p>
    <w:p>
      <w:pPr>
        <w:spacing w:after="60"/>
        <w:ind w:left="510" w:hanging="227"/>
      </w:pPr>
      <w:r>
        <w:rPr>
          <w:rFonts w:ascii="맑은 고딕" w:hAnsi="맑은 고딕" w:eastAsia="맑은 고딕"/>
          <w:b w:val="0"/>
          <w:i w:val="0"/>
          <w:sz w:val="21"/>
        </w:rPr>
        <w:t>• → 두 평가군의 성능 격차가 곧 '자유도 결손의 비용'을 직접 보여주는 지표가 됨</w:t>
      </w:r>
    </w:p>
    <w:p>
      <w:r>
        <w:br w:type="page"/>
      </w:r>
    </w:p>
    <w:tbl>
      <w:tblPr>
        <w:tblW w:type="auto" w:w="0"/>
        <w:jc w:val="center"/>
        <w:tblLook w:firstColumn="1" w:firstRow="1" w:lastColumn="0" w:lastRow="0" w:noHBand="0" w:noVBand="1" w:val="04A0"/>
      </w:tblPr>
      <w:tblGrid>
        <w:gridCol w:w="9518"/>
      </w:tblGrid>
      <w:tr>
        <w:tc>
          <w:tcPr>
            <w:tcW w:type="dxa" w:w="9184"/>
            <w:shd w:val="clear" w:color="auto" w:fill="1F3364"/>
          </w:tcPr>
          <w:p>
            <w:pPr>
              <w:spacing w:before="80" w:after="80"/>
            </w:pPr>
            <w:r>
              <w:rPr>
                <w:rFonts w:ascii="맑은 고딕" w:hAnsi="맑은 고딕" w:eastAsia="맑은 고딕"/>
                <w:b/>
                <w:i w:val="0"/>
                <w:color w:val="FFFFFF"/>
                <w:sz w:val="26"/>
              </w:rPr>
              <w:t>방향 2. OMX를 사용하지 않는 사전학습 경로</w:t>
            </w:r>
          </w:p>
          <w:p>
            <w:pPr>
              <w:spacing w:after="80"/>
            </w:pPr>
            <w:r>
              <w:rPr>
                <w:rFonts w:ascii="맑은 고딕" w:hAnsi="맑은 고딕" w:eastAsia="맑은 고딕"/>
                <w:b w:val="0"/>
                <w:i w:val="0"/>
                <w:color w:val="C8D4E8"/>
                <w:sz w:val="19"/>
              </w:rPr>
              <w:t>자유도 결손 자체를 원천 회피하는 대안</w:t>
            </w:r>
          </w:p>
        </w:tc>
      </w:tr>
    </w:tbl>
    <w:p>
      <w:pPr>
        <w:spacing w:after="40"/>
      </w:pPr>
    </w:p>
    <w:p>
      <w:pPr>
        <w:spacing w:before="200" w:after="80"/>
      </w:pPr>
      <w:r>
        <w:rPr>
          <w:rFonts w:ascii="맑은 고딕" w:hAnsi="맑은 고딕" w:eastAsia="맑은 고딕"/>
          <w:b/>
          <w:i w:val="0"/>
          <w:color w:val="1F3364"/>
          <w:sz w:val="23"/>
        </w:rPr>
        <w:t>핵심 아이디어</w:t>
      </w:r>
    </w:p>
    <w:p>
      <w:pPr>
        <w:ind w:left="0"/>
      </w:pPr>
      <w:r>
        <w:rPr>
          <w:rFonts w:ascii="맑은 고딕" w:hAnsi="맑은 고딕" w:eastAsia="맑은 고딕"/>
          <w:b w:val="0"/>
          <w:i w:val="0"/>
          <w:sz w:val="21"/>
        </w:rPr>
        <w:t>방향 1이 'omx_f의 자유도 결손을 통제 변수로 삼는' 접근이라면, 방향 2는 사전학습 소스를 omx_f 이외의 것으로 대체하여 결손 자체를 발생시키지 않는 접근임. 형상 격차가 줄어드는 대신 다른 종류의 격차(도메인·시점·구현체)가 새로 생기므로, 무엇을 감수할지의 선택 문제가 됨.</w:t>
      </w:r>
    </w:p>
    <w:p>
      <w:pPr>
        <w:spacing w:before="200" w:after="80"/>
      </w:pPr>
      <w:r>
        <w:rPr>
          <w:rFonts w:ascii="맑은 고딕" w:hAnsi="맑은 고딕" w:eastAsia="맑은 고딕"/>
          <w:b/>
          <w:i w:val="0"/>
          <w:color w:val="1F3364"/>
          <w:sz w:val="23"/>
        </w:rPr>
        <w:t>2-A.  Isaac Sim 내 M1013 자체 데모  (최우선)</w:t>
      </w:r>
    </w:p>
    <w:p>
      <w:pPr>
        <w:spacing w:after="60"/>
        <w:ind w:left="510" w:hanging="227"/>
      </w:pPr>
      <w:r>
        <w:rPr>
          <w:rFonts w:ascii="맑은 고딕" w:hAnsi="맑은 고딕" w:eastAsia="맑은 고딕"/>
          <w:b w:val="0"/>
          <w:i w:val="0"/>
          <w:sz w:val="21"/>
        </w:rPr>
        <w:t xml:space="preserve">• </w:t>
      </w:r>
      <w:r>
        <w:rPr>
          <w:rFonts w:ascii="맑은 고딕" w:hAnsi="맑은 고딕" w:eastAsia="맑은 고딕"/>
          <w:b/>
          <w:i w:val="0"/>
          <w:color w:val="C0502A"/>
          <w:sz w:val="21"/>
        </w:rPr>
        <w:t xml:space="preserve">형상 격차 = 0. </w:t>
      </w:r>
      <w:r>
        <w:rPr>
          <w:rFonts w:ascii="맑은 고딕" w:hAnsi="맑은 고딕" w:eastAsia="맑은 고딕"/>
          <w:b w:val="0"/>
          <w:i w:val="0"/>
          <w:sz w:val="21"/>
        </w:rPr>
        <w:t>목표 로봇과 동일한 기구학으로 대량 데모를 생성하므로 자유도 결손·IK 재타겟팅 문제가 모두 소멸함. 남는 격차는 sim-to-real 하나뿐.</w:t>
      </w:r>
    </w:p>
    <w:p>
      <w:pPr>
        <w:spacing w:after="60"/>
        <w:ind w:left="510" w:hanging="227"/>
      </w:pPr>
      <w:r>
        <w:rPr>
          <w:rFonts w:ascii="맑은 고딕" w:hAnsi="맑은 고딕" w:eastAsia="맑은 고딕"/>
          <w:b w:val="0"/>
          <w:i w:val="0"/>
          <w:sz w:val="21"/>
        </w:rPr>
        <w:t>• 환경 구축 완료 상태 활용 가능 — 상판 높이 0.4624, TCP(파지점) 0.0725, 그리퍼 조인트 5종 + 플랜지 검증 완료</w:t>
      </w:r>
    </w:p>
    <w:p>
      <w:pPr>
        <w:spacing w:after="60"/>
        <w:ind w:left="510" w:hanging="227"/>
      </w:pPr>
      <w:r>
        <w:rPr>
          <w:rFonts w:ascii="맑은 고딕" w:hAnsi="맑은 고딕" w:eastAsia="맑은 고딕"/>
          <w:b w:val="0"/>
          <w:i w:val="0"/>
          <w:sz w:val="21"/>
        </w:rPr>
        <w:t>• 도메인 랜덤화(조명·텍스처·물체 위치·카메라 외부파라미터)로 sim-to-real 격차 완화</w:t>
      </w:r>
    </w:p>
    <w:p>
      <w:pPr>
        <w:spacing w:after="60"/>
        <w:ind w:left="510" w:hanging="227"/>
      </w:pPr>
      <w:r>
        <w:rPr>
          <w:rFonts w:ascii="맑은 고딕" w:hAnsi="맑은 고딕" w:eastAsia="맑은 고딕"/>
          <w:b w:val="0"/>
          <w:i w:val="0"/>
          <w:sz w:val="21"/>
        </w:rPr>
        <w:t>• 제약: 접촉 물리(파지 순간의 미끄러짐·변형)의 재현도가 실물 대비 낮음</w:t>
      </w:r>
    </w:p>
    <w:p>
      <w:pPr>
        <w:spacing w:before="200" w:after="80"/>
      </w:pPr>
      <w:r>
        <w:rPr>
          <w:rFonts w:ascii="맑은 고딕" w:hAnsi="맑은 고딕" w:eastAsia="맑은 고딕"/>
          <w:b/>
          <w:i w:val="0"/>
          <w:color w:val="1F3364"/>
          <w:sz w:val="23"/>
        </w:rPr>
        <w:t>2-B.  동형 6축 실물 로봇</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928"/>
            <w:shd w:val="clear" w:color="auto" w:fill="1F3364"/>
          </w:tcPr>
          <w:p>
            <w:pPr>
              <w:spacing w:after="40"/>
              <w:jc w:val="center"/>
            </w:pPr>
            <w:r>
              <w:rPr>
                <w:rFonts w:ascii="맑은 고딕" w:hAnsi="맑은 고딕" w:eastAsia="맑은 고딕"/>
                <w:b/>
                <w:i w:val="0"/>
                <w:color w:val="FFFFFF"/>
                <w:sz w:val="19"/>
              </w:rPr>
              <w:t>후보</w:t>
            </w:r>
          </w:p>
        </w:tc>
        <w:tc>
          <w:tcPr>
            <w:tcW w:type="dxa" w:w="1020"/>
            <w:shd w:val="clear" w:color="auto" w:fill="1F3364"/>
          </w:tcPr>
          <w:p>
            <w:pPr>
              <w:spacing w:after="40"/>
              <w:jc w:val="center"/>
            </w:pPr>
            <w:r>
              <w:rPr>
                <w:rFonts w:ascii="맑은 고딕" w:hAnsi="맑은 고딕" w:eastAsia="맑은 고딕"/>
                <w:b/>
                <w:i w:val="0"/>
                <w:color w:val="FFFFFF"/>
                <w:sz w:val="19"/>
              </w:rPr>
              <w:t>자유도</w:t>
            </w:r>
          </w:p>
        </w:tc>
        <w:tc>
          <w:tcPr>
            <w:tcW w:type="dxa" w:w="1247"/>
            <w:shd w:val="clear" w:color="auto" w:fill="1F3364"/>
          </w:tcPr>
          <w:p>
            <w:pPr>
              <w:spacing w:after="40"/>
              <w:jc w:val="center"/>
            </w:pPr>
            <w:r>
              <w:rPr>
                <w:rFonts w:ascii="맑은 고딕" w:hAnsi="맑은 고딕" w:eastAsia="맑은 고딕"/>
                <w:b/>
                <w:i w:val="0"/>
                <w:color w:val="FFFFFF"/>
                <w:sz w:val="19"/>
              </w:rPr>
              <w:t>형상 격차</w:t>
            </w:r>
          </w:p>
        </w:tc>
        <w:tc>
          <w:tcPr>
            <w:tcW w:type="dxa" w:w="4989"/>
            <w:shd w:val="clear" w:color="auto" w:fill="1F3364"/>
          </w:tcPr>
          <w:p>
            <w:pPr>
              <w:spacing w:after="40"/>
              <w:jc w:val="center"/>
            </w:pPr>
            <w:r>
              <w:rPr>
                <w:rFonts w:ascii="맑은 고딕" w:hAnsi="맑은 고딕" w:eastAsia="맑은 고딕"/>
                <w:b/>
                <w:i w:val="0"/>
                <w:color w:val="FFFFFF"/>
                <w:sz w:val="19"/>
              </w:rPr>
              <w:t>비고</w:t>
            </w:r>
          </w:p>
        </w:tc>
      </w:tr>
      <w:tr>
        <w:tc>
          <w:tcPr>
            <w:tcW w:type="dxa" w:w="1928"/>
          </w:tcPr>
          <w:p>
            <w:pPr>
              <w:spacing w:after="40"/>
              <w:jc w:val="left"/>
            </w:pPr>
            <w:r>
              <w:rPr>
                <w:rFonts w:ascii="맑은 고딕" w:hAnsi="맑은 고딕" w:eastAsia="맑은 고딕"/>
                <w:b/>
                <w:i w:val="0"/>
                <w:sz w:val="19"/>
              </w:rPr>
              <w:t>Doosan A0509</w:t>
            </w:r>
          </w:p>
        </w:tc>
        <w:tc>
          <w:tcPr>
            <w:tcW w:type="dxa" w:w="1020"/>
          </w:tcPr>
          <w:p>
            <w:pPr>
              <w:spacing w:after="40"/>
              <w:jc w:val="center"/>
            </w:pPr>
            <w:r>
              <w:rPr>
                <w:rFonts w:ascii="맑은 고딕" w:hAnsi="맑은 고딕" w:eastAsia="맑은 고딕"/>
                <w:b w:val="0"/>
                <w:i w:val="0"/>
                <w:sz w:val="19"/>
              </w:rPr>
              <w:t>6축</w:t>
            </w:r>
          </w:p>
        </w:tc>
        <w:tc>
          <w:tcPr>
            <w:tcW w:type="dxa" w:w="1247"/>
          </w:tcPr>
          <w:p>
            <w:pPr>
              <w:spacing w:after="40"/>
              <w:jc w:val="center"/>
            </w:pPr>
            <w:r>
              <w:rPr>
                <w:rFonts w:ascii="맑은 고딕" w:hAnsi="맑은 고딕" w:eastAsia="맑은 고딕"/>
                <w:b w:val="0"/>
                <w:i w:val="0"/>
                <w:sz w:val="19"/>
              </w:rPr>
              <w:t>매우 작음</w:t>
            </w:r>
          </w:p>
        </w:tc>
        <w:tc>
          <w:tcPr>
            <w:tcW w:type="dxa" w:w="4989"/>
          </w:tcPr>
          <w:p>
            <w:pPr>
              <w:spacing w:after="40"/>
              <w:jc w:val="center"/>
            </w:pPr>
            <w:r>
              <w:rPr>
                <w:rFonts w:ascii="맑은 고딕" w:hAnsi="맑은 고딕" w:eastAsia="맑은 고딕"/>
                <w:b w:val="0"/>
                <w:i w:val="0"/>
                <w:sz w:val="19"/>
              </w:rPr>
              <w:t>동일 제조사·동일 kinematic family. URDF 교체 수준으로 대응 가능</w:t>
            </w:r>
          </w:p>
        </w:tc>
      </w:tr>
      <w:tr>
        <w:tc>
          <w:tcPr>
            <w:tcW w:type="dxa" w:w="1928"/>
          </w:tcPr>
          <w:p>
            <w:pPr>
              <w:spacing w:after="40"/>
              <w:jc w:val="left"/>
            </w:pPr>
            <w:r>
              <w:rPr>
                <w:rFonts w:ascii="맑은 고딕" w:hAnsi="맑은 고딕" w:eastAsia="맑은 고딕"/>
                <w:b/>
                <w:i w:val="0"/>
                <w:sz w:val="19"/>
              </w:rPr>
              <w:t>xArm 6</w:t>
            </w:r>
          </w:p>
        </w:tc>
        <w:tc>
          <w:tcPr>
            <w:tcW w:type="dxa" w:w="1020"/>
          </w:tcPr>
          <w:p>
            <w:pPr>
              <w:spacing w:after="40"/>
              <w:jc w:val="center"/>
            </w:pPr>
            <w:r>
              <w:rPr>
                <w:rFonts w:ascii="맑은 고딕" w:hAnsi="맑은 고딕" w:eastAsia="맑은 고딕"/>
                <w:b w:val="0"/>
                <w:i w:val="0"/>
                <w:sz w:val="19"/>
              </w:rPr>
              <w:t>6축</w:t>
            </w:r>
          </w:p>
        </w:tc>
        <w:tc>
          <w:tcPr>
            <w:tcW w:type="dxa" w:w="1247"/>
          </w:tcPr>
          <w:p>
            <w:pPr>
              <w:spacing w:after="40"/>
              <w:jc w:val="center"/>
            </w:pPr>
            <w:r>
              <w:rPr>
                <w:rFonts w:ascii="맑은 고딕" w:hAnsi="맑은 고딕" w:eastAsia="맑은 고딕"/>
                <w:b w:val="0"/>
                <w:i w:val="0"/>
                <w:sz w:val="19"/>
              </w:rPr>
              <w:t>작음</w:t>
            </w:r>
          </w:p>
        </w:tc>
        <w:tc>
          <w:tcPr>
            <w:tcW w:type="dxa" w:w="4989"/>
          </w:tcPr>
          <w:p>
            <w:pPr>
              <w:spacing w:after="40"/>
              <w:jc w:val="center"/>
            </w:pPr>
            <w:r>
              <w:rPr>
                <w:rFonts w:ascii="맑은 고딕" w:hAnsi="맑은 고딕" w:eastAsia="맑은 고딕"/>
                <w:b w:val="0"/>
                <w:i w:val="0"/>
                <w:sz w:val="19"/>
              </w:rPr>
              <w:t>구조 동일(6축+그리퍼). 저가 실물 대안</w:t>
            </w:r>
          </w:p>
        </w:tc>
      </w:tr>
      <w:tr>
        <w:tc>
          <w:tcPr>
            <w:tcW w:type="dxa" w:w="1928"/>
          </w:tcPr>
          <w:p>
            <w:pPr>
              <w:spacing w:after="40"/>
              <w:jc w:val="left"/>
            </w:pPr>
            <w:r>
              <w:rPr>
                <w:rFonts w:ascii="맑은 고딕" w:hAnsi="맑은 고딕" w:eastAsia="맑은 고딕"/>
                <w:b/>
                <w:i w:val="0"/>
                <w:sz w:val="19"/>
              </w:rPr>
              <w:t>UR3e / UR5e</w:t>
            </w:r>
          </w:p>
        </w:tc>
        <w:tc>
          <w:tcPr>
            <w:tcW w:type="dxa" w:w="1020"/>
          </w:tcPr>
          <w:p>
            <w:pPr>
              <w:spacing w:after="40"/>
              <w:jc w:val="center"/>
            </w:pPr>
            <w:r>
              <w:rPr>
                <w:rFonts w:ascii="맑은 고딕" w:hAnsi="맑은 고딕" w:eastAsia="맑은 고딕"/>
                <w:b w:val="0"/>
                <w:i w:val="0"/>
                <w:sz w:val="19"/>
              </w:rPr>
              <w:t>6축</w:t>
            </w:r>
          </w:p>
        </w:tc>
        <w:tc>
          <w:tcPr>
            <w:tcW w:type="dxa" w:w="1247"/>
          </w:tcPr>
          <w:p>
            <w:pPr>
              <w:spacing w:after="40"/>
              <w:jc w:val="center"/>
            </w:pPr>
            <w:r>
              <w:rPr>
                <w:rFonts w:ascii="맑은 고딕" w:hAnsi="맑은 고딕" w:eastAsia="맑은 고딕"/>
                <w:b w:val="0"/>
                <w:i w:val="0"/>
                <w:sz w:val="19"/>
              </w:rPr>
              <w:t>작음</w:t>
            </w:r>
          </w:p>
        </w:tc>
        <w:tc>
          <w:tcPr>
            <w:tcW w:type="dxa" w:w="4989"/>
          </w:tcPr>
          <w:p>
            <w:pPr>
              <w:spacing w:after="40"/>
              <w:jc w:val="center"/>
            </w:pPr>
            <w:r>
              <w:rPr>
                <w:rFonts w:ascii="맑은 고딕" w:hAnsi="맑은 고딕" w:eastAsia="맑은 고딕"/>
                <w:b w:val="0"/>
                <w:i w:val="0"/>
                <w:sz w:val="19"/>
              </w:rPr>
              <w:t>구조 동일. 공개 데이터·레퍼런스가 풍부</w:t>
            </w:r>
          </w:p>
        </w:tc>
      </w:tr>
    </w:tbl>
    <w:p>
      <w:pPr>
        <w:spacing w:after="40"/>
      </w:pPr>
    </w:p>
    <w:p>
      <w:pPr>
        <w:spacing w:after="60"/>
        <w:ind w:left="510" w:hanging="227"/>
      </w:pPr>
      <w:r>
        <w:rPr>
          <w:rFonts w:ascii="맑은 고딕" w:hAnsi="맑은 고딕" w:eastAsia="맑은 고딕"/>
          <w:b w:val="0"/>
          <w:i w:val="0"/>
          <w:sz w:val="21"/>
        </w:rPr>
        <w:t>• 자유도가 일치하므로 yaw 결손이 발생하지 않고, EE pose 전이가 온전히 성립함</w:t>
      </w:r>
    </w:p>
    <w:p>
      <w:pPr>
        <w:spacing w:after="60"/>
        <w:ind w:left="510" w:hanging="227"/>
      </w:pPr>
      <w:r>
        <w:rPr>
          <w:rFonts w:ascii="맑은 고딕" w:hAnsi="맑은 고딕" w:eastAsia="맑은 고딕"/>
          <w:b w:val="0"/>
          <w:i w:val="0"/>
          <w:sz w:val="21"/>
        </w:rPr>
        <w:t>• 제약: 장비 확보 가능 여부가 관건. 확보 시 방향 1보다 전이 상한이 높을 것으로 예상</w:t>
      </w:r>
    </w:p>
    <w:p>
      <w:pPr>
        <w:spacing w:before="200" w:after="80"/>
      </w:pPr>
      <w:r>
        <w:rPr>
          <w:rFonts w:ascii="맑은 고딕" w:hAnsi="맑은 고딕" w:eastAsia="맑은 고딕"/>
          <w:b/>
          <w:i w:val="0"/>
          <w:color w:val="1F3364"/>
          <w:sz w:val="23"/>
        </w:rPr>
        <w:t>2-C.  공개 대규모 로봇 데이터셋</w:t>
      </w:r>
    </w:p>
    <w:p>
      <w:pPr>
        <w:spacing w:after="60"/>
        <w:ind w:left="510" w:hanging="227"/>
      </w:pPr>
      <w:r>
        <w:rPr>
          <w:rFonts w:ascii="맑은 고딕" w:hAnsi="맑은 고딕" w:eastAsia="맑은 고딕"/>
          <w:b w:val="0"/>
          <w:i w:val="0"/>
          <w:sz w:val="21"/>
        </w:rPr>
        <w:t>• Open X-Embodiment / DROID(Franka 7축) / BridgeData V2(WidowX 6DOF)</w:t>
      </w:r>
    </w:p>
    <w:p>
      <w:pPr>
        <w:spacing w:after="60"/>
        <w:ind w:left="510" w:hanging="227"/>
      </w:pPr>
      <w:r>
        <w:rPr>
          <w:rFonts w:ascii="맑은 고딕" w:hAnsi="맑은 고딕" w:eastAsia="맑은 고딕"/>
          <w:b w:val="0"/>
          <w:i w:val="0"/>
          <w:sz w:val="21"/>
        </w:rPr>
        <w:t>• 자체 수집 없이 '대규모 사전학습' 항목을 실험에 추가 가능</w:t>
      </w:r>
    </w:p>
    <w:p>
      <w:pPr>
        <w:spacing w:after="60"/>
        <w:ind w:left="510" w:hanging="227"/>
      </w:pPr>
      <w:r>
        <w:rPr>
          <w:rFonts w:ascii="맑은 고딕" w:hAnsi="맑은 고딕" w:eastAsia="맑은 고딕"/>
          <w:b w:val="0"/>
          <w:i w:val="0"/>
          <w:sz w:val="21"/>
        </w:rPr>
        <w:t xml:space="preserve">• </w:t>
      </w:r>
      <w:r>
        <w:rPr>
          <w:rFonts w:ascii="맑은 고딕" w:hAnsi="맑은 고딕" w:eastAsia="맑은 고딕"/>
          <w:b w:val="0"/>
          <w:i w:val="0"/>
          <w:sz w:val="21"/>
        </w:rPr>
        <w:t xml:space="preserve">자유도가 제각각인 로봇들을 이미 통합한 데이터셋이므로, </w:t>
      </w:r>
      <w:r>
        <w:rPr>
          <w:rFonts w:ascii="맑은 고딕" w:hAnsi="맑은 고딕" w:eastAsia="맑은 고딕"/>
          <w:b/>
          <w:i w:val="0"/>
          <w:sz w:val="21"/>
        </w:rPr>
        <w:t>축 불일치 처리의 표준 레시피(최대 DOF 패딩 + 마스킹 + embodiment 토큰)</w:t>
      </w:r>
      <w:r>
        <w:rPr>
          <w:rFonts w:ascii="맑은 고딕" w:hAnsi="맑은 고딕" w:eastAsia="맑은 고딕"/>
          <w:b w:val="0"/>
          <w:i w:val="0"/>
          <w:sz w:val="21"/>
        </w:rPr>
        <w:t>를 그대로 차용할 수 있음 — 본 연구의 축 문제에 대한 기성 해법 참조원</w:t>
      </w:r>
    </w:p>
    <w:p>
      <w:pPr>
        <w:spacing w:after="60"/>
        <w:ind w:left="510" w:hanging="227"/>
      </w:pPr>
      <w:r>
        <w:rPr>
          <w:rFonts w:ascii="맑은 고딕" w:hAnsi="맑은 고딕" w:eastAsia="맑은 고딕"/>
          <w:b w:val="0"/>
          <w:i w:val="0"/>
          <w:sz w:val="21"/>
        </w:rPr>
        <w:t>• 제약: 태스크·작업공간·카메라 시점이 본 연구 세팅과 달라 그대로는 성능 이득이 제한적</w:t>
      </w:r>
    </w:p>
    <w:p>
      <w:pPr>
        <w:spacing w:before="200" w:after="80"/>
      </w:pPr>
      <w:r>
        <w:rPr>
          <w:rFonts w:ascii="맑은 고딕" w:hAnsi="맑은 고딕" w:eastAsia="맑은 고딕"/>
          <w:b/>
          <w:i w:val="0"/>
          <w:color w:val="1F3364"/>
          <w:sz w:val="23"/>
        </w:rPr>
        <w:t>2-D.  인간 시연 영상 기반 사전학습</w:t>
      </w:r>
    </w:p>
    <w:p>
      <w:pPr>
        <w:spacing w:after="60"/>
        <w:ind w:left="510" w:hanging="227"/>
      </w:pPr>
      <w:r>
        <w:rPr>
          <w:rFonts w:ascii="맑은 고딕" w:hAnsi="맑은 고딕" w:eastAsia="맑은 고딕"/>
          <w:b w:val="0"/>
          <w:i w:val="0"/>
          <w:sz w:val="21"/>
        </w:rPr>
        <w:t>• Ego4D / Something-Something 등 인간 조작 영상으로 시각 표현만 사전학습 (R3M·VC-1 계열)</w:t>
      </w:r>
    </w:p>
    <w:p>
      <w:pPr>
        <w:spacing w:after="60"/>
        <w:ind w:left="510" w:hanging="227"/>
      </w:pPr>
      <w:r>
        <w:rPr>
          <w:rFonts w:ascii="맑은 고딕" w:hAnsi="맑은 고딕" w:eastAsia="맑은 고딕"/>
          <w:b w:val="0"/>
          <w:i w:val="0"/>
          <w:sz w:val="21"/>
        </w:rPr>
        <w:t>• 로봇 행동 레이블이 없으므로 자유도 개념 자체가 존재하지 않음 → 축 불일치 원천 무관</w:t>
      </w:r>
    </w:p>
    <w:p>
      <w:pPr>
        <w:spacing w:after="60"/>
        <w:ind w:left="510" w:hanging="227"/>
      </w:pPr>
      <w:r>
        <w:rPr>
          <w:rFonts w:ascii="맑은 고딕" w:hAnsi="맑은 고딕" w:eastAsia="맑은 고딕"/>
          <w:b w:val="0"/>
          <w:i w:val="0"/>
          <w:sz w:val="21"/>
        </w:rPr>
        <w:t>• 방향 1의 L1(지각 전이)과 결합 가능 — 비전 인코더 초기값으로 사용하고 행동은 M1013 데모로 학습</w:t>
      </w:r>
    </w:p>
    <w:p>
      <w:pPr>
        <w:spacing w:after="60"/>
        <w:ind w:left="510" w:hanging="227"/>
      </w:pPr>
      <w:r>
        <w:rPr>
          <w:rFonts w:ascii="맑은 고딕" w:hAnsi="맑은 고딕" w:eastAsia="맑은 고딕"/>
          <w:b w:val="0"/>
          <w:i w:val="0"/>
          <w:sz w:val="21"/>
        </w:rPr>
        <w:t>• 제약: 행동 사전지식이 전이되지 않아 단독으로는 데이터 효율 이득이 작음</w:t>
      </w:r>
    </w:p>
    <w:tbl>
      <w:tblPr>
        <w:tblW w:type="auto" w:w="0"/>
        <w:tblLook w:firstColumn="1" w:firstRow="1" w:lastColumn="0" w:lastRow="0" w:noHBand="0" w:noVBand="1" w:val="04A0"/>
      </w:tblPr>
      <w:tblGrid>
        <w:gridCol w:w="9518"/>
      </w:tblGrid>
      <w:tr>
        <w:tc>
          <w:tcPr>
            <w:tcW w:type="dxa" w:w="9518"/>
            <w:shd w:val="clear" w:color="auto" w:fill="EEF2F8"/>
            <w:tcBorders>
              <w:top w:val="single" w:sz="4" w:color="1F3364"/>
              <w:left w:val="single" w:sz="12" w:color="1F3364"/>
              <w:bottom w:val="single" w:sz="4" w:color="1F3364"/>
              <w:right w:val="single" w:sz="4" w:color="1F3364"/>
            </w:tcBorders>
          </w:tcPr>
          <w:p>
            <w:pPr>
              <w:spacing w:before="80"/>
            </w:pPr>
            <w:r>
              <w:rPr>
                <w:rFonts w:ascii="맑은 고딕" w:hAnsi="맑은 고딕" w:eastAsia="맑은 고딕"/>
                <w:b/>
                <w:i w:val="0"/>
                <w:color w:val="1F3364"/>
                <w:sz w:val="21"/>
              </w:rPr>
              <w:t>■ 방향 1과 방향 2를 함께 수행할 경우</w:t>
            </w:r>
          </w:p>
          <w:p>
            <w:pPr>
              <w:spacing w:after="100"/>
            </w:pPr>
            <w:r>
              <w:rPr>
                <w:rFonts w:ascii="맑은 고딕" w:hAnsi="맑은 고딕" w:eastAsia="맑은 고딕"/>
                <w:b w:val="0"/>
                <w:i w:val="0"/>
                <w:sz w:val="21"/>
              </w:rPr>
              <w:t>실물 OMX(형상 다름 · 실제 데이터)와 시뮬 M1013(형상 동일 · 시뮬 데이터)을 나란히 비교하면 「형상 격차와 도메인 격차 중 무엇이 VLA 전이에 더 해로운가」라는 독립적인 연구 질문이 성립함. 두 축을 분리 측정한 선행 사례가 많지 않아 기여도가 높음.</w:t>
            </w:r>
          </w:p>
        </w:tc>
      </w:tr>
    </w:tbl>
    <w:p>
      <w:pPr>
        <w:spacing w:after="40"/>
      </w:pPr>
    </w:p>
    <w:p>
      <w:r>
        <w:br w:type="page"/>
      </w:r>
    </w:p>
    <w:tbl>
      <w:tblPr>
        <w:tblW w:type="auto" w:w="0"/>
        <w:jc w:val="center"/>
        <w:tblLook w:firstColumn="1" w:firstRow="1" w:lastColumn="0" w:lastRow="0" w:noHBand="0" w:noVBand="1" w:val="04A0"/>
      </w:tblPr>
      <w:tblGrid>
        <w:gridCol w:w="9518"/>
      </w:tblGrid>
      <w:tr>
        <w:tc>
          <w:tcPr>
            <w:tcW w:type="dxa" w:w="9184"/>
            <w:shd w:val="clear" w:color="auto" w:fill="1F3364"/>
          </w:tcPr>
          <w:p>
            <w:pPr>
              <w:spacing w:before="80" w:after="80"/>
            </w:pPr>
            <w:r>
              <w:rPr>
                <w:rFonts w:ascii="맑은 고딕" w:hAnsi="맑은 고딕" w:eastAsia="맑은 고딕"/>
                <w:b/>
                <w:i w:val="0"/>
                <w:color w:val="FFFFFF"/>
                <w:sz w:val="26"/>
              </w:rPr>
              <w:t>3. 연구의 한계점</w:t>
            </w:r>
          </w:p>
          <w:p>
            <w:pPr>
              <w:spacing w:after="80"/>
            </w:pPr>
            <w:r>
              <w:rPr>
                <w:rFonts w:ascii="맑은 고딕" w:hAnsi="맑은 고딕" w:eastAsia="맑은 고딕"/>
                <w:b w:val="0"/>
                <w:i w:val="0"/>
                <w:color w:val="C8D4E8"/>
                <w:sz w:val="19"/>
              </w:rPr>
              <w:t>EE pose 기반 행동공간이 필연적으로 안고 가는 제약</w:t>
            </w:r>
          </w:p>
        </w:tc>
      </w:tr>
    </w:tbl>
    <w:p>
      <w:pPr>
        <w:spacing w:after="40"/>
      </w:pPr>
    </w:p>
    <w:p>
      <w:pPr>
        <w:spacing w:before="200" w:after="80"/>
      </w:pPr>
      <w:r>
        <w:rPr>
          <w:rFonts w:ascii="맑은 고딕" w:hAnsi="맑은 고딕" w:eastAsia="맑은 고딕"/>
          <w:b/>
          <w:i w:val="0"/>
          <w:color w:val="1F3364"/>
          <w:sz w:val="23"/>
        </w:rPr>
        <w:t>3.1  IK 특이점(singularity) 문제</w:t>
      </w:r>
    </w:p>
    <w:p>
      <w:pPr>
        <w:ind w:left="0"/>
      </w:pPr>
      <w:r>
        <w:rPr>
          <w:rFonts w:ascii="맑은 고딕" w:hAnsi="맑은 고딕" w:eastAsia="맑은 고딕"/>
          <w:b w:val="0"/>
          <w:i w:val="0"/>
          <w:sz w:val="21"/>
        </w:rPr>
        <w:t>본 연구는 정책이 EE pose를 출력하고 이를 IK로 목표 로봇의 관절값으로 변환하는 구조를 전제함. 이 구조는 축 불일치를 해소하는 대신, 관절공간 제어에는 없는 특이점 문제를 새로 떠안게 됨.</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1F3364"/>
          </w:tcPr>
          <w:p>
            <w:pPr>
              <w:spacing w:after="40"/>
              <w:jc w:val="center"/>
            </w:pPr>
            <w:r>
              <w:rPr>
                <w:rFonts w:ascii="맑은 고딕" w:hAnsi="맑은 고딕" w:eastAsia="맑은 고딕"/>
                <w:b/>
                <w:i w:val="0"/>
                <w:color w:val="FFFFFF"/>
                <w:sz w:val="19"/>
              </w:rPr>
              <w:t>특이점 유형</w:t>
            </w:r>
          </w:p>
        </w:tc>
        <w:tc>
          <w:tcPr>
            <w:tcW w:type="dxa" w:w="3628"/>
            <w:shd w:val="clear" w:color="auto" w:fill="1F3364"/>
          </w:tcPr>
          <w:p>
            <w:pPr>
              <w:spacing w:after="40"/>
              <w:jc w:val="center"/>
            </w:pPr>
            <w:r>
              <w:rPr>
                <w:rFonts w:ascii="맑은 고딕" w:hAnsi="맑은 고딕" w:eastAsia="맑은 고딕"/>
                <w:b/>
                <w:i w:val="0"/>
                <w:color w:val="FFFFFF"/>
                <w:sz w:val="19"/>
              </w:rPr>
              <w:t>발생 조건</w:t>
            </w:r>
          </w:p>
        </w:tc>
        <w:tc>
          <w:tcPr>
            <w:tcW w:type="dxa" w:w="3855"/>
            <w:shd w:val="clear" w:color="auto" w:fill="1F3364"/>
          </w:tcPr>
          <w:p>
            <w:pPr>
              <w:spacing w:after="40"/>
              <w:jc w:val="center"/>
            </w:pPr>
            <w:r>
              <w:rPr>
                <w:rFonts w:ascii="맑은 고딕" w:hAnsi="맑은 고딕" w:eastAsia="맑은 고딕"/>
                <w:b/>
                <w:i w:val="0"/>
                <w:color w:val="FFFFFF"/>
                <w:sz w:val="19"/>
              </w:rPr>
              <w:t>증상</w:t>
            </w:r>
          </w:p>
        </w:tc>
      </w:tr>
      <w:tr>
        <w:tc>
          <w:tcPr>
            <w:tcW w:type="dxa" w:w="1701"/>
          </w:tcPr>
          <w:p>
            <w:pPr>
              <w:spacing w:after="40"/>
              <w:jc w:val="left"/>
            </w:pPr>
            <w:r>
              <w:rPr>
                <w:rFonts w:ascii="맑은 고딕" w:hAnsi="맑은 고딕" w:eastAsia="맑은 고딕"/>
                <w:b/>
                <w:i w:val="0"/>
                <w:sz w:val="19"/>
              </w:rPr>
              <w:t>손목 특이점</w:t>
            </w:r>
          </w:p>
        </w:tc>
        <w:tc>
          <w:tcPr>
            <w:tcW w:type="dxa" w:w="3628"/>
          </w:tcPr>
          <w:p>
            <w:pPr>
              <w:spacing w:after="40"/>
              <w:jc w:val="center"/>
            </w:pPr>
            <w:r>
              <w:rPr>
                <w:rFonts w:ascii="맑은 고딕" w:hAnsi="맑은 고딕" w:eastAsia="맑은 고딕"/>
                <w:b w:val="0"/>
                <w:i w:val="0"/>
                <w:sz w:val="19"/>
              </w:rPr>
              <w:t>손목 축 2개가 정렬(4·6축 동축)</w:t>
            </w:r>
          </w:p>
        </w:tc>
        <w:tc>
          <w:tcPr>
            <w:tcW w:type="dxa" w:w="3855"/>
          </w:tcPr>
          <w:p>
            <w:pPr>
              <w:spacing w:after="40"/>
              <w:jc w:val="center"/>
            </w:pPr>
            <w:r>
              <w:rPr>
                <w:rFonts w:ascii="맑은 고딕" w:hAnsi="맑은 고딕" w:eastAsia="맑은 고딕"/>
                <w:b w:val="0"/>
                <w:i w:val="0"/>
                <w:sz w:val="19"/>
              </w:rPr>
              <w:t>해당 회전 자유도 상실, 관절속도 급증</w:t>
            </w:r>
          </w:p>
        </w:tc>
      </w:tr>
      <w:tr>
        <w:tc>
          <w:tcPr>
            <w:tcW w:type="dxa" w:w="1701"/>
          </w:tcPr>
          <w:p>
            <w:pPr>
              <w:spacing w:after="40"/>
              <w:jc w:val="left"/>
            </w:pPr>
            <w:r>
              <w:rPr>
                <w:rFonts w:ascii="맑은 고딕" w:hAnsi="맑은 고딕" w:eastAsia="맑은 고딕"/>
                <w:b/>
                <w:i w:val="0"/>
                <w:sz w:val="19"/>
              </w:rPr>
              <w:t>어깨 특이점</w:t>
            </w:r>
          </w:p>
        </w:tc>
        <w:tc>
          <w:tcPr>
            <w:tcW w:type="dxa" w:w="3628"/>
          </w:tcPr>
          <w:p>
            <w:pPr>
              <w:spacing w:after="40"/>
              <w:jc w:val="center"/>
            </w:pPr>
            <w:r>
              <w:rPr>
                <w:rFonts w:ascii="맑은 고딕" w:hAnsi="맑은 고딕" w:eastAsia="맑은 고딕"/>
                <w:b w:val="0"/>
                <w:i w:val="0"/>
                <w:sz w:val="19"/>
              </w:rPr>
              <w:t>손목 중심이 1축 회전축 선상에 위치</w:t>
            </w:r>
          </w:p>
        </w:tc>
        <w:tc>
          <w:tcPr>
            <w:tcW w:type="dxa" w:w="3855"/>
          </w:tcPr>
          <w:p>
            <w:pPr>
              <w:spacing w:after="40"/>
              <w:jc w:val="center"/>
            </w:pPr>
            <w:r>
              <w:rPr>
                <w:rFonts w:ascii="맑은 고딕" w:hAnsi="맑은 고딕" w:eastAsia="맑은 고딕"/>
                <w:b w:val="0"/>
                <w:i w:val="0"/>
                <w:sz w:val="19"/>
              </w:rPr>
              <w:t>베이스 회전 관절의 속도 발산</w:t>
            </w:r>
          </w:p>
        </w:tc>
      </w:tr>
      <w:tr>
        <w:tc>
          <w:tcPr>
            <w:tcW w:type="dxa" w:w="1701"/>
          </w:tcPr>
          <w:p>
            <w:pPr>
              <w:spacing w:after="40"/>
              <w:jc w:val="left"/>
            </w:pPr>
            <w:r>
              <w:rPr>
                <w:rFonts w:ascii="맑은 고딕" w:hAnsi="맑은 고딕" w:eastAsia="맑은 고딕"/>
                <w:b/>
                <w:i w:val="0"/>
                <w:sz w:val="19"/>
              </w:rPr>
              <w:t>팔꿈치 특이점</w:t>
            </w:r>
          </w:p>
        </w:tc>
        <w:tc>
          <w:tcPr>
            <w:tcW w:type="dxa" w:w="3628"/>
          </w:tcPr>
          <w:p>
            <w:pPr>
              <w:spacing w:after="40"/>
              <w:jc w:val="center"/>
            </w:pPr>
            <w:r>
              <w:rPr>
                <w:rFonts w:ascii="맑은 고딕" w:hAnsi="맑은 고딕" w:eastAsia="맑은 고딕"/>
                <w:b w:val="0"/>
                <w:i w:val="0"/>
                <w:sz w:val="19"/>
              </w:rPr>
              <w:t>팔이 완전히 펴진 작업공간 경계</w:t>
            </w:r>
          </w:p>
        </w:tc>
        <w:tc>
          <w:tcPr>
            <w:tcW w:type="dxa" w:w="3855"/>
          </w:tcPr>
          <w:p>
            <w:pPr>
              <w:spacing w:after="40"/>
              <w:jc w:val="center"/>
            </w:pPr>
            <w:r>
              <w:rPr>
                <w:rFonts w:ascii="맑은 고딕" w:hAnsi="맑은 고딕" w:eastAsia="맑은 고딕"/>
                <w:b w:val="0"/>
                <w:i w:val="0"/>
                <w:sz w:val="19"/>
              </w:rPr>
              <w:t>IK 해 소멸 또는 해의 불연속 점프</w:t>
            </w:r>
          </w:p>
        </w:tc>
      </w:tr>
    </w:tbl>
    <w:p>
      <w:pPr>
        <w:spacing w:after="40"/>
      </w:pPr>
    </w:p>
    <w:p>
      <w:pPr>
        <w:spacing w:after="60"/>
        <w:ind w:left="510" w:hanging="227"/>
      </w:pPr>
      <w:r>
        <w:rPr>
          <w:rFonts w:ascii="맑은 고딕" w:hAnsi="맑은 고딕" w:eastAsia="맑은 고딕"/>
          <w:b w:val="0"/>
          <w:i w:val="0"/>
          <w:sz w:val="21"/>
        </w:rPr>
        <w:t>• 정책이 출력한 pose가 특이점 근방일 경우, 자코비안 역행렬이 발산하여 관절 지령속도가 폭주함</w:t>
      </w:r>
    </w:p>
    <w:p>
      <w:pPr>
        <w:spacing w:after="60"/>
        <w:ind w:left="510" w:hanging="227"/>
      </w:pPr>
      <w:r>
        <w:rPr>
          <w:rFonts w:ascii="맑은 고딕" w:hAnsi="맑은 고딕" w:eastAsia="맑은 고딕"/>
          <w:b w:val="0"/>
          <w:i w:val="0"/>
          <w:sz w:val="21"/>
        </w:rPr>
        <w:t>• 연속된 프레임에서 IK 해가 다른 분지(branch)로 점프하면, 궤적이 매끄럽던 학습 데이터와 달리 실행 시 급격한 자세 변화가 발생함</w:t>
      </w:r>
    </w:p>
    <w:p>
      <w:pPr>
        <w:spacing w:after="60"/>
        <w:ind w:left="510" w:hanging="227"/>
      </w:pPr>
      <w:r>
        <w:rPr>
          <w:rFonts w:ascii="맑은 고딕" w:hAnsi="맑은 고딕" w:eastAsia="맑은 고딕"/>
          <w:b w:val="0"/>
          <w:i w:val="0"/>
          <w:sz w:val="21"/>
        </w:rPr>
        <w:t xml:space="preserve">• </w:t>
      </w:r>
      <w:r>
        <w:rPr>
          <w:rFonts w:ascii="맑은 고딕" w:hAnsi="맑은 고딕" w:eastAsia="맑은 고딕"/>
          <w:b/>
          <w:i w:val="0"/>
          <w:color w:val="C0502A"/>
          <w:sz w:val="21"/>
        </w:rPr>
        <w:t>사전학습 소스(omx_f 5축)와 목표 로봇(M1013 6축)의 특이점 분포가 서로 다르므로, OMX에서는 안전했던 궤적이 M1013에서는 특이점을 통과할 수 있음</w:t>
      </w:r>
    </w:p>
    <w:p>
      <w:pPr>
        <w:spacing w:before="200" w:after="80"/>
      </w:pPr>
      <w:r>
        <w:rPr>
          <w:rFonts w:ascii="맑은 고딕" w:hAnsi="맑은 고딕" w:eastAsia="맑은 고딕"/>
          <w:b/>
          <w:i w:val="0"/>
          <w:color w:val="1F3364"/>
          <w:sz w:val="23"/>
        </w:rPr>
        <w:t>3.2  특이점 회피를 위한 작업공간 제약</w:t>
      </w:r>
    </w:p>
    <w:p>
      <w:pPr>
        <w:ind w:left="0"/>
      </w:pPr>
      <w:r>
        <w:rPr>
          <w:rFonts w:ascii="맑은 고딕" w:hAnsi="맑은 고딕" w:eastAsia="맑은 고딕"/>
          <w:b w:val="0"/>
          <w:i w:val="0"/>
          <w:sz w:val="21"/>
        </w:rPr>
        <w:t>특이점 통과를 실물에서 허용할 수 없으므로, 작업대의 위치·높이·물체 배치 범위를 특이점에서 충분히 떨어진 영역으로 제한하여 실험을 구성하게 됨. 이는 안전상 불가피한 선택이지만, 동시에 본 연구 결과의 적용 범위를 좁히는 한계로 작용함.</w:t>
      </w:r>
    </w:p>
    <w:p>
      <w:pPr>
        <w:spacing w:after="60"/>
        <w:ind w:left="510" w:hanging="227"/>
      </w:pPr>
      <w:r>
        <w:rPr>
          <w:rFonts w:ascii="맑은 고딕" w:hAnsi="맑은 고딕" w:eastAsia="맑은 고딕"/>
          <w:b w:val="0"/>
          <w:i w:val="0"/>
          <w:sz w:val="21"/>
        </w:rPr>
        <w:t>• 작업대를 로봇 전방 특정 거리·높이 대역으로 고정 → 학습·평가 작업공간이 전체 도달영역의 일부로 한정됨</w:t>
      </w:r>
    </w:p>
    <w:p>
      <w:pPr>
        <w:spacing w:after="60"/>
        <w:ind w:left="510" w:hanging="227"/>
      </w:pPr>
      <w:r>
        <w:rPr>
          <w:rFonts w:ascii="맑은 고딕" w:hAnsi="맑은 고딕" w:eastAsia="맑은 고딕"/>
          <w:b w:val="0"/>
          <w:i w:val="0"/>
          <w:sz w:val="21"/>
        </w:rPr>
        <w:t>• 정책이 학습한 분포가 제한된 영역에 한정되므로, 작업대 위치가 바뀌면 성능 보장이 어려움 (일반화 범위의 제약)</w:t>
      </w:r>
    </w:p>
    <w:p>
      <w:pPr>
        <w:spacing w:after="60"/>
        <w:ind w:left="510" w:hanging="227"/>
      </w:pPr>
      <w:r>
        <w:rPr>
          <w:rFonts w:ascii="맑은 고딕" w:hAnsi="맑은 고딕" w:eastAsia="맑은 고딕"/>
          <w:b w:val="0"/>
          <w:i w:val="0"/>
          <w:sz w:val="21"/>
        </w:rPr>
        <w:t>• omx_f의 작업공간(리치 약 30cm)과 M1013(약 1.3m급)의 스케일 차이가 커, 정규화 후에도 두 로봇이 공통으로 안전한 영역은 더욱 좁아짐</w:t>
      </w:r>
    </w:p>
    <w:p>
      <w:pPr>
        <w:spacing w:after="60"/>
        <w:ind w:left="510" w:hanging="227"/>
      </w:pPr>
      <w:r>
        <w:rPr>
          <w:rFonts w:ascii="맑은 고딕" w:hAnsi="맑은 고딕" w:eastAsia="맑은 고딕"/>
          <w:b w:val="0"/>
          <w:i w:val="0"/>
          <w:sz w:val="21"/>
        </w:rPr>
        <w:t xml:space="preserve">• </w:t>
      </w:r>
      <w:r>
        <w:rPr>
          <w:rFonts w:ascii="맑은 고딕" w:hAnsi="맑은 고딕" w:eastAsia="맑은 고딕"/>
          <w:b/>
          <w:i w:val="0"/>
          <w:sz w:val="21"/>
        </w:rPr>
        <w:t xml:space="preserve">결과 해석 시 명시 필요: </w:t>
      </w:r>
      <w:r>
        <w:rPr>
          <w:rFonts w:ascii="맑은 고딕" w:hAnsi="맑은 고딕" w:eastAsia="맑은 고딕"/>
          <w:b w:val="0"/>
          <w:i w:val="0"/>
          <w:sz w:val="21"/>
        </w:rPr>
        <w:t>보고되는 성공률은 '특이점 회피가 보장된 제한 작업영역'에서의 값이며, 전 작업공간에 대한 성능이 아님</w:t>
      </w:r>
    </w:p>
    <w:p>
      <w:pPr>
        <w:spacing w:before="200" w:after="80"/>
      </w:pPr>
      <w:r>
        <w:rPr>
          <w:rFonts w:ascii="맑은 고딕" w:hAnsi="맑은 고딕" w:eastAsia="맑은 고딕"/>
          <w:b/>
          <w:i w:val="0"/>
          <w:color w:val="1F3364"/>
          <w:sz w:val="23"/>
        </w:rPr>
        <w:t>3.3  완화 방안 (한계 인정 + 대응)</w:t>
      </w:r>
    </w:p>
    <w:tbl>
      <w:tblPr>
        <w:tblStyle w:val="TableGrid"/>
        <w:tblW w:type="auto" w:w="0"/>
        <w:jc w:val="center"/>
        <w:tblLook w:firstColumn="1" w:firstRow="1" w:lastColumn="0" w:lastRow="0" w:noHBand="0" w:noVBand="1" w:val="04A0"/>
      </w:tblPr>
      <w:tblGrid>
        <w:gridCol w:w="3173"/>
        <w:gridCol w:w="3173"/>
        <w:gridCol w:w="3173"/>
      </w:tblGrid>
      <w:tr>
        <w:tc>
          <w:tcPr>
            <w:tcW w:type="dxa" w:w="1587"/>
            <w:shd w:val="clear" w:color="auto" w:fill="1F3364"/>
          </w:tcPr>
          <w:p>
            <w:pPr>
              <w:spacing w:after="40"/>
              <w:jc w:val="center"/>
            </w:pPr>
            <w:r>
              <w:rPr>
                <w:rFonts w:ascii="맑은 고딕" w:hAnsi="맑은 고딕" w:eastAsia="맑은 고딕"/>
                <w:b/>
                <w:i w:val="0"/>
                <w:color w:val="FFFFFF"/>
                <w:sz w:val="19"/>
              </w:rPr>
              <w:t>구분</w:t>
            </w:r>
          </w:p>
        </w:tc>
        <w:tc>
          <w:tcPr>
            <w:tcW w:type="dxa" w:w="4082"/>
            <w:shd w:val="clear" w:color="auto" w:fill="1F3364"/>
          </w:tcPr>
          <w:p>
            <w:pPr>
              <w:spacing w:after="40"/>
              <w:jc w:val="center"/>
            </w:pPr>
            <w:r>
              <w:rPr>
                <w:rFonts w:ascii="맑은 고딕" w:hAnsi="맑은 고딕" w:eastAsia="맑은 고딕"/>
                <w:b/>
                <w:i w:val="0"/>
                <w:color w:val="FFFFFF"/>
                <w:sz w:val="19"/>
              </w:rPr>
              <w:t>방안</w:t>
            </w:r>
          </w:p>
        </w:tc>
        <w:tc>
          <w:tcPr>
            <w:tcW w:type="dxa" w:w="3515"/>
            <w:shd w:val="clear" w:color="auto" w:fill="1F3364"/>
          </w:tcPr>
          <w:p>
            <w:pPr>
              <w:spacing w:after="40"/>
              <w:jc w:val="center"/>
            </w:pPr>
            <w:r>
              <w:rPr>
                <w:rFonts w:ascii="맑은 고딕" w:hAnsi="맑은 고딕" w:eastAsia="맑은 고딕"/>
                <w:b/>
                <w:i w:val="0"/>
                <w:color w:val="FFFFFF"/>
                <w:sz w:val="19"/>
              </w:rPr>
              <w:t>효과</w:t>
            </w:r>
          </w:p>
        </w:tc>
      </w:tr>
      <w:tr>
        <w:tc>
          <w:tcPr>
            <w:tcW w:type="dxa" w:w="1587"/>
          </w:tcPr>
          <w:p>
            <w:pPr>
              <w:spacing w:after="40"/>
              <w:jc w:val="left"/>
            </w:pPr>
            <w:r>
              <w:rPr>
                <w:rFonts w:ascii="맑은 고딕" w:hAnsi="맑은 고딕" w:eastAsia="맑은 고딕"/>
                <w:b/>
                <w:i w:val="0"/>
                <w:sz w:val="19"/>
              </w:rPr>
              <w:t>작업영역 선정</w:t>
            </w:r>
          </w:p>
        </w:tc>
        <w:tc>
          <w:tcPr>
            <w:tcW w:type="dxa" w:w="4082"/>
          </w:tcPr>
          <w:p>
            <w:pPr>
              <w:spacing w:after="40"/>
              <w:jc w:val="center"/>
            </w:pPr>
            <w:r>
              <w:rPr>
                <w:rFonts w:ascii="맑은 고딕" w:hAnsi="맑은 고딕" w:eastAsia="맑은 고딕"/>
                <w:b w:val="0"/>
                <w:i w:val="0"/>
                <w:sz w:val="19"/>
              </w:rPr>
              <w:t>manipulability index 기반으로 특이점에서 먼 영역을 정량 산출하여 작업대 배치</w:t>
            </w:r>
          </w:p>
        </w:tc>
        <w:tc>
          <w:tcPr>
            <w:tcW w:type="dxa" w:w="3515"/>
          </w:tcPr>
          <w:p>
            <w:pPr>
              <w:spacing w:after="40"/>
              <w:jc w:val="center"/>
            </w:pPr>
            <w:r>
              <w:rPr>
                <w:rFonts w:ascii="맑은 고딕" w:hAnsi="맑은 고딕" w:eastAsia="맑은 고딕"/>
                <w:b w:val="0"/>
                <w:i w:val="0"/>
                <w:sz w:val="19"/>
              </w:rPr>
              <w:t>제약을 임의 설정이 아닌 근거 있는 설계로 전환</w:t>
            </w:r>
          </w:p>
        </w:tc>
      </w:tr>
      <w:tr>
        <w:tc>
          <w:tcPr>
            <w:tcW w:type="dxa" w:w="1587"/>
          </w:tcPr>
          <w:p>
            <w:pPr>
              <w:spacing w:after="40"/>
              <w:jc w:val="left"/>
            </w:pPr>
            <w:r>
              <w:rPr>
                <w:rFonts w:ascii="맑은 고딕" w:hAnsi="맑은 고딕" w:eastAsia="맑은 고딕"/>
                <w:b/>
                <w:i w:val="0"/>
                <w:sz w:val="19"/>
              </w:rPr>
              <w:t>IK 수치안정화</w:t>
            </w:r>
          </w:p>
        </w:tc>
        <w:tc>
          <w:tcPr>
            <w:tcW w:type="dxa" w:w="4082"/>
          </w:tcPr>
          <w:p>
            <w:pPr>
              <w:spacing w:after="40"/>
              <w:jc w:val="center"/>
            </w:pPr>
            <w:r>
              <w:rPr>
                <w:rFonts w:ascii="맑은 고딕" w:hAnsi="맑은 고딕" w:eastAsia="맑은 고딕"/>
                <w:b w:val="0"/>
                <w:i w:val="0"/>
                <w:sz w:val="19"/>
              </w:rPr>
              <w:t>damped least squares(DLS) 기반 IK로 특이점 근방 속도 발산 억제</w:t>
            </w:r>
          </w:p>
        </w:tc>
        <w:tc>
          <w:tcPr>
            <w:tcW w:type="dxa" w:w="3515"/>
          </w:tcPr>
          <w:p>
            <w:pPr>
              <w:spacing w:after="40"/>
              <w:jc w:val="center"/>
            </w:pPr>
            <w:r>
              <w:rPr>
                <w:rFonts w:ascii="맑은 고딕" w:hAnsi="맑은 고딕" w:eastAsia="맑은 고딕"/>
                <w:b w:val="0"/>
                <w:i w:val="0"/>
                <w:sz w:val="19"/>
              </w:rPr>
              <w:t>폭주 방지, 단 해의 정확도는 일부 희생</w:t>
            </w:r>
          </w:p>
        </w:tc>
      </w:tr>
      <w:tr>
        <w:tc>
          <w:tcPr>
            <w:tcW w:type="dxa" w:w="1587"/>
          </w:tcPr>
          <w:p>
            <w:pPr>
              <w:spacing w:after="40"/>
              <w:jc w:val="left"/>
            </w:pPr>
            <w:r>
              <w:rPr>
                <w:rFonts w:ascii="맑은 고딕" w:hAnsi="맑은 고딕" w:eastAsia="맑은 고딕"/>
                <w:b/>
                <w:i w:val="0"/>
                <w:sz w:val="19"/>
              </w:rPr>
              <w:t>해 연속성</w:t>
            </w:r>
          </w:p>
        </w:tc>
        <w:tc>
          <w:tcPr>
            <w:tcW w:type="dxa" w:w="4082"/>
          </w:tcPr>
          <w:p>
            <w:pPr>
              <w:spacing w:after="40"/>
              <w:jc w:val="center"/>
            </w:pPr>
            <w:r>
              <w:rPr>
                <w:rFonts w:ascii="맑은 고딕" w:hAnsi="맑은 고딕" w:eastAsia="맑은 고딕"/>
                <w:b w:val="0"/>
                <w:i w:val="0"/>
                <w:sz w:val="19"/>
              </w:rPr>
              <w:t>직전 프레임 관절값을 시드로 사용해 IK 분지 점프 억제</w:t>
            </w:r>
          </w:p>
        </w:tc>
        <w:tc>
          <w:tcPr>
            <w:tcW w:type="dxa" w:w="3515"/>
          </w:tcPr>
          <w:p>
            <w:pPr>
              <w:spacing w:after="40"/>
              <w:jc w:val="center"/>
            </w:pPr>
            <w:r>
              <w:rPr>
                <w:rFonts w:ascii="맑은 고딕" w:hAnsi="맑은 고딕" w:eastAsia="맑은 고딕"/>
                <w:b w:val="0"/>
                <w:i w:val="0"/>
                <w:sz w:val="19"/>
              </w:rPr>
              <w:t>궤적 불연속 완화</w:t>
            </w:r>
          </w:p>
        </w:tc>
      </w:tr>
      <w:tr>
        <w:tc>
          <w:tcPr>
            <w:tcW w:type="dxa" w:w="1587"/>
          </w:tcPr>
          <w:p>
            <w:pPr>
              <w:spacing w:after="40"/>
              <w:jc w:val="left"/>
            </w:pPr>
            <w:r>
              <w:rPr>
                <w:rFonts w:ascii="맑은 고딕" w:hAnsi="맑은 고딕" w:eastAsia="맑은 고딕"/>
                <w:b/>
                <w:i w:val="0"/>
                <w:sz w:val="19"/>
              </w:rPr>
              <w:t>학습 단계 반영</w:t>
            </w:r>
          </w:p>
        </w:tc>
        <w:tc>
          <w:tcPr>
            <w:tcW w:type="dxa" w:w="4082"/>
          </w:tcPr>
          <w:p>
            <w:pPr>
              <w:spacing w:after="40"/>
              <w:jc w:val="center"/>
            </w:pPr>
            <w:r>
              <w:rPr>
                <w:rFonts w:ascii="맑은 고딕" w:hAnsi="맑은 고딕" w:eastAsia="맑은 고딕"/>
                <w:b w:val="0"/>
                <w:i w:val="0"/>
                <w:sz w:val="19"/>
              </w:rPr>
              <w:t>특이점 근접도를 학습 손실의 페널티 항으로 추가</w:t>
            </w:r>
          </w:p>
        </w:tc>
        <w:tc>
          <w:tcPr>
            <w:tcW w:type="dxa" w:w="3515"/>
          </w:tcPr>
          <w:p>
            <w:pPr>
              <w:spacing w:after="40"/>
              <w:jc w:val="center"/>
            </w:pPr>
            <w:r>
              <w:rPr>
                <w:rFonts w:ascii="맑은 고딕" w:hAnsi="맑은 고딕" w:eastAsia="맑은 고딕"/>
                <w:b w:val="0"/>
                <w:i w:val="0"/>
                <w:sz w:val="19"/>
              </w:rPr>
              <w:t>정책이 특이점 근방 pose를 애초에 회피하도록 유도</w:t>
            </w:r>
          </w:p>
        </w:tc>
      </w:tr>
      <w:tr>
        <w:tc>
          <w:tcPr>
            <w:tcW w:type="dxa" w:w="1587"/>
          </w:tcPr>
          <w:p>
            <w:pPr>
              <w:spacing w:after="40"/>
              <w:jc w:val="left"/>
            </w:pPr>
            <w:r>
              <w:rPr>
                <w:rFonts w:ascii="맑은 고딕" w:hAnsi="맑은 고딕" w:eastAsia="맑은 고딕"/>
                <w:b/>
                <w:i w:val="0"/>
                <w:sz w:val="19"/>
              </w:rPr>
              <w:t>구조적 대안</w:t>
            </w:r>
          </w:p>
        </w:tc>
        <w:tc>
          <w:tcPr>
            <w:tcW w:type="dxa" w:w="4082"/>
          </w:tcPr>
          <w:p>
            <w:pPr>
              <w:spacing w:after="40"/>
              <w:jc w:val="center"/>
            </w:pPr>
            <w:r>
              <w:rPr>
                <w:rFonts w:ascii="맑은 고딕" w:hAnsi="맑은 고딕" w:eastAsia="맑은 고딕"/>
                <w:b w:val="0"/>
                <w:i w:val="0"/>
                <w:sz w:val="19"/>
              </w:rPr>
              <w:t>방향 2-A(Isaac Sim 내 M1013 자체 데모) 채택</w:t>
            </w:r>
          </w:p>
        </w:tc>
        <w:tc>
          <w:tcPr>
            <w:tcW w:type="dxa" w:w="3515"/>
          </w:tcPr>
          <w:p>
            <w:pPr>
              <w:spacing w:after="40"/>
              <w:jc w:val="center"/>
            </w:pPr>
            <w:r>
              <w:rPr>
                <w:rFonts w:ascii="맑은 고딕" w:hAnsi="맑은 고딕" w:eastAsia="맑은 고딕"/>
                <w:b w:val="0"/>
                <w:i w:val="0"/>
                <w:sz w:val="19"/>
              </w:rPr>
              <w:t>재타겟팅 자체가 없어 특이점 문제의 상당 부분이 소멸</w:t>
            </w:r>
          </w:p>
        </w:tc>
      </w:tr>
    </w:tbl>
    <w:p>
      <w:pPr>
        <w:spacing w:after="40"/>
      </w:pPr>
    </w:p>
    <w:tbl>
      <w:tblPr>
        <w:tblW w:type="auto" w:w="0"/>
        <w:tblLook w:firstColumn="1" w:firstRow="1" w:lastColumn="0" w:lastRow="0" w:noHBand="0" w:noVBand="1" w:val="04A0"/>
      </w:tblPr>
      <w:tblGrid>
        <w:gridCol w:w="9518"/>
      </w:tblGrid>
      <w:tr>
        <w:tc>
          <w:tcPr>
            <w:tcW w:type="dxa" w:w="9518"/>
            <w:shd w:val="clear" w:color="auto" w:fill="FBF0EC"/>
            <w:tcBorders>
              <w:top w:val="single" w:sz="4" w:color="C0502A"/>
              <w:left w:val="single" w:sz="12" w:color="C0502A"/>
              <w:bottom w:val="single" w:sz="4" w:color="C0502A"/>
              <w:right w:val="single" w:sz="4" w:color="C0502A"/>
            </w:tcBorders>
          </w:tcPr>
          <w:p>
            <w:pPr>
              <w:spacing w:before="80"/>
            </w:pPr>
            <w:r>
              <w:rPr>
                <w:rFonts w:ascii="맑은 고딕" w:hAnsi="맑은 고딕" w:eastAsia="맑은 고딕"/>
                <w:b/>
                <w:i w:val="0"/>
                <w:color w:val="1F3364"/>
                <w:sz w:val="21"/>
              </w:rPr>
              <w:t>■ 한계점의 연구적 의미</w:t>
            </w:r>
          </w:p>
          <w:p>
            <w:pPr>
              <w:spacing w:after="100"/>
            </w:pPr>
            <w:r>
              <w:rPr>
                <w:rFonts w:ascii="맑은 고딕" w:hAnsi="맑은 고딕" w:eastAsia="맑은 고딕"/>
                <w:b w:val="0"/>
                <w:i w:val="0"/>
                <w:sz w:val="21"/>
              </w:rPr>
              <w:t>IK 특이점과 그로 인한 작업공간 제약은 EE pose 공통 표현을 채택한 대가임. 따라서 본 연구의 결론은 '축 불일치를 해소하면 전이가 가능하다'가 아니라 '축 불일치를 EE pose 표현으로 해소할 때, 특이점 회피를 위한 작업영역 제한이라는 비용이 발생하며 그 비용을 감안해도 전이 이득이 존재하는가'라는 형태로 기술하는 것이 정확함.</w:t>
            </w:r>
          </w:p>
        </w:tc>
      </w:tr>
    </w:tbl>
    <w:p>
      <w:pPr>
        <w:spacing w:after="40"/>
      </w:pPr>
    </w:p>
    <w:p>
      <w:r>
        <w:br w:type="page"/>
      </w:r>
    </w:p>
    <w:tbl>
      <w:tblPr>
        <w:tblW w:type="auto" w:w="0"/>
        <w:jc w:val="center"/>
        <w:tblLook w:firstColumn="1" w:firstRow="1" w:lastColumn="0" w:lastRow="0" w:noHBand="0" w:noVBand="1" w:val="04A0"/>
      </w:tblPr>
      <w:tblGrid>
        <w:gridCol w:w="9518"/>
      </w:tblGrid>
      <w:tr>
        <w:tc>
          <w:tcPr>
            <w:tcW w:type="dxa" w:w="9184"/>
            <w:shd w:val="clear" w:color="auto" w:fill="1F3364"/>
          </w:tcPr>
          <w:p>
            <w:pPr>
              <w:spacing w:before="80" w:after="80"/>
            </w:pPr>
            <w:r>
              <w:rPr>
                <w:rFonts w:ascii="맑은 고딕" w:hAnsi="맑은 고딕" w:eastAsia="맑은 고딕"/>
                <w:b/>
                <w:i w:val="0"/>
                <w:color w:val="FFFFFF"/>
                <w:sz w:val="26"/>
              </w:rPr>
              <w:t>4. 실무 체크리스트 — 로봇 도착 전 준비사항</w:t>
            </w:r>
          </w:p>
        </w:tc>
      </w:tr>
    </w:tbl>
    <w:p>
      <w:pPr>
        <w:spacing w:after="40"/>
      </w:pPr>
    </w:p>
    <w:p>
      <w:pPr>
        <w:spacing w:before="200" w:after="80"/>
      </w:pPr>
      <w:r>
        <w:rPr>
          <w:rFonts w:ascii="맑은 고딕" w:hAnsi="맑은 고딕" w:eastAsia="맑은 고딕"/>
          <w:b/>
          <w:i w:val="0"/>
          <w:color w:val="1F3364"/>
          <w:sz w:val="23"/>
        </w:rPr>
        <w:t>4.1  M1013 실물 데모 수집 시</w:t>
      </w:r>
    </w:p>
    <w:p>
      <w:pPr>
        <w:spacing w:after="60"/>
        <w:ind w:left="510" w:hanging="227"/>
      </w:pPr>
      <w:r>
        <w:rPr>
          <w:rFonts w:ascii="맑은 고딕" w:hAnsi="맑은 고딕" w:eastAsia="맑은 고딕"/>
          <w:b w:val="0"/>
          <w:i w:val="0"/>
          <w:sz w:val="21"/>
        </w:rPr>
        <w:t xml:space="preserve">• </w:t>
      </w:r>
      <w:r>
        <w:rPr>
          <w:rFonts w:ascii="맑은 고딕" w:hAnsi="맑은 고딕" w:eastAsia="맑은 고딕"/>
          <w:b/>
          <w:i w:val="0"/>
          <w:color w:val="C0502A"/>
          <w:sz w:val="21"/>
        </w:rPr>
        <w:t xml:space="preserve">yaw 다양성을 의도적으로 포함할 것. </w:t>
      </w:r>
      <w:r>
        <w:rPr>
          <w:rFonts w:ascii="맑은 고딕" w:hAnsi="맑은 고딕" w:eastAsia="맑은 고딕"/>
          <w:b w:val="0"/>
          <w:i w:val="0"/>
          <w:sz w:val="21"/>
        </w:rPr>
        <w:t>OMX 데이터에 존재하지 않는 축이므로, 파인튜닝 데이터가 이를 채워주지 않으면 전이 실패가 아니라 단순 데이터 부재로 인한 실패가 됨.</w:t>
      </w:r>
    </w:p>
    <w:p>
      <w:pPr>
        <w:spacing w:after="60"/>
        <w:ind w:left="510" w:hanging="227"/>
      </w:pPr>
      <w:r>
        <w:rPr>
          <w:rFonts w:ascii="맑은 고딕" w:hAnsi="맑은 고딕" w:eastAsia="맑은 고딕"/>
          <w:b w:val="0"/>
          <w:i w:val="0"/>
          <w:sz w:val="21"/>
        </w:rPr>
        <w:t>• 평가군 분리를 전제로 수집 — yaw 불필요 태스크 / yaw 필요 태스크를 처음부터 구분하여 기록</w:t>
      </w:r>
    </w:p>
    <w:p>
      <w:pPr>
        <w:spacing w:before="200" w:after="80"/>
      </w:pPr>
      <w:r>
        <w:rPr>
          <w:rFonts w:ascii="맑은 고딕" w:hAnsi="맑은 고딕" w:eastAsia="맑은 고딕"/>
          <w:b/>
          <w:i w:val="0"/>
          <w:color w:val="1F3364"/>
          <w:sz w:val="23"/>
        </w:rPr>
        <w:t>4.2  작업대 배치 및 특이점 회피</w:t>
      </w:r>
    </w:p>
    <w:p>
      <w:pPr>
        <w:spacing w:after="60"/>
        <w:ind w:left="510" w:hanging="227"/>
      </w:pPr>
      <w:r>
        <w:rPr>
          <w:rFonts w:ascii="맑은 고딕" w:hAnsi="맑은 고딕" w:eastAsia="맑은 고딕"/>
          <w:b w:val="0"/>
          <w:i w:val="0"/>
          <w:sz w:val="21"/>
        </w:rPr>
        <w:t>• 작업대 위치 확정 전 manipulability index 맵을 산출하여 안전 영역을 먼저 정의</w:t>
      </w:r>
    </w:p>
    <w:p>
      <w:pPr>
        <w:spacing w:after="60"/>
        <w:ind w:left="510" w:hanging="227"/>
      </w:pPr>
      <w:r>
        <w:rPr>
          <w:rFonts w:ascii="맑은 고딕" w:hAnsi="맑은 고딕" w:eastAsia="맑은 고딕"/>
          <w:b w:val="0"/>
          <w:i w:val="0"/>
          <w:sz w:val="21"/>
        </w:rPr>
        <w:t>• 확정된 작업영역을 문서화하고, 모든 데모·평가를 동일 영역 내에서 수행</w:t>
      </w:r>
    </w:p>
    <w:p>
      <w:pPr>
        <w:spacing w:after="60"/>
        <w:ind w:left="510" w:hanging="227"/>
      </w:pPr>
      <w:r>
        <w:rPr>
          <w:rFonts w:ascii="맑은 고딕" w:hAnsi="맑은 고딕" w:eastAsia="맑은 고딕"/>
          <w:b w:val="0"/>
          <w:i w:val="0"/>
          <w:sz w:val="21"/>
        </w:rPr>
        <w:t>• IK 솔버에 DLS 감쇠계수 및 직전 해 시드 적용 여부를 사전 확정</w:t>
      </w:r>
    </w:p>
    <w:p>
      <w:pPr>
        <w:spacing w:before="200" w:after="80"/>
      </w:pPr>
      <w:r>
        <w:rPr>
          <w:rFonts w:ascii="맑은 고딕" w:hAnsi="맑은 고딕" w:eastAsia="맑은 고딕"/>
          <w:b/>
          <w:i w:val="0"/>
          <w:color w:val="1F3364"/>
          <w:sz w:val="23"/>
        </w:rPr>
        <w:t>4.3  작업공간 정규화</w:t>
      </w:r>
    </w:p>
    <w:p>
      <w:pPr>
        <w:spacing w:after="60"/>
        <w:ind w:left="510" w:hanging="227"/>
      </w:pPr>
      <w:r>
        <w:rPr>
          <w:rFonts w:ascii="맑은 고딕" w:hAnsi="맑은 고딕" w:eastAsia="맑은 고딕"/>
          <w:b w:val="0"/>
          <w:i w:val="0"/>
          <w:sz w:val="21"/>
        </w:rPr>
        <w:t>• OMX 리치 약 30cm, M1013 약 1.3m급으로 스케일 차이가 큼</w:t>
      </w:r>
    </w:p>
    <w:p>
      <w:pPr>
        <w:spacing w:after="60"/>
        <w:ind w:left="510" w:hanging="227"/>
      </w:pPr>
      <w:r>
        <w:rPr>
          <w:rFonts w:ascii="맑은 고딕" w:hAnsi="맑은 고딕" w:eastAsia="맑은 고딕"/>
          <w:b w:val="0"/>
          <w:i w:val="0"/>
          <w:sz w:val="21"/>
        </w:rPr>
        <w:t>• 작업공간 대비 비율 좌표로 정규화하면 전이 안정성이 크게 향상됨</w:t>
      </w:r>
    </w:p>
    <w:p>
      <w:pPr>
        <w:spacing w:before="200" w:after="80"/>
      </w:pPr>
      <w:r>
        <w:rPr>
          <w:rFonts w:ascii="맑은 고딕" w:hAnsi="맑은 고딕" w:eastAsia="맑은 고딕"/>
          <w:b/>
          <w:i w:val="0"/>
          <w:color w:val="1F3364"/>
          <w:sz w:val="23"/>
        </w:rPr>
        <w:t>4.4  기하 정합 유지</w:t>
      </w:r>
    </w:p>
    <w:p>
      <w:pPr>
        <w:spacing w:after="60"/>
        <w:ind w:left="510" w:hanging="227"/>
      </w:pPr>
      <w:r>
        <w:rPr>
          <w:rFonts w:ascii="맑은 고딕" w:hAnsi="맑은 고딕" w:eastAsia="맑은 고딕"/>
          <w:b w:val="0"/>
          <w:i w:val="0"/>
          <w:sz w:val="21"/>
        </w:rPr>
        <w:t>• TCP = 파지점 0.0725 기준 유지</w:t>
      </w:r>
    </w:p>
    <w:p>
      <w:pPr>
        <w:spacing w:after="60"/>
        <w:ind w:left="510" w:hanging="227"/>
      </w:pPr>
      <w:r>
        <w:rPr>
          <w:rFonts w:ascii="맑은 고딕" w:hAnsi="맑은 고딕" w:eastAsia="맑은 고딕"/>
          <w:b w:val="0"/>
          <w:i w:val="0"/>
          <w:sz w:val="21"/>
        </w:rPr>
        <w:t>• Isaac 상판 높이 0.4624 기준 유지</w:t>
      </w:r>
    </w:p>
    <w:p>
      <w:pPr>
        <w:spacing w:after="60"/>
        <w:ind w:left="510" w:hanging="227"/>
      </w:pPr>
      <w:r>
        <w:rPr>
          <w:rFonts w:ascii="맑은 고딕" w:hAnsi="맑은 고딕" w:eastAsia="맑은 고딕"/>
          <w:b w:val="0"/>
          <w:i w:val="0"/>
          <w:sz w:val="21"/>
        </w:rPr>
        <w:t>• 그리퍼 조인트 5종 + 로봇 플랜지 연결 검증 완료 상태 유지</w:t>
      </w:r>
    </w:p>
    <w:p/>
    <w:tbl>
      <w:tblPr>
        <w:tblW w:type="auto" w:w="0"/>
        <w:jc w:val="center"/>
        <w:tblLook w:firstColumn="1" w:firstRow="1" w:lastColumn="0" w:lastRow="0" w:noHBand="0" w:noVBand="1" w:val="04A0"/>
      </w:tblPr>
      <w:tblGrid>
        <w:gridCol w:w="9518"/>
      </w:tblGrid>
      <w:tr>
        <w:tc>
          <w:tcPr>
            <w:tcW w:type="dxa" w:w="9184"/>
            <w:shd w:val="clear" w:color="auto" w:fill="1F3364"/>
          </w:tcPr>
          <w:p>
            <w:pPr>
              <w:spacing w:before="80" w:after="80"/>
            </w:pPr>
            <w:r>
              <w:rPr>
                <w:rFonts w:ascii="맑은 고딕" w:hAnsi="맑은 고딕" w:eastAsia="맑은 고딕"/>
                <w:b/>
                <w:i w:val="0"/>
                <w:color w:val="FFFFFF"/>
                <w:sz w:val="26"/>
              </w:rPr>
              <w:t>5. 지도교수님 보고용 요약</w:t>
            </w:r>
          </w:p>
        </w:tc>
      </w:tr>
    </w:tbl>
    <w:p>
      <w:pPr>
        <w:spacing w:after="40"/>
      </w:pPr>
    </w:p>
    <w:tbl>
      <w:tblPr>
        <w:tblW w:type="auto" w:w="0"/>
        <w:tblLook w:firstColumn="1" w:firstRow="1" w:lastColumn="0" w:lastRow="0" w:noHBand="0" w:noVBand="1" w:val="04A0"/>
      </w:tblPr>
      <w:tblGrid>
        <w:gridCol w:w="9518"/>
      </w:tblGrid>
      <w:tr>
        <w:tc>
          <w:tcPr>
            <w:tcW w:type="dxa" w:w="9518"/>
            <w:shd w:val="clear" w:color="auto" w:fill="EEF2F8"/>
            <w:tcBorders>
              <w:top w:val="single" w:sz="4" w:color="1F3364"/>
              <w:left w:val="single" w:sz="12" w:color="1F3364"/>
              <w:bottom w:val="single" w:sz="4" w:color="1F3364"/>
              <w:right w:val="single" w:sz="4" w:color="1F3364"/>
            </w:tcBorders>
          </w:tcPr>
          <w:p>
            <w:pPr>
              <w:spacing w:before="80"/>
            </w:pPr>
            <w:r>
              <w:rPr>
                <w:rFonts w:ascii="맑은 고딕" w:hAnsi="맑은 고딕" w:eastAsia="맑은 고딕"/>
                <w:b/>
                <w:i w:val="0"/>
                <w:color w:val="1F3364"/>
                <w:sz w:val="21"/>
              </w:rPr>
              <w:t>■ 한 문단 요약</w:t>
            </w:r>
          </w:p>
          <w:p>
            <w:pPr>
              <w:spacing w:after="100"/>
            </w:pPr>
            <w:r>
              <w:rPr>
                <w:rFonts w:ascii="맑은 고딕" w:hAnsi="맑은 고딕" w:eastAsia="맑은 고딕"/>
                <w:b w:val="0"/>
                <w:i w:val="0"/>
                <w:sz w:val="21"/>
              </w:rPr>
              <w:t>축 개수 차이는 엔드이펙터 pose 기반 표현으로 이미 해소되었으며, 남은 실질 격차는 5축 팔의 yaw 자유도 결손입니다. 이를 제거 대상이 아니라 통제 변수로 삼아, OMX 사전학습 유무에 따른 M1013의 데이터 효율 곡선을 비교하여 모방학습 데이터의 값어치를 '실물 데모 N개 등가'라는 정량 지표로 제시하겠습니다. 다만 EE pose 표현은 IK 특이점을 수반하므로, 특이점 회피를 위한 제한 작업영역 내의 결과임을 함께 명시할 예정입니다. OMX를 쓰지 않는 대안으로는 Isaac Sim 내 M1013 자체 데모가 가장 유력합니다.</w:t>
            </w:r>
          </w:p>
        </w:tc>
      </w:tr>
    </w:tbl>
    <w:p>
      <w:pPr>
        <w:spacing w:after="40"/>
      </w:pPr>
    </w:p>
    <w:p>
      <w:pPr>
        <w:spacing w:before="200" w:after="80"/>
      </w:pPr>
      <w:r>
        <w:rPr>
          <w:rFonts w:ascii="맑은 고딕" w:hAnsi="맑은 고딕" w:eastAsia="맑은 고딕"/>
          <w:b/>
          <w:i w:val="0"/>
          <w:color w:val="1F3364"/>
          <w:sz w:val="23"/>
        </w:rPr>
        <w:t>진행 계획</w:t>
      </w:r>
    </w:p>
    <w:tbl>
      <w:tblPr>
        <w:tblStyle w:val="TableGrid"/>
        <w:tblW w:type="auto" w:w="0"/>
        <w:jc w:val="center"/>
        <w:tblLook w:firstColumn="1" w:firstRow="1" w:lastColumn="0" w:lastRow="0" w:noHBand="0" w:noVBand="1" w:val="04A0"/>
      </w:tblPr>
      <w:tblGrid>
        <w:gridCol w:w="3173"/>
        <w:gridCol w:w="3173"/>
        <w:gridCol w:w="3173"/>
      </w:tblGrid>
      <w:tr>
        <w:tc>
          <w:tcPr>
            <w:tcW w:type="dxa" w:w="907"/>
            <w:shd w:val="clear" w:color="auto" w:fill="1F3364"/>
          </w:tcPr>
          <w:p>
            <w:pPr>
              <w:spacing w:after="40"/>
              <w:jc w:val="center"/>
            </w:pPr>
            <w:r>
              <w:rPr>
                <w:rFonts w:ascii="맑은 고딕" w:hAnsi="맑은 고딕" w:eastAsia="맑은 고딕"/>
                <w:b/>
                <w:i w:val="0"/>
                <w:color w:val="FFFFFF"/>
                <w:sz w:val="19"/>
              </w:rPr>
              <w:t>단계</w:t>
            </w:r>
          </w:p>
        </w:tc>
        <w:tc>
          <w:tcPr>
            <w:tcW w:type="dxa" w:w="6009"/>
            <w:shd w:val="clear" w:color="auto" w:fill="1F3364"/>
          </w:tcPr>
          <w:p>
            <w:pPr>
              <w:spacing w:after="40"/>
              <w:jc w:val="center"/>
            </w:pPr>
            <w:r>
              <w:rPr>
                <w:rFonts w:ascii="맑은 고딕" w:hAnsi="맑은 고딕" w:eastAsia="맑은 고딕"/>
                <w:b/>
                <w:i w:val="0"/>
                <w:color w:val="FFFFFF"/>
                <w:sz w:val="19"/>
              </w:rPr>
              <w:t>내용</w:t>
            </w:r>
          </w:p>
        </w:tc>
        <w:tc>
          <w:tcPr>
            <w:tcW w:type="dxa" w:w="2268"/>
            <w:shd w:val="clear" w:color="auto" w:fill="1F3364"/>
          </w:tcPr>
          <w:p>
            <w:pPr>
              <w:spacing w:after="40"/>
              <w:jc w:val="center"/>
            </w:pPr>
            <w:r>
              <w:rPr>
                <w:rFonts w:ascii="맑은 고딕" w:hAnsi="맑은 고딕" w:eastAsia="맑은 고딕"/>
                <w:b/>
                <w:i w:val="0"/>
                <w:color w:val="FFFFFF"/>
                <w:sz w:val="19"/>
              </w:rPr>
              <w:t>시점</w:t>
            </w:r>
          </w:p>
        </w:tc>
      </w:tr>
      <w:tr>
        <w:tc>
          <w:tcPr>
            <w:tcW w:type="dxa" w:w="907"/>
          </w:tcPr>
          <w:p>
            <w:pPr>
              <w:spacing w:after="40"/>
              <w:jc w:val="left"/>
            </w:pPr>
            <w:r>
              <w:rPr>
                <w:rFonts w:ascii="맑은 고딕" w:hAnsi="맑은 고딕" w:eastAsia="맑은 고딕"/>
                <w:b/>
                <w:i w:val="0"/>
                <w:sz w:val="19"/>
              </w:rPr>
              <w:t>1</w:t>
            </w:r>
          </w:p>
        </w:tc>
        <w:tc>
          <w:tcPr>
            <w:tcW w:type="dxa" w:w="6009"/>
          </w:tcPr>
          <w:p>
            <w:pPr>
              <w:spacing w:after="40"/>
              <w:jc w:val="center"/>
            </w:pPr>
            <w:r>
              <w:rPr>
                <w:rFonts w:ascii="맑은 고딕" w:hAnsi="맑은 고딕" w:eastAsia="맑은 고딕"/>
                <w:b w:val="0"/>
                <w:i w:val="0"/>
                <w:sz w:val="19"/>
              </w:rPr>
              <w:t>manipulability 맵 산출 → 작업대 배치 및 안전 작업영역 확정</w:t>
            </w:r>
          </w:p>
        </w:tc>
        <w:tc>
          <w:tcPr>
            <w:tcW w:type="dxa" w:w="2268"/>
          </w:tcPr>
          <w:p>
            <w:pPr>
              <w:spacing w:after="40"/>
              <w:jc w:val="center"/>
            </w:pPr>
            <w:r>
              <w:rPr>
                <w:rFonts w:ascii="맑은 고딕" w:hAnsi="맑은 고딕" w:eastAsia="맑은 고딕"/>
                <w:b w:val="0"/>
                <w:i w:val="0"/>
                <w:sz w:val="19"/>
              </w:rPr>
              <w:t>로봇 도착 전</w:t>
            </w:r>
          </w:p>
        </w:tc>
      </w:tr>
      <w:tr>
        <w:tc>
          <w:tcPr>
            <w:tcW w:type="dxa" w:w="907"/>
          </w:tcPr>
          <w:p>
            <w:pPr>
              <w:spacing w:after="40"/>
              <w:jc w:val="left"/>
            </w:pPr>
            <w:r>
              <w:rPr>
                <w:rFonts w:ascii="맑은 고딕" w:hAnsi="맑은 고딕" w:eastAsia="맑은 고딕"/>
                <w:b/>
                <w:i w:val="0"/>
                <w:sz w:val="19"/>
              </w:rPr>
              <w:t>2</w:t>
            </w:r>
          </w:p>
        </w:tc>
        <w:tc>
          <w:tcPr>
            <w:tcW w:type="dxa" w:w="6009"/>
          </w:tcPr>
          <w:p>
            <w:pPr>
              <w:spacing w:after="40"/>
              <w:jc w:val="center"/>
            </w:pPr>
            <w:r>
              <w:rPr>
                <w:rFonts w:ascii="맑은 고딕" w:hAnsi="맑은 고딕" w:eastAsia="맑은 고딕"/>
                <w:b w:val="0"/>
                <w:i w:val="0"/>
                <w:sz w:val="19"/>
              </w:rPr>
              <w:t>사전학습 2종(scratch / omx_f) 파이프라인 구축 및 IK 솔버 안정화</w:t>
            </w:r>
          </w:p>
        </w:tc>
        <w:tc>
          <w:tcPr>
            <w:tcW w:type="dxa" w:w="2268"/>
          </w:tcPr>
          <w:p>
            <w:pPr>
              <w:spacing w:after="40"/>
              <w:jc w:val="center"/>
            </w:pPr>
            <w:r>
              <w:rPr>
                <w:rFonts w:ascii="맑은 고딕" w:hAnsi="맑은 고딕" w:eastAsia="맑은 고딕"/>
                <w:b w:val="0"/>
                <w:i w:val="0"/>
                <w:sz w:val="19"/>
              </w:rPr>
              <w:t>로봇 도착 전</w:t>
            </w:r>
          </w:p>
        </w:tc>
      </w:tr>
      <w:tr>
        <w:tc>
          <w:tcPr>
            <w:tcW w:type="dxa" w:w="907"/>
          </w:tcPr>
          <w:p>
            <w:pPr>
              <w:spacing w:after="40"/>
              <w:jc w:val="left"/>
            </w:pPr>
            <w:r>
              <w:rPr>
                <w:rFonts w:ascii="맑은 고딕" w:hAnsi="맑은 고딕" w:eastAsia="맑은 고딕"/>
                <w:b/>
                <w:i w:val="0"/>
                <w:sz w:val="19"/>
              </w:rPr>
              <w:t>3</w:t>
            </w:r>
          </w:p>
        </w:tc>
        <w:tc>
          <w:tcPr>
            <w:tcW w:type="dxa" w:w="6009"/>
          </w:tcPr>
          <w:p>
            <w:pPr>
              <w:spacing w:after="40"/>
              <w:jc w:val="center"/>
            </w:pPr>
            <w:r>
              <w:rPr>
                <w:rFonts w:ascii="맑은 고딕" w:hAnsi="맑은 고딕" w:eastAsia="맑은 고딕"/>
                <w:b w:val="0"/>
                <w:i w:val="0"/>
                <w:sz w:val="19"/>
              </w:rPr>
              <w:t>M1013 실물 데모 수집 (yaw 다양성 포함, 평가군 분리)</w:t>
            </w:r>
          </w:p>
        </w:tc>
        <w:tc>
          <w:tcPr>
            <w:tcW w:type="dxa" w:w="2268"/>
          </w:tcPr>
          <w:p>
            <w:pPr>
              <w:spacing w:after="40"/>
              <w:jc w:val="center"/>
            </w:pPr>
            <w:r>
              <w:rPr>
                <w:rFonts w:ascii="맑은 고딕" w:hAnsi="맑은 고딕" w:eastAsia="맑은 고딕"/>
                <w:b w:val="0"/>
                <w:i w:val="0"/>
                <w:sz w:val="19"/>
              </w:rPr>
              <w:t>09-20 이후</w:t>
            </w:r>
          </w:p>
        </w:tc>
      </w:tr>
      <w:tr>
        <w:tc>
          <w:tcPr>
            <w:tcW w:type="dxa" w:w="907"/>
          </w:tcPr>
          <w:p>
            <w:pPr>
              <w:spacing w:after="40"/>
              <w:jc w:val="left"/>
            </w:pPr>
            <w:r>
              <w:rPr>
                <w:rFonts w:ascii="맑은 고딕" w:hAnsi="맑은 고딕" w:eastAsia="맑은 고딕"/>
                <w:b/>
                <w:i w:val="0"/>
                <w:sz w:val="19"/>
              </w:rPr>
              <w:t>4</w:t>
            </w:r>
          </w:p>
        </w:tc>
        <w:tc>
          <w:tcPr>
            <w:tcW w:type="dxa" w:w="6009"/>
          </w:tcPr>
          <w:p>
            <w:pPr>
              <w:spacing w:after="40"/>
              <w:jc w:val="center"/>
            </w:pPr>
            <w:r>
              <w:rPr>
                <w:rFonts w:ascii="맑은 고딕" w:hAnsi="맑은 고딕" w:eastAsia="맑은 고딕"/>
                <w:b w:val="0"/>
                <w:i w:val="0"/>
                <w:sz w:val="19"/>
              </w:rPr>
              <w:t>데이터 효율 곡선 측정 및 등가 데이터량 산출</w:t>
            </w:r>
          </w:p>
        </w:tc>
        <w:tc>
          <w:tcPr>
            <w:tcW w:type="dxa" w:w="2268"/>
          </w:tcPr>
          <w:p>
            <w:pPr>
              <w:spacing w:after="40"/>
              <w:jc w:val="center"/>
            </w:pPr>
            <w:r>
              <w:rPr>
                <w:rFonts w:ascii="맑은 고딕" w:hAnsi="맑은 고딕" w:eastAsia="맑은 고딕"/>
                <w:b w:val="0"/>
                <w:i w:val="0"/>
                <w:sz w:val="19"/>
              </w:rPr>
              <w:t>수집 완료 후</w:t>
            </w:r>
          </w:p>
        </w:tc>
      </w:tr>
      <w:tr>
        <w:tc>
          <w:tcPr>
            <w:tcW w:type="dxa" w:w="907"/>
          </w:tcPr>
          <w:p>
            <w:pPr>
              <w:spacing w:after="40"/>
              <w:jc w:val="left"/>
            </w:pPr>
            <w:r>
              <w:rPr>
                <w:rFonts w:ascii="맑은 고딕" w:hAnsi="맑은 고딕" w:eastAsia="맑은 고딕"/>
                <w:b/>
                <w:i w:val="0"/>
                <w:sz w:val="19"/>
              </w:rPr>
              <w:t>5</w:t>
            </w:r>
          </w:p>
        </w:tc>
        <w:tc>
          <w:tcPr>
            <w:tcW w:type="dxa" w:w="6009"/>
          </w:tcPr>
          <w:p>
            <w:pPr>
              <w:spacing w:after="40"/>
              <w:jc w:val="center"/>
            </w:pPr>
            <w:r>
              <w:rPr>
                <w:rFonts w:ascii="맑은 고딕" w:hAnsi="맑은 고딕" w:eastAsia="맑은 고딕"/>
                <w:b w:val="0"/>
                <w:i w:val="0"/>
                <w:sz w:val="19"/>
              </w:rPr>
              <w:t>L1/L2/L3 전이 층위 분해 실험</w:t>
            </w:r>
          </w:p>
        </w:tc>
        <w:tc>
          <w:tcPr>
            <w:tcW w:type="dxa" w:w="2268"/>
          </w:tcPr>
          <w:p>
            <w:pPr>
              <w:spacing w:after="40"/>
              <w:jc w:val="center"/>
            </w:pPr>
            <w:r>
              <w:rPr>
                <w:rFonts w:ascii="맑은 고딕" w:hAnsi="맑은 고딕" w:eastAsia="맑은 고딕"/>
                <w:b w:val="0"/>
                <w:i w:val="0"/>
                <w:sz w:val="19"/>
              </w:rPr>
              <w:t>4단계와 병행</w:t>
            </w:r>
          </w:p>
        </w:tc>
      </w:tr>
      <w:tr>
        <w:tc>
          <w:tcPr>
            <w:tcW w:type="dxa" w:w="907"/>
          </w:tcPr>
          <w:p>
            <w:pPr>
              <w:spacing w:after="40"/>
              <w:jc w:val="left"/>
            </w:pPr>
            <w:r>
              <w:rPr>
                <w:rFonts w:ascii="맑은 고딕" w:hAnsi="맑은 고딕" w:eastAsia="맑은 고딕"/>
                <w:b/>
                <w:i w:val="0"/>
                <w:sz w:val="19"/>
              </w:rPr>
              <w:t>6</w:t>
            </w:r>
          </w:p>
        </w:tc>
        <w:tc>
          <w:tcPr>
            <w:tcW w:type="dxa" w:w="6009"/>
          </w:tcPr>
          <w:p>
            <w:pPr>
              <w:spacing w:after="40"/>
              <w:jc w:val="center"/>
            </w:pPr>
            <w:r>
              <w:rPr>
                <w:rFonts w:ascii="맑은 고딕" w:hAnsi="맑은 고딕" w:eastAsia="맑은 고딕"/>
                <w:b w:val="0"/>
                <w:i w:val="0"/>
                <w:sz w:val="19"/>
              </w:rPr>
              <w:t>(선택) Isaac Sim 내 M1013 데모와의 비교 — 형상 격차 vs 도메인 격차</w:t>
            </w:r>
          </w:p>
        </w:tc>
        <w:tc>
          <w:tcPr>
            <w:tcW w:type="dxa" w:w="2268"/>
          </w:tcPr>
          <w:p>
            <w:pPr>
              <w:spacing w:after="40"/>
              <w:jc w:val="center"/>
            </w:pPr>
            <w:r>
              <w:rPr>
                <w:rFonts w:ascii="맑은 고딕" w:hAnsi="맑은 고딕" w:eastAsia="맑은 고딕"/>
                <w:b w:val="0"/>
                <w:i w:val="0"/>
                <w:sz w:val="19"/>
              </w:rPr>
              <w:t>5단계 이후</w:t>
            </w:r>
          </w:p>
        </w:tc>
      </w:tr>
    </w:tbl>
    <w:p>
      <w:pPr>
        <w:spacing w:after="40"/>
      </w:pP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