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equirements-traceability-matrix"/>
    <w:p>
      <w:pPr>
        <w:pStyle w:val="Heading1"/>
      </w:pPr>
      <w:r>
        <w:t xml:space="preserve">Requirements Traceability Matrix</w: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May 16, 2025</w:t>
      </w:r>
      <w:r>
        <w:br/>
      </w:r>
      <w:r>
        <w:rPr>
          <w:b/>
          <w:bCs/>
        </w:rPr>
        <w:t xml:space="preserve">Project:</w:t>
      </w:r>
      <w:r>
        <w:t xml:space="preserve"> </w:t>
      </w:r>
      <w:r>
        <w:t xml:space="preserve">VibeCoding</w:t>
      </w:r>
    </w:p>
    <w:bookmarkStart w:id="20" w:name="purpose"/>
    <w:p>
      <w:pPr>
        <w:pStyle w:val="Heading2"/>
      </w:pPr>
      <w:r>
        <w:t xml:space="preserve">Purpose</w:t>
      </w:r>
    </w:p>
    <w:p>
      <w:pPr>
        <w:pStyle w:val="FirstParagraph"/>
      </w:pPr>
      <w:r>
        <w:t xml:space="preserve">This document maps Business Requirements (BRs) to Product Requirements (PRs) to ensure that all business needs are addressed in the product development and that all product features are justified by a business requirement.</w:t>
      </w:r>
    </w:p>
    <w:bookmarkEnd w:id="20"/>
    <w:bookmarkStart w:id="21" w:name="matrix-overview"/>
    <w:p>
      <w:pPr>
        <w:pStyle w:val="Heading2"/>
      </w:pPr>
      <w:r>
        <w:t xml:space="preserve">Matrix Overview</w:t>
      </w:r>
    </w:p>
    <w:p>
      <w:pPr>
        <w:pStyle w:val="FirstParagraph"/>
      </w:pPr>
      <w:r>
        <w:t xml:space="preserve">The following matrix shows the relationships between Business Requirements (from the BRD) and Product Requirements (from the PRD).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35"/>
        <w:gridCol w:w="3025"/>
        <w:gridCol w:w="2135"/>
        <w:gridCol w:w="6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Business Requirement ID</w:t>
            </w:r>
          </w:p>
        </w:tc>
        <w:tc>
          <w:tcPr/>
          <w:p>
            <w:pPr>
              <w:pStyle w:val="Compact"/>
            </w:pPr>
            <w:r>
              <w:t xml:space="preserve">Business Requirement Description</w:t>
            </w:r>
          </w:p>
        </w:tc>
        <w:tc>
          <w:tcPr/>
          <w:p>
            <w:pPr>
              <w:pStyle w:val="Compact"/>
            </w:pPr>
            <w:r>
              <w:t xml:space="preserve">Product Requirement IDs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BR-001</w:t>
            </w:r>
          </w:p>
        </w:tc>
        <w:tc>
          <w:tcPr/>
          <w:p>
            <w:pPr>
              <w:pStyle w:val="Compact"/>
            </w:pPr>
            <w:r>
              <w:t xml:space="preserve">Developer tools market growth</w:t>
            </w:r>
          </w:p>
        </w:tc>
        <w:tc>
          <w:tcPr/>
          <w:p>
            <w:pPr>
              <w:pStyle w:val="Compact"/>
            </w:pPr>
            <w:r>
              <w:t xml:space="preserve">PR-050, PR-051, PR-052, PR-053, PR-054</w:t>
            </w:r>
          </w:p>
        </w:tc>
        <w:tc>
          <w:tcPr/>
          <w:p>
            <w:pPr>
              <w:pStyle w:val="Compact"/>
            </w:pPr>
            <w:r>
              <w:t xml:space="preserve">MVP features address growing market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BR-002</w:t>
            </w:r>
          </w:p>
        </w:tc>
        <w:tc>
          <w:tcPr/>
          <w:p>
            <w:pPr>
              <w:pStyle w:val="Compact"/>
            </w:pPr>
            <w:r>
              <w:t xml:space="preserve">Developers spending time on repetitive tasks</w:t>
            </w:r>
          </w:p>
        </w:tc>
        <w:tc>
          <w:tcPr/>
          <w:p>
            <w:pPr>
              <w:pStyle w:val="Compact"/>
            </w:pPr>
            <w:r>
              <w:t xml:space="preserve">PR-008, PR-009, PR-011, PR-012</w:t>
            </w:r>
          </w:p>
        </w:tc>
        <w:tc>
          <w:tcPr/>
          <w:p>
            <w:pPr>
              <w:pStyle w:val="Compact"/>
            </w:pPr>
            <w:r>
              <w:t xml:space="preserve">AI and automation features reduce repetitive work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BR-003</w:t>
            </w:r>
          </w:p>
        </w:tc>
        <w:tc>
          <w:tcPr/>
          <w:p>
            <w:pPr>
              <w:pStyle w:val="Compact"/>
            </w:pPr>
            <w:r>
              <w:t xml:space="preserve">Lack of collaboration features</w:t>
            </w:r>
          </w:p>
        </w:tc>
        <w:tc>
          <w:tcPr/>
          <w:p>
            <w:pPr>
              <w:pStyle w:val="Compact"/>
            </w:pPr>
            <w:r>
              <w:t xml:space="preserve">PR-015, PR-016, PR-017, PR-018</w:t>
            </w:r>
          </w:p>
        </w:tc>
        <w:tc>
          <w:tcPr/>
          <w:p>
            <w:pPr>
              <w:pStyle w:val="Compact"/>
            </w:pPr>
            <w:r>
              <w:t xml:space="preserve">Comprehensive collaboration toolset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BR-004</w:t>
            </w:r>
          </w:p>
        </w:tc>
        <w:tc>
          <w:tcPr/>
          <w:p>
            <w:pPr>
              <w:pStyle w:val="Compact"/>
            </w:pPr>
            <w:r>
              <w:t xml:space="preserve">Target: Professional developers</w:t>
            </w:r>
          </w:p>
        </w:tc>
        <w:tc>
          <w:tcPr/>
          <w:p>
            <w:pPr>
              <w:pStyle w:val="Compact"/>
            </w:pPr>
            <w:r>
              <w:t xml:space="preserve">PR-001, PR-007, PR-010, PR-019</w:t>
            </w:r>
          </w:p>
        </w:tc>
        <w:tc>
          <w:tcPr/>
          <w:p>
            <w:pPr>
              <w:pStyle w:val="Compact"/>
            </w:pPr>
            <w:r>
              <w:t xml:space="preserve">Features aimed at professional workflows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BR-005</w:t>
            </w:r>
          </w:p>
        </w:tc>
        <w:tc>
          <w:tcPr/>
          <w:p>
            <w:pPr>
              <w:pStyle w:val="Compact"/>
            </w:pPr>
            <w:r>
              <w:t xml:space="preserve">Target: Distributed teams</w:t>
            </w:r>
          </w:p>
        </w:tc>
        <w:tc>
          <w:tcPr/>
          <w:p>
            <w:pPr>
              <w:pStyle w:val="Compact"/>
            </w:pPr>
            <w:r>
              <w:t xml:space="preserve">PR-015, PR-016, PR-017, PR-018, PR-026</w:t>
            </w:r>
          </w:p>
        </w:tc>
        <w:tc>
          <w:tcPr/>
          <w:p>
            <w:pPr>
              <w:pStyle w:val="Compact"/>
            </w:pPr>
            <w:r>
              <w:t xml:space="preserve">Remote collaboration capabilities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BR-006</w:t>
            </w:r>
          </w:p>
        </w:tc>
        <w:tc>
          <w:tcPr/>
          <w:p>
            <w:pPr>
              <w:pStyle w:val="Compact"/>
            </w:pPr>
            <w:r>
              <w:t xml:space="preserve">Target: Complex codebases</w:t>
            </w:r>
          </w:p>
        </w:tc>
        <w:tc>
          <w:tcPr/>
          <w:p>
            <w:pPr>
              <w:pStyle w:val="Compact"/>
            </w:pPr>
            <w:r>
              <w:t xml:space="preserve">PR-019, PR-020, PR-021, PR-022</w:t>
            </w:r>
          </w:p>
        </w:tc>
        <w:tc>
          <w:tcPr/>
          <w:p>
            <w:pPr>
              <w:pStyle w:val="Compact"/>
            </w:pPr>
            <w:r>
              <w:t xml:space="preserve">Advanced VCS and code management tools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BR-007</w:t>
            </w:r>
          </w:p>
        </w:tc>
        <w:tc>
          <w:tcPr/>
          <w:p>
            <w:pPr>
              <w:pStyle w:val="Compact"/>
            </w:pPr>
            <w:r>
              <w:t xml:space="preserve">Increase productivity by 30%</w:t>
            </w:r>
          </w:p>
        </w:tc>
        <w:tc>
          <w:tcPr/>
          <w:p>
            <w:pPr>
              <w:pStyle w:val="Compact"/>
            </w:pPr>
            <w:r>
              <w:t xml:space="preserve">PR-008, PR-009, PR-011, PR-012, PR-013</w:t>
            </w:r>
          </w:p>
        </w:tc>
        <w:tc>
          <w:tcPr/>
          <w:p>
            <w:pPr>
              <w:pStyle w:val="Compact"/>
            </w:pPr>
            <w:r>
              <w:t xml:space="preserve">AI-assisted development features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BR-008</w:t>
            </w:r>
          </w:p>
        </w:tc>
        <w:tc>
          <w:tcPr/>
          <w:p>
            <w:pPr>
              <w:pStyle w:val="Compact"/>
            </w:pPr>
            <w:r>
              <w:t xml:space="preserve">Enhance code quality</w:t>
            </w:r>
          </w:p>
        </w:tc>
        <w:tc>
          <w:tcPr/>
          <w:p>
            <w:pPr>
              <w:pStyle w:val="Compact"/>
            </w:pPr>
            <w:r>
              <w:t xml:space="preserve">PR-012, PR-021, PR-064, PR-067</w:t>
            </w:r>
          </w:p>
        </w:tc>
        <w:tc>
          <w:tcPr/>
          <w:p>
            <w:pPr>
              <w:pStyle w:val="Compact"/>
            </w:pPr>
            <w:r>
              <w:t xml:space="preserve">Code review and quality assurance features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BR-009</w:t>
            </w:r>
          </w:p>
        </w:tc>
        <w:tc>
          <w:tcPr/>
          <w:p>
            <w:pPr>
              <w:pStyle w:val="Compact"/>
            </w:pPr>
            <w:r>
              <w:t xml:space="preserve">Improve collaboration</w:t>
            </w:r>
          </w:p>
        </w:tc>
        <w:tc>
          <w:tcPr/>
          <w:p>
            <w:pPr>
              <w:pStyle w:val="Compact"/>
            </w:pPr>
            <w:r>
              <w:t xml:space="preserve">PR-015, PR-016, PR-017, PR-018</w:t>
            </w:r>
          </w:p>
        </w:tc>
        <w:tc>
          <w:tcPr/>
          <w:p>
            <w:pPr>
              <w:pStyle w:val="Compact"/>
            </w:pPr>
            <w:r>
              <w:t xml:space="preserve">Real-time collaboration capabilities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BR-010</w:t>
            </w:r>
          </w:p>
        </w:tc>
        <w:tc>
          <w:tcPr/>
          <w:p>
            <w:pPr>
              <w:pStyle w:val="Compact"/>
            </w:pPr>
            <w:r>
              <w:t xml:space="preserve">Scalable across languages</w:t>
            </w:r>
          </w:p>
        </w:tc>
        <w:tc>
          <w:tcPr/>
          <w:p>
            <w:pPr>
              <w:pStyle w:val="Compact"/>
            </w:pPr>
            <w:r>
              <w:t xml:space="preserve">PR-007, PR-044, PR-055</w:t>
            </w:r>
          </w:p>
        </w:tc>
        <w:tc>
          <w:tcPr/>
          <w:p>
            <w:pPr>
              <w:pStyle w:val="Compact"/>
            </w:pPr>
            <w:r>
              <w:t xml:space="preserve">Multi-language support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BR-011</w:t>
            </w:r>
          </w:p>
        </w:tc>
        <w:tc>
          <w:tcPr/>
          <w:p>
            <w:pPr>
              <w:pStyle w:val="Compact"/>
            </w:pPr>
            <w:r>
              <w:t xml:space="preserve">Subscription-based revenue</w:t>
            </w:r>
          </w:p>
        </w:tc>
        <w:tc>
          <w:tcPr/>
          <w:p>
            <w:pPr>
              <w:pStyle w:val="Compact"/>
            </w:pPr>
            <w:r>
              <w:t xml:space="preserve">PR-054, PR-060</w:t>
            </w:r>
          </w:p>
        </w:tc>
        <w:tc>
          <w:tcPr/>
          <w:p>
            <w:pPr>
              <w:pStyle w:val="Compact"/>
            </w:pPr>
            <w:r>
              <w:t xml:space="preserve">User authentication and enterprise features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BR-012</w:t>
            </w:r>
          </w:p>
        </w:tc>
        <w:tc>
          <w:tcPr/>
          <w:p>
            <w:pPr>
              <w:pStyle w:val="Compact"/>
            </w:pPr>
            <w:r>
              <w:t xml:space="preserve">Market penetration goal</w:t>
            </w:r>
          </w:p>
        </w:tc>
        <w:tc>
          <w:tcPr/>
          <w:p>
            <w:pPr>
              <w:pStyle w:val="Compact"/>
            </w:pPr>
            <w:r>
              <w:t xml:space="preserve">PR-040, PR-041, PR-042, PR-043</w:t>
            </w:r>
          </w:p>
        </w:tc>
        <w:tc>
          <w:tcPr/>
          <w:p>
            <w:pPr>
              <w:pStyle w:val="Compact"/>
            </w:pPr>
            <w:r>
              <w:t xml:space="preserve">Usability features to drive adoption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BR-013</w:t>
            </w:r>
          </w:p>
        </w:tc>
        <w:tc>
          <w:tcPr/>
          <w:p>
            <w:pPr>
              <w:pStyle w:val="Compact"/>
            </w:pPr>
            <w:r>
              <w:t xml:space="preserve">10,000 active users goal</w:t>
            </w:r>
          </w:p>
        </w:tc>
        <w:tc>
          <w:tcPr/>
          <w:p>
            <w:pPr>
              <w:pStyle w:val="Compact"/>
            </w:pPr>
            <w:r>
              <w:t xml:space="preserve">PR-040, PR-041, PR-042, PR-043, PR-054</w:t>
            </w:r>
          </w:p>
        </w:tc>
        <w:tc>
          <w:tcPr/>
          <w:p>
            <w:pPr>
              <w:pStyle w:val="Compact"/>
            </w:pPr>
            <w:r>
              <w:t xml:space="preserve">User-friendly onboarding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BR-014</w:t>
            </w:r>
          </w:p>
        </w:tc>
        <w:tc>
          <w:tcPr/>
          <w:p>
            <w:pPr>
              <w:pStyle w:val="Compact"/>
            </w:pPr>
            <w:r>
              <w:t xml:space="preserve">User retention goal</w:t>
            </w:r>
          </w:p>
        </w:tc>
        <w:tc>
          <w:tcPr/>
          <w:p>
            <w:pPr>
              <w:pStyle w:val="Compact"/>
            </w:pPr>
            <w:r>
              <w:t xml:space="preserve">PR-014, PR-055, PR-056, PR-058</w:t>
            </w:r>
          </w:p>
        </w:tc>
        <w:tc>
          <w:tcPr/>
          <w:p>
            <w:pPr>
              <w:pStyle w:val="Compact"/>
            </w:pPr>
            <w:r>
              <w:t xml:space="preserve">Evolving features and personalization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BR-015</w:t>
            </w:r>
          </w:p>
        </w:tc>
        <w:tc>
          <w:tcPr/>
          <w:p>
            <w:pPr>
              <w:pStyle w:val="Compact"/>
            </w:pPr>
            <w:r>
              <w:t xml:space="preserve">Enterprise client goal</w:t>
            </w:r>
          </w:p>
        </w:tc>
        <w:tc>
          <w:tcPr/>
          <w:p>
            <w:pPr>
              <w:pStyle w:val="Compact"/>
            </w:pPr>
            <w:r>
              <w:t xml:space="preserve">PR-060, PR-026, PR-032, PR-033</w:t>
            </w:r>
          </w:p>
        </w:tc>
        <w:tc>
          <w:tcPr/>
          <w:p>
            <w:pPr>
              <w:pStyle w:val="Compact"/>
            </w:pPr>
            <w:r>
              <w:t xml:space="preserve">Enterprise-grade features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BR-016</w:t>
            </w:r>
          </w:p>
        </w:tc>
        <w:tc>
          <w:tcPr/>
          <w:p>
            <w:pPr>
              <w:pStyle w:val="Compact"/>
            </w:pPr>
            <w:r>
              <w:t xml:space="preserve">Platform availability</w:t>
            </w:r>
          </w:p>
        </w:tc>
        <w:tc>
          <w:tcPr/>
          <w:p>
            <w:pPr>
              <w:pStyle w:val="Compact"/>
            </w:pPr>
            <w:r>
              <w:t xml:space="preserve">PR-034, PR-035</w:t>
            </w:r>
          </w:p>
        </w:tc>
        <w:tc>
          <w:tcPr/>
          <w:p>
            <w:pPr>
              <w:pStyle w:val="Compact"/>
            </w:pPr>
            <w:r>
              <w:t xml:space="preserve">Reliability requirements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BR-017</w:t>
            </w:r>
          </w:p>
        </w:tc>
        <w:tc>
          <w:tcPr/>
          <w:p>
            <w:pPr>
              <w:pStyle w:val="Compact"/>
            </w:pPr>
            <w:r>
              <w:t xml:space="preserve">System response time</w:t>
            </w:r>
          </w:p>
        </w:tc>
        <w:tc>
          <w:tcPr/>
          <w:p>
            <w:pPr>
              <w:pStyle w:val="Compact"/>
            </w:pPr>
            <w:r>
              <w:t xml:space="preserve">PR-027, PR-029, PR-066</w:t>
            </w:r>
          </w:p>
        </w:tc>
        <w:tc>
          <w:tcPr/>
          <w:p>
            <w:pPr>
              <w:pStyle w:val="Compact"/>
            </w:pPr>
            <w:r>
              <w:t xml:space="preserve">Performance requirements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BR-018</w:t>
            </w:r>
          </w:p>
        </w:tc>
        <w:tc>
          <w:tcPr/>
          <w:p>
            <w:pPr>
              <w:pStyle w:val="Compact"/>
            </w:pPr>
            <w:r>
              <w:t xml:space="preserve">Support for large teams</w:t>
            </w:r>
          </w:p>
        </w:tc>
        <w:tc>
          <w:tcPr/>
          <w:p>
            <w:pPr>
              <w:pStyle w:val="Compact"/>
            </w:pPr>
            <w:r>
              <w:t xml:space="preserve">PR-028, PR-037</w:t>
            </w:r>
          </w:p>
        </w:tc>
        <w:tc>
          <w:tcPr/>
          <w:p>
            <w:pPr>
              <w:pStyle w:val="Compact"/>
            </w:pPr>
            <w:r>
              <w:t xml:space="preserve">Scalability requirements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BR-019</w:t>
            </w:r>
          </w:p>
        </w:tc>
        <w:tc>
          <w:tcPr/>
          <w:p>
            <w:pPr>
              <w:pStyle w:val="Compact"/>
            </w:pPr>
            <w:r>
              <w:t xml:space="preserve">Product Management needs</w:t>
            </w:r>
          </w:p>
        </w:tc>
        <w:tc>
          <w:tcPr/>
          <w:p>
            <w:pPr>
              <w:pStyle w:val="Compact"/>
            </w:pPr>
            <w:r>
              <w:t xml:space="preserve">PR-023, PR-024, PR-025, PR-026</w:t>
            </w:r>
          </w:p>
        </w:tc>
        <w:tc>
          <w:tcPr/>
          <w:p>
            <w:pPr>
              <w:pStyle w:val="Compact"/>
            </w:pPr>
            <w:r>
              <w:t xml:space="preserve">Project management features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BR-020</w:t>
            </w:r>
          </w:p>
        </w:tc>
        <w:tc>
          <w:tcPr/>
          <w:p>
            <w:pPr>
              <w:pStyle w:val="Compact"/>
            </w:pPr>
            <w:r>
              <w:t xml:space="preserve">Engineering Team needs</w:t>
            </w:r>
          </w:p>
        </w:tc>
        <w:tc>
          <w:tcPr/>
          <w:p>
            <w:pPr>
              <w:pStyle w:val="Compact"/>
            </w:pPr>
            <w:r>
              <w:t xml:space="preserve">PR-007, PR-008, PR-009, PR-010, PR-011</w:t>
            </w:r>
          </w:p>
        </w:tc>
        <w:tc>
          <w:tcPr/>
          <w:p>
            <w:pPr>
              <w:pStyle w:val="Compact"/>
            </w:pPr>
            <w:r>
              <w:t xml:space="preserve">Developer-focused features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BR-021</w:t>
            </w:r>
          </w:p>
        </w:tc>
        <w:tc>
          <w:tcPr/>
          <w:p>
            <w:pPr>
              <w:pStyle w:val="Compact"/>
            </w:pPr>
            <w:r>
              <w:t xml:space="preserve">Sales and Marketing needs</w:t>
            </w:r>
          </w:p>
        </w:tc>
        <w:tc>
          <w:tcPr/>
          <w:p>
            <w:pPr>
              <w:pStyle w:val="Compact"/>
            </w:pPr>
            <w:r>
              <w:t xml:space="preserve">PR-040, PR-042, PR-061</w:t>
            </w:r>
          </w:p>
        </w:tc>
        <w:tc>
          <w:tcPr/>
          <w:p>
            <w:pPr>
              <w:pStyle w:val="Compact"/>
            </w:pPr>
            <w:r>
              <w:t xml:space="preserve">User-friendly features and marketplace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BR-022</w:t>
            </w:r>
          </w:p>
        </w:tc>
        <w:tc>
          <w:tcPr/>
          <w:p>
            <w:pPr>
              <w:pStyle w:val="Compact"/>
            </w:pPr>
            <w:r>
              <w:t xml:space="preserve">Customer Support needs</w:t>
            </w:r>
          </w:p>
        </w:tc>
        <w:tc>
          <w:tcPr/>
          <w:p>
            <w:pPr>
              <w:pStyle w:val="Compact"/>
            </w:pPr>
            <w:r>
              <w:t xml:space="preserve">PR-042, PR-043</w:t>
            </w:r>
          </w:p>
        </w:tc>
        <w:tc>
          <w:tcPr/>
          <w:p>
            <w:pPr>
              <w:pStyle w:val="Compact"/>
            </w:pPr>
            <w:r>
              <w:t xml:space="preserve">Documentation and onboarding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BR-023</w:t>
            </w:r>
          </w:p>
        </w:tc>
        <w:tc>
          <w:tcPr/>
          <w:p>
            <w:pPr>
              <w:pStyle w:val="Compact"/>
            </w:pPr>
            <w:r>
              <w:t xml:space="preserve">Progress tracking</w:t>
            </w:r>
          </w:p>
        </w:tc>
        <w:tc>
          <w:tcPr/>
          <w:p>
            <w:pPr>
              <w:pStyle w:val="Compact"/>
            </w:pPr>
            <w:r>
              <w:t xml:space="preserve">PR-023, PR-024, PR-025</w:t>
            </w:r>
          </w:p>
        </w:tc>
        <w:tc>
          <w:tcPr/>
          <w:p>
            <w:pPr>
              <w:pStyle w:val="Compact"/>
            </w:pPr>
            <w:r>
              <w:t xml:space="preserve">Project tracking features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BR-024</w:t>
            </w:r>
          </w:p>
        </w:tc>
        <w:tc>
          <w:tcPr/>
          <w:p>
            <w:pPr>
              <w:pStyle w:val="Compact"/>
            </w:pPr>
            <w:r>
              <w:t xml:space="preserve">Clear documentation</w:t>
            </w:r>
          </w:p>
        </w:tc>
        <w:tc>
          <w:tcPr/>
          <w:p>
            <w:pPr>
              <w:pStyle w:val="Compact"/>
            </w:pPr>
            <w:r>
              <w:t xml:space="preserve">PR-013, PR-042, PR-043, PR-065</w:t>
            </w:r>
          </w:p>
        </w:tc>
        <w:tc>
          <w:tcPr/>
          <w:p>
            <w:pPr>
              <w:pStyle w:val="Compact"/>
            </w:pPr>
            <w:r>
              <w:t xml:space="preserve">Documentation features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BR-025</w:t>
            </w:r>
          </w:p>
        </w:tc>
        <w:tc>
          <w:tcPr/>
          <w:p>
            <w:pPr>
              <w:pStyle w:val="Compact"/>
            </w:pPr>
            <w:r>
              <w:t xml:space="preserve">Transparency</w:t>
            </w:r>
          </w:p>
        </w:tc>
        <w:tc>
          <w:tcPr/>
          <w:p>
            <w:pPr>
              <w:pStyle w:val="Compact"/>
            </w:pPr>
            <w:r>
              <w:t xml:space="preserve">PR-023, PR-024, PR-025</w:t>
            </w:r>
          </w:p>
        </w:tc>
        <w:tc>
          <w:tcPr/>
          <w:p>
            <w:pPr>
              <w:pStyle w:val="Compact"/>
            </w:pPr>
            <w:r>
              <w:t xml:space="preserve">Project visibility features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BR-026</w:t>
            </w:r>
          </w:p>
        </w:tc>
        <w:tc>
          <w:tcPr/>
          <w:p>
            <w:pPr>
              <w:pStyle w:val="Compact"/>
            </w:pPr>
            <w:r>
              <w:t xml:space="preserve">Budget constraint</w:t>
            </w:r>
          </w:p>
        </w:tc>
        <w:tc>
          <w:tcPr/>
          <w:p>
            <w:pPr>
              <w:pStyle w:val="Compact"/>
            </w:pPr>
            <w:r>
              <w:t xml:space="preserve">PR-050, PR-051, PR-052, PR-053, PR-054</w:t>
            </w:r>
          </w:p>
        </w:tc>
        <w:tc>
          <w:tcPr/>
          <w:p>
            <w:pPr>
              <w:pStyle w:val="Compact"/>
            </w:pPr>
            <w:r>
              <w:t xml:space="preserve">MVP focus on core features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BR-027</w:t>
            </w:r>
          </w:p>
        </w:tc>
        <w:tc>
          <w:tcPr/>
          <w:p>
            <w:pPr>
              <w:pStyle w:val="Compact"/>
            </w:pPr>
            <w:r>
              <w:t xml:space="preserve">Launch timeline</w:t>
            </w:r>
          </w:p>
        </w:tc>
        <w:tc>
          <w:tcPr/>
          <w:p>
            <w:pPr>
              <w:pStyle w:val="Compact"/>
            </w:pPr>
            <w:r>
              <w:t xml:space="preserve">PR-050, PR-051, PR-052, PR-053, PR-054</w:t>
            </w:r>
          </w:p>
        </w:tc>
        <w:tc>
          <w:tcPr/>
          <w:p>
            <w:pPr>
              <w:pStyle w:val="Compact"/>
            </w:pPr>
            <w:r>
              <w:t xml:space="preserve">MVP scope aligned with timeline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BR-028</w:t>
            </w:r>
          </w:p>
        </w:tc>
        <w:tc>
          <w:tcPr/>
          <w:p>
            <w:pPr>
              <w:pStyle w:val="Compact"/>
            </w:pPr>
            <w:r>
              <w:t xml:space="preserve">Compliance requirements</w:t>
            </w:r>
          </w:p>
        </w:tc>
        <w:tc>
          <w:tcPr/>
          <w:p>
            <w:pPr>
              <w:pStyle w:val="Compact"/>
            </w:pPr>
            <w:r>
              <w:t xml:space="preserve">PR-030, PR-031, PR-032, PR-033</w:t>
            </w:r>
          </w:p>
        </w:tc>
        <w:tc>
          <w:tcPr/>
          <w:p>
            <w:pPr>
              <w:pStyle w:val="Compact"/>
            </w:pPr>
            <w:r>
              <w:t xml:space="preserve">Security and compliance features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BR-029</w:t>
            </w:r>
          </w:p>
        </w:tc>
        <w:tc>
          <w:tcPr/>
          <w:p>
            <w:pPr>
              <w:pStyle w:val="Compact"/>
            </w:pPr>
            <w:r>
              <w:t xml:space="preserve">Market needs consistency</w:t>
            </w:r>
          </w:p>
        </w:tc>
        <w:tc>
          <w:tcPr/>
          <w:p>
            <w:pPr>
              <w:pStyle w:val="Compact"/>
            </w:pPr>
            <w:r>
              <w:t xml:space="preserve">PR-050 through PR-054, PR-055 through PR-058</w:t>
            </w:r>
          </w:p>
        </w:tc>
        <w:tc>
          <w:tcPr/>
          <w:p>
            <w:pPr>
              <w:pStyle w:val="Compact"/>
            </w:pPr>
            <w:r>
              <w:t xml:space="preserve">Phased release approach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BR-030</w:t>
            </w:r>
          </w:p>
        </w:tc>
        <w:tc>
          <w:tcPr/>
          <w:p>
            <w:pPr>
              <w:pStyle w:val="Compact"/>
            </w:pPr>
            <w:r>
              <w:t xml:space="preserve">Remote team growth</w:t>
            </w:r>
          </w:p>
        </w:tc>
        <w:tc>
          <w:tcPr/>
          <w:p>
            <w:pPr>
              <w:pStyle w:val="Compact"/>
            </w:pPr>
            <w:r>
              <w:t xml:space="preserve">PR-015, PR-016, PR-017, PR-018, PR-059</w:t>
            </w:r>
          </w:p>
        </w:tc>
        <w:tc>
          <w:tcPr/>
          <w:p>
            <w:pPr>
              <w:pStyle w:val="Compact"/>
            </w:pPr>
            <w:r>
              <w:t xml:space="preserve">Collaboration and mobile features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BR-031</w:t>
            </w:r>
          </w:p>
        </w:tc>
        <w:tc>
          <w:tcPr/>
          <w:p>
            <w:pPr>
              <w:pStyle w:val="Compact"/>
            </w:pPr>
            <w:r>
              <w:t xml:space="preserve">Competitive landscape</w:t>
            </w:r>
          </w:p>
        </w:tc>
        <w:tc>
          <w:tcPr/>
          <w:p>
            <w:pPr>
              <w:pStyle w:val="Compact"/>
            </w:pPr>
            <w:r>
              <w:t xml:space="preserve">PR-056, PR-058, PR-061</w:t>
            </w:r>
          </w:p>
        </w:tc>
        <w:tc>
          <w:tcPr/>
          <w:p>
            <w:pPr>
              <w:pStyle w:val="Compact"/>
            </w:pPr>
            <w:r>
              <w:t xml:space="preserve">Advanced features and extensibility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BR-032</w:t>
            </w:r>
          </w:p>
        </w:tc>
        <w:tc>
          <w:tcPr/>
          <w:p>
            <w:pPr>
              <w:pStyle w:val="Compact"/>
            </w:pPr>
            <w:r>
              <w:t xml:space="preserve">Market saturation risk</w:t>
            </w:r>
          </w:p>
        </w:tc>
        <w:tc>
          <w:tcPr/>
          <w:p>
            <w:pPr>
              <w:pStyle w:val="Compact"/>
            </w:pPr>
            <w:r>
              <w:t xml:space="preserve">PR-011, PR-012, PR-013, PR-061</w:t>
            </w:r>
          </w:p>
        </w:tc>
        <w:tc>
          <w:tcPr/>
          <w:p>
            <w:pPr>
              <w:pStyle w:val="Compact"/>
            </w:pPr>
            <w:r>
              <w:t xml:space="preserve">Differentiation through AI and extensibility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BR-033</w:t>
            </w:r>
          </w:p>
        </w:tc>
        <w:tc>
          <w:tcPr/>
          <w:p>
            <w:pPr>
              <w:pStyle w:val="Compact"/>
            </w:pPr>
            <w:r>
              <w:t xml:space="preserve">Changing technology risk</w:t>
            </w:r>
          </w:p>
        </w:tc>
        <w:tc>
          <w:tcPr/>
          <w:p>
            <w:pPr>
              <w:pStyle w:val="Compact"/>
            </w:pPr>
            <w:r>
              <w:t xml:space="preserve">PR-049, PR-055, PR-056</w:t>
            </w:r>
          </w:p>
        </w:tc>
        <w:tc>
          <w:tcPr/>
          <w:p>
            <w:pPr>
              <w:pStyle w:val="Compact"/>
            </w:pPr>
            <w:r>
              <w:t xml:space="preserve">Extension framework and evolving features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BR-034</w:t>
            </w:r>
          </w:p>
        </w:tc>
        <w:tc>
          <w:tcPr/>
          <w:p>
            <w:pPr>
              <w:pStyle w:val="Compact"/>
            </w:pPr>
            <w:r>
              <w:t xml:space="preserve">Enterprise acquisition risk</w:t>
            </w:r>
          </w:p>
        </w:tc>
        <w:tc>
          <w:tcPr/>
          <w:p>
            <w:pPr>
              <w:pStyle w:val="Compact"/>
            </w:pPr>
            <w:r>
              <w:t xml:space="preserve">PR-060, PR-032, PR-033, PR-048</w:t>
            </w:r>
          </w:p>
        </w:tc>
        <w:tc>
          <w:tcPr/>
          <w:p>
            <w:pPr>
              <w:pStyle w:val="Compact"/>
            </w:pPr>
            <w:r>
              <w:t xml:space="preserve">Enterprise-focused features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BR-035</w:t>
            </w:r>
          </w:p>
        </w:tc>
        <w:tc>
          <w:tcPr/>
          <w:p>
            <w:pPr>
              <w:pStyle w:val="Compact"/>
            </w:pPr>
            <w:r>
              <w:t xml:space="preserve">Market analysis strategy</w:t>
            </w:r>
          </w:p>
        </w:tc>
        <w:tc>
          <w:tcPr/>
          <w:p>
            <w:pPr>
              <w:pStyle w:val="Compact"/>
            </w:pPr>
            <w:r>
              <w:t xml:space="preserve">PR-059, PR-060, PR-061, PR-062</w:t>
            </w:r>
          </w:p>
        </w:tc>
        <w:tc>
          <w:tcPr/>
          <w:p>
            <w:pPr>
              <w:pStyle w:val="Compact"/>
            </w:pPr>
            <w:r>
              <w:t xml:space="preserve">Forward-looking feature planning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BR-036</w:t>
            </w:r>
          </w:p>
        </w:tc>
        <w:tc>
          <w:tcPr/>
          <w:p>
            <w:pPr>
              <w:pStyle w:val="Compact"/>
            </w:pPr>
            <w:r>
              <w:t xml:space="preserve">Agile development</w:t>
            </w:r>
          </w:p>
        </w:tc>
        <w:tc>
          <w:tcPr/>
          <w:p>
            <w:pPr>
              <w:pStyle w:val="Compact"/>
            </w:pPr>
            <w:r>
              <w:t xml:space="preserve">PR-023, PR-024, PR-025, PR-026</w:t>
            </w:r>
          </w:p>
        </w:tc>
        <w:tc>
          <w:tcPr/>
          <w:p>
            <w:pPr>
              <w:pStyle w:val="Compact"/>
            </w:pPr>
            <w:r>
              <w:t xml:space="preserve">Agile project management features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BR-037</w:t>
            </w:r>
          </w:p>
        </w:tc>
        <w:tc>
          <w:tcPr/>
          <w:p>
            <w:pPr>
              <w:pStyle w:val="Compact"/>
            </w:pPr>
            <w:r>
              <w:t xml:space="preserve">Beta program</w:t>
            </w:r>
          </w:p>
        </w:tc>
        <w:tc>
          <w:tcPr/>
          <w:p>
            <w:pPr>
              <w:pStyle w:val="Compact"/>
            </w:pPr>
            <w:r>
              <w:t xml:space="preserve">PR-050, PR-051, PR-052, PR-053, PR-054</w:t>
            </w:r>
          </w:p>
        </w:tc>
        <w:tc>
          <w:tcPr/>
          <w:p>
            <w:pPr>
              <w:pStyle w:val="Compact"/>
            </w:pPr>
            <w:r>
              <w:t xml:space="preserve">MVP as beta foundation</w:t>
            </w:r>
          </w:p>
        </w:tc>
      </w:tr>
    </w:tbl>
    <w:bookmarkEnd w:id="21"/>
    <w:bookmarkStart w:id="22" w:name="coverage-analysis"/>
    <w:p>
      <w:pPr>
        <w:pStyle w:val="Heading2"/>
      </w:pPr>
      <w:r>
        <w:t xml:space="preserve">Coverage Analysis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Business Requirements with Strong Coverage:</w:t>
      </w:r>
      <w:r>
        <w:t xml:space="preserve"> </w:t>
      </w:r>
      <w:r>
        <w:t xml:space="preserve">32 of 37 (86%)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Business Requirements with Partial Coverage:</w:t>
      </w:r>
      <w:r>
        <w:t xml:space="preserve"> </w:t>
      </w:r>
      <w:r>
        <w:t xml:space="preserve">5 of 37 (14%)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Business Requirements with No Coverage:</w:t>
      </w:r>
      <w:r>
        <w:t xml:space="preserve"> </w:t>
      </w:r>
      <w:r>
        <w:t xml:space="preserve">0 of 37 (0%)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Product Requirements with Business Justification:</w:t>
      </w:r>
      <w:r>
        <w:t xml:space="preserve"> </w:t>
      </w:r>
      <w:r>
        <w:t xml:space="preserve">65 of 67 (97%)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Product Requirements without Clear Business Justification:</w:t>
      </w:r>
      <w:r>
        <w:t xml:space="preserve"> </w:t>
      </w:r>
      <w:r>
        <w:t xml:space="preserve">2 of 67 (3%)</w:t>
      </w:r>
    </w:p>
    <w:bookmarkEnd w:id="22"/>
    <w:bookmarkStart w:id="25" w:name="gap-analysis"/>
    <w:p>
      <w:pPr>
        <w:pStyle w:val="Heading2"/>
      </w:pPr>
      <w:r>
        <w:t xml:space="preserve">Gap Analysis</w:t>
      </w:r>
    </w:p>
    <w:bookmarkStart w:id="23" w:name="Xeeecb14129e356250810967119f143fafa759b4"/>
    <w:p>
      <w:pPr>
        <w:pStyle w:val="Heading3"/>
      </w:pPr>
      <w:r>
        <w:t xml:space="preserve">Business Requirements Requiring Additional Product Requirements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BR-011</w:t>
      </w:r>
      <w:r>
        <w:t xml:space="preserve"> </w:t>
      </w:r>
      <w:r>
        <w:t xml:space="preserve">(Subscription model) requires additional product requirements for billing and subscription management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BR-015</w:t>
      </w:r>
      <w:r>
        <w:t xml:space="preserve"> </w:t>
      </w:r>
      <w:r>
        <w:t xml:space="preserve">(Enterprise clients) could benefit from more enterprise-specific features</w:t>
      </w:r>
    </w:p>
    <w:bookmarkEnd w:id="23"/>
    <w:bookmarkStart w:id="24" w:name="Xb1b667b2f2dea1f6bab977910380ef8e1ba9f0f"/>
    <w:p>
      <w:pPr>
        <w:pStyle w:val="Heading3"/>
      </w:pPr>
      <w:r>
        <w:t xml:space="preserve">Product Requirements Requiring Business Justification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PR-045</w:t>
      </w:r>
      <w:r>
        <w:t xml:space="preserve"> </w:t>
      </w:r>
      <w:r>
        <w:t xml:space="preserve">(Browser compatibility) could be more explicitly tied to business needs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PR-046</w:t>
      </w:r>
      <w:r>
        <w:t xml:space="preserve"> </w:t>
      </w:r>
      <w:r>
        <w:t xml:space="preserve">(Mobile companions) could be better justified by business requirements</w:t>
      </w:r>
    </w:p>
    <w:bookmarkEnd w:id="24"/>
    <w:bookmarkEnd w:id="25"/>
    <w:bookmarkStart w:id="26" w:name="next-steps"/>
    <w:p>
      <w:pPr>
        <w:pStyle w:val="Heading2"/>
      </w:pPr>
      <w:r>
        <w:t xml:space="preserve">Next Steps</w:t>
      </w:r>
    </w:p>
    <w:p>
      <w:pPr>
        <w:pStyle w:val="Compact"/>
        <w:numPr>
          <w:ilvl w:val="0"/>
          <w:numId w:val="1004"/>
        </w:numPr>
      </w:pPr>
      <w:r>
        <w:t xml:space="preserve">Address identified gaps in the next iteration of requirements documentation</w:t>
      </w:r>
    </w:p>
    <w:p>
      <w:pPr>
        <w:pStyle w:val="Compact"/>
        <w:numPr>
          <w:ilvl w:val="0"/>
          <w:numId w:val="1004"/>
        </w:numPr>
      </w:pPr>
      <w:r>
        <w:t xml:space="preserve">Validate traceability matrix with key stakeholders</w:t>
      </w:r>
    </w:p>
    <w:p>
      <w:pPr>
        <w:pStyle w:val="Compact"/>
        <w:numPr>
          <w:ilvl w:val="0"/>
          <w:numId w:val="1004"/>
        </w:numPr>
      </w:pPr>
      <w:r>
        <w:t xml:space="preserve">Use this matrix for impact analysis when requirements change</w:t>
      </w:r>
    </w:p>
    <w:p>
      <w:pPr>
        <w:pStyle w:val="Compact"/>
        <w:numPr>
          <w:ilvl w:val="0"/>
          <w:numId w:val="1004"/>
        </w:numPr>
      </w:pPr>
      <w:r>
        <w:t xml:space="preserve">Update matrix as requirements evolve throughout the project lifecycle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2025-05-16T15:43:16Z</dcterms:created>
  <dcterms:modified xsi:type="dcterms:W3CDTF">2025-05-16T15:43:16Z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