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HOLABIRD ACADEMY</w:t>
      </w:r>
    </w:p>
    <w:p>
      <w:pPr>
        <w:jc w:val="center"/>
      </w:pPr>
      <w:r>
        <w:rPr>
          <w:color w:val="666666"/>
          <w:sz w:val="18"/>
        </w:rPr>
        <w:t>ELEMENTARY / MIDDLE SCHOOL</w:t>
        <w:br/>
        <w:t>1500 Imla Street, Baltimore, MD 21224</w:t>
        <w:br/>
        <w:t>Project No. 2024-0312</w:t>
      </w:r>
    </w:p>
    <w:p/>
    <w:p>
      <w:r>
        <w:rPr>
          <w:b/>
          <w:sz w:val="28"/>
        </w:rPr>
        <w:t>PROPOSED CHANGE ORDER — PCO-001</w:t>
      </w:r>
    </w:p>
    <w:p>
      <w:r>
        <w:rPr>
          <w:sz w:val="20"/>
        </w:rPr>
        <w:t>Date: 2025-07-20</w:t>
      </w:r>
    </w:p>
    <w:p/>
    <w:p>
      <w:pPr>
        <w:pStyle w:val="Heading2"/>
      </w:pPr>
      <w:r>
        <w:t>Subject</w:t>
      </w:r>
    </w:p>
    <w:p>
      <w:r>
        <w:t>Unforeseen Soil Conditions — Additional Excavation at Building A</w:t>
      </w:r>
    </w:p>
    <w:p>
      <w:pPr>
        <w:pStyle w:val="Heading2"/>
      </w:pPr>
      <w:r>
        <w:t>Description</w:t>
      </w:r>
    </w:p>
    <w:p>
      <w:r>
        <w:t>During excavation for the Building A foundations at Grid Lines A through C, the contractor encountered a clay layer approximately 4 feet below the anticipated bearing elevation that was not identified in the geotechnical report prepared by ECS Mid-Atlantic dated January 15, 2025. The clay layer is approximately 2 to 3 feet thick and extends across the entire south wing foundation area.</w:t>
      </w:r>
    </w:p>
    <w:p>
      <w:r>
        <w:t>The structural engineer has reviewed the conditions and determined that the foundations must be deepened by 3 feet to bear on competent material below the clay layer. This requires additional excavation, additional concrete for deeper footings, additional formwork, and additional rebar. Backfill with structural fill is also required.</w:t>
      </w:r>
    </w:p>
    <w:p>
      <w:pPr>
        <w:pStyle w:val="Heading2"/>
      </w:pPr>
      <w:r>
        <w:t>Reference Documents</w:t>
      </w:r>
    </w:p>
    <w:p>
      <w:r>
        <w:t>• RFI-001: Foundation Depth at Grid B-4</w:t>
      </w:r>
    </w:p>
    <w:p>
      <w:r>
        <w:t>• Geotechnical Report, ECS Mid-Atlantic, January 15, 2025</w:t>
      </w:r>
    </w:p>
    <w:p>
      <w:r>
        <w:t>• Structural Drawing S-2.01: Foundation Plan</w:t>
      </w:r>
    </w:p>
    <w:p>
      <w:r>
        <w:t>• Architect's response to RFI-001 dated July 20, 2025</w:t>
      </w:r>
    </w:p>
    <w:p>
      <w:pPr>
        <w:pStyle w:val="Heading2"/>
      </w:pPr>
      <w:r>
        <w:t>Cost Impact</w:t>
      </w:r>
    </w:p>
    <w:tbl>
      <w:tblPr>
        <w:tblStyle w:val="LightGrid-Accent1"/>
        <w:tblW w:type="auto" w:w="0"/>
        <w:tblLook w:firstColumn="1" w:firstRow="1" w:lastColumn="0" w:lastRow="0" w:noHBand="0" w:noVBand="1" w:val="04A0"/>
      </w:tblPr>
      <w:tblGrid>
        <w:gridCol w:w="4320"/>
        <w:gridCol w:w="4320"/>
      </w:tblGrid>
      <w:tr>
        <w:tc>
          <w:tcPr>
            <w:tcW w:type="dxa" w:w="4320"/>
          </w:tcPr>
          <w:p>
            <w:r>
              <w:t>Additional excavation (380 CY @ $45/CY)</w:t>
            </w:r>
          </w:p>
        </w:tc>
        <w:tc>
          <w:tcPr>
            <w:tcW w:type="dxa" w:w="4320"/>
          </w:tcPr>
          <w:p>
            <w:r>
              <w:t>$17,100</w:t>
            </w:r>
          </w:p>
        </w:tc>
      </w:tr>
      <w:tr>
        <w:tc>
          <w:tcPr>
            <w:tcW w:type="dxa" w:w="4320"/>
          </w:tcPr>
          <w:p>
            <w:r>
              <w:t>Additional formwork (2,400 SF @ $12/SF)</w:t>
            </w:r>
          </w:p>
        </w:tc>
        <w:tc>
          <w:tcPr>
            <w:tcW w:type="dxa" w:w="4320"/>
          </w:tcPr>
          <w:p>
            <w:r>
              <w:t>$28,800</w:t>
            </w:r>
          </w:p>
        </w:tc>
      </w:tr>
      <w:tr>
        <w:tc>
          <w:tcPr>
            <w:tcW w:type="dxa" w:w="4320"/>
          </w:tcPr>
          <w:p>
            <w:r>
              <w:t>Additional rebar (8.5 tons @ $1,800/ton)</w:t>
            </w:r>
          </w:p>
        </w:tc>
        <w:tc>
          <w:tcPr>
            <w:tcW w:type="dxa" w:w="4320"/>
          </w:tcPr>
          <w:p>
            <w:r>
              <w:t>$15,300</w:t>
            </w:r>
          </w:p>
        </w:tc>
      </w:tr>
      <w:tr>
        <w:tc>
          <w:tcPr>
            <w:tcW w:type="dxa" w:w="4320"/>
          </w:tcPr>
          <w:p>
            <w:r>
              <w:t>Additional concrete (145 CY @ $165/CY)</w:t>
            </w:r>
          </w:p>
        </w:tc>
        <w:tc>
          <w:tcPr>
            <w:tcW w:type="dxa" w:w="4320"/>
          </w:tcPr>
          <w:p>
            <w:r>
              <w:t>$23,925</w:t>
            </w:r>
          </w:p>
        </w:tc>
      </w:tr>
      <w:tr>
        <w:tc>
          <w:tcPr>
            <w:tcW w:type="dxa" w:w="4320"/>
          </w:tcPr>
          <w:p>
            <w:r>
              <w:t>Structural fill (210 CY @ $35/CY)</w:t>
            </w:r>
          </w:p>
        </w:tc>
        <w:tc>
          <w:tcPr>
            <w:tcW w:type="dxa" w:w="4320"/>
          </w:tcPr>
          <w:p>
            <w:r>
              <w:t>$7,350</w:t>
            </w:r>
          </w:p>
        </w:tc>
      </w:tr>
      <w:tr>
        <w:tc>
          <w:tcPr>
            <w:tcW w:type="dxa" w:w="4320"/>
          </w:tcPr>
          <w:p>
            <w:r>
              <w:rPr>
                <w:b/>
              </w:rPr>
              <w:t>TOTAL PROPOSED AMOUNT</w:t>
            </w:r>
          </w:p>
        </w:tc>
        <w:tc>
          <w:tcPr>
            <w:tcW w:type="dxa" w:w="4320"/>
          </w:tcPr>
          <w:p>
            <w:r>
              <w:rPr>
                <w:b/>
              </w:rPr>
              <w:t>$87,500</w:t>
            </w:r>
          </w:p>
        </w:tc>
      </w:tr>
    </w:tbl>
    <w:p>
      <w:pPr>
        <w:pStyle w:val="Heading2"/>
      </w:pPr>
      <w:r>
        <w:t>Schedule Impact</w:t>
      </w:r>
    </w:p>
    <w:p>
      <w:r>
        <w:t>The additional excavation and foundation work is estimated to add 5 working days to the foundation phase of the schedule. The contractor will attempt to mitigate this delay through additional crews and weekend work where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