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p>
    <w:p>
      <w:pPr>
        <w:spacing w:after="40"/>
        <w:jc w:val="center"/>
      </w:pPr>
      <w:r>
        <w:drawing>
          <wp:inline xmlns:a="http://schemas.openxmlformats.org/drawingml/2006/main" xmlns:pic="http://schemas.openxmlformats.org/drawingml/2006/picture">
            <wp:extent cx="3200400" cy="890393"/>
            <wp:docPr id="1" name="Picture 1"/>
            <wp:cNvGraphicFramePr>
              <a:graphicFrameLocks noChangeAspect="1"/>
            </wp:cNvGraphicFramePr>
            <a:graphic>
              <a:graphicData uri="http://schemas.openxmlformats.org/drawingml/2006/picture">
                <pic:pic>
                  <pic:nvPicPr>
                    <pic:cNvPr id="0" name="logo_tec.png"/>
                    <pic:cNvPicPr/>
                  </pic:nvPicPr>
                  <pic:blipFill>
                    <a:blip r:embed="rId9"/>
                    <a:stretch>
                      <a:fillRect/>
                    </a:stretch>
                  </pic:blipFill>
                  <pic:spPr>
                    <a:xfrm>
                      <a:off x="0" y="0"/>
                      <a:ext cx="3200400" cy="890393"/>
                    </a:xfrm>
                    <a:prstGeom prst="rect"/>
                  </pic:spPr>
                </pic:pic>
              </a:graphicData>
            </a:graphic>
          </wp:inline>
        </w:drawing>
      </w:r>
    </w:p>
    <w:p>
      <w:pPr>
        <w:spacing w:after="0"/>
        <w:jc w:val="center"/>
      </w:pPr>
      <w:r>
        <w:rPr>
          <w:color w:val="5A6068"/>
          <w:sz w:val="24"/>
        </w:rPr>
        <w:t>Escuela de Ingeniería y Ciencias</w:t>
      </w:r>
    </w:p>
    <w:p>
      <w:pPr>
        <w:spacing w:after="40"/>
        <w:jc w:val="center"/>
      </w:pPr>
      <w:r>
        <w:rPr>
          <w:b/>
          <w:color w:val="0C2340"/>
          <w:sz w:val="25"/>
        </w:rPr>
        <w:t>Maestría en Inteligencia Artificial Aplicada</w:t>
      </w:r>
    </w:p>
    <w:p>
      <w:pPr>
        <w:pBdr>
          <w:bottom w:val="single" w:sz="12" w:space="1" w:color="0039A6"/>
        </w:pBdr>
        <w:spacing w:after="40"/>
      </w:pPr>
    </w:p>
    <w:p>
      <w:pPr>
        <w:spacing w:after="280"/>
      </w:pPr>
    </w:p>
    <w:p>
      <w:pPr>
        <w:spacing w:after="320"/>
        <w:jc w:val="center"/>
      </w:pPr>
      <w:r>
        <w:rPr>
          <w:b/>
          <w:color w:val="0039A6"/>
          <w:sz w:val="22"/>
        </w:rPr>
        <w:t>PROYECTO INTEGRADOR · DOCUMENTO FINAL DE ENTREGA</w:t>
      </w:r>
    </w:p>
    <w:p>
      <w:pPr>
        <w:spacing w:after="120"/>
        <w:jc w:val="center"/>
      </w:pPr>
      <w:r>
        <w:rPr>
          <w:rFonts w:ascii="Cambria" w:hAnsi="Cambria"/>
          <w:b/>
          <w:color w:val="0C2340"/>
          <w:sz w:val="42"/>
        </w:rPr>
        <w:t>Traducción Automática Neuronal para la Preservación de la Lengua Bribri en Riesgo de Extinción</w:t>
      </w:r>
    </w:p>
    <w:p>
      <w:pPr>
        <w:spacing w:after="360"/>
        <w:jc w:val="center"/>
      </w:pPr>
      <w:r>
        <w:rPr>
          <w:rFonts w:ascii="Cambria" w:hAnsi="Cambria"/>
          <w:i/>
          <w:color w:val="5A6068"/>
          <w:sz w:val="27"/>
        </w:rPr>
        <w:t>Desarrollo de un Sistema NMT Bribri–Español mediante Arquitecturas Transformer para Lenguas de Bajos Recursos</w:t>
      </w:r>
    </w:p>
    <w:p>
      <w:pPr>
        <w:spacing w:after="200"/>
      </w:pPr>
    </w:p>
    <w:p>
      <w:pPr>
        <w:spacing w:after="40"/>
        <w:jc w:val="center"/>
      </w:pPr>
      <w:r>
        <w:rPr>
          <w:b/>
          <w:color w:val="0039A6"/>
          <w:sz w:val="25"/>
        </w:rPr>
        <w:t>Programa Voces — Componente B</w:t>
      </w:r>
    </w:p>
    <w:p>
      <w:pPr>
        <w:spacing w:after="440"/>
        <w:jc w:val="center"/>
      </w:pPr>
      <w:r>
        <w:rPr>
          <w:color w:val="5A6068"/>
          <w:sz w:val="21"/>
        </w:rPr>
        <w:t>Centro Nacional de Inteligencia Artificial (CENIA, Chile) · Pontificia Universidad Católica de Chile · Tecnológico de Monterrey</w:t>
      </w:r>
    </w:p>
    <w:p>
      <w:pPr>
        <w:spacing w:after="40"/>
        <w:jc w:val="center"/>
      </w:pPr>
      <w:r>
        <w:rPr>
          <w:b/>
          <w:color w:val="0C2340"/>
          <w:sz w:val="24"/>
        </w:rPr>
        <w:t>Equipo 66 — Costa Rica</w:t>
      </w:r>
    </w:p>
    <w:p>
      <w:pPr>
        <w:spacing w:after="200"/>
        <w:jc w:val="center"/>
      </w:pPr>
      <w:r>
        <w:rPr>
          <w:sz w:val="22"/>
        </w:rPr>
        <w:t>Daniel Leiva  (A01795876)   ·   Israel Agustín Vargas Monroy  (A01796556)</w:t>
      </w:r>
    </w:p>
    <w:p>
      <w:pPr>
        <w:spacing w:after="40"/>
        <w:jc w:val="center"/>
      </w:pPr>
      <w:r>
        <w:rPr>
          <w:b/>
          <w:color w:val="0C2340"/>
        </w:rPr>
        <w:t xml:space="preserve">Asesor:  </w:t>
      </w:r>
      <w:r>
        <w:t>Carlos Villaseñor</w:t>
      </w:r>
    </w:p>
    <w:p>
      <w:pPr>
        <w:spacing w:after="40"/>
        <w:jc w:val="center"/>
      </w:pPr>
      <w:r>
        <w:rPr>
          <w:b/>
          <w:color w:val="0C2340"/>
        </w:rPr>
        <w:t xml:space="preserve">Patrocinador:  </w:t>
      </w:r>
      <w:r>
        <w:t>Carlos Aspillaga — Director del Programa Voces (CENIA)</w:t>
      </w:r>
    </w:p>
    <w:p>
      <w:pPr>
        <w:spacing w:after="360"/>
        <w:jc w:val="center"/>
      </w:pPr>
      <w:r>
        <w:rPr>
          <w:b/>
          <w:color w:val="0C2340"/>
        </w:rPr>
        <w:t xml:space="preserve">Metodología:  </w:t>
      </w:r>
      <w:r>
        <w:t>CRISP-ML(Q) — Fase de Evaluación y Despliegue</w:t>
      </w:r>
    </w:p>
    <w:p>
      <w:pPr>
        <w:pBdr>
          <w:bottom w:val="single" w:sz="12" w:space="1" w:color="0039A6"/>
        </w:pBdr>
        <w:spacing w:after="40"/>
      </w:pPr>
    </w:p>
    <w:p>
      <w:pPr>
        <w:spacing w:after="0"/>
        <w:jc w:val="center"/>
      </w:pPr>
      <w:r>
        <w:rPr>
          <w:color w:val="5A6068"/>
          <w:sz w:val="21"/>
        </w:rPr>
        <w:t>Suretka, Talamanca, Costa Rica  ·  Santiago, Chile  ·  Junio de 2026</w:t>
      </w:r>
    </w:p>
    <w:p>
      <w:r>
        <w:br w:type="page"/>
      </w:r>
    </w:p>
    <w:p>
      <w:pPr>
        <w:pStyle w:val="Heading1"/>
      </w:pPr>
      <w:r>
        <w:t>Resumen ejecutivo</w:t>
      </w:r>
    </w:p>
    <w:p>
      <w:r>
        <w:t>Este documento constituye la entrega final del Proyecto Integrador de la Maestría en Inteligencia Artificial Aplicada del Tecnológico de Monterrey, desarrollado por el Equipo 66 (Costa Rica) en el marco del Programa Voces, iniciativa de preservación de lenguas indígenas coordinada por el Centro Nacional de Inteligencia Artificial (CENIA, Chile) en colaboración con la Pontificia Universidad Católica de Chile y el Tecnológico de Monterrey. El trabajo aborda el Componente B del proyecto: la construcción y el ajuste fino (fine-tuning) de modelos de Traducción Automática Neuronal (NMT) para el par bribri–español, lengua de la familia chibcha hablada en el Territorio Indígena Bribri de Talamanca y clasificada en riesgo.</w:t>
      </w:r>
    </w:p>
    <w:p>
      <w:r>
        <w:t>A partir de un corpus paralelo de 1 505 pares construido desde fuentes documentales heterogéneas, se realizó fine-tuning de NLLB-200-distilled-600M y, como baseline comparativo, de M2M-100. El mejor modelo —NLLB-200 reentrenado en servidor H100 (8 épocas, lr 2e-4)— alcanza chrF 31.43 / chrF++ 30.47 / spBLEU 21.16 sobre el conjunto de prueba, superando al baseline M2M-100 por un factor de 3.3× en chrF. Frente a los criterios de éxito formalizados en la fase de evaluación, el sistema no es apto para traducción autónoma de propósito general, pero sí cumple como prueba de concepto funcional para asistencia documental, lexicográfica y pedagógica con validación humana en el bucle (human-in-the-loop).</w:t>
      </w:r>
    </w:p>
    <w:p>
      <w:r>
        <w:t>La decisión fundamentada es implementar en producción restringida e iterar en paralelo, sin retroceder a fases anteriores: el modelado cumplió su objetivo y la limitación del corpus es una mejora planificada, no un defecto a corregir. Se entrega a CENIA una base reproducible, trazable y medible, con palancas de mejora priorizadas, un conjunto de accionables asignados por stakeholder y una arquitectura de despliegue recomendada sobre Microsoft Azure, por continuidad con la infraestructura de cómputo del proyecto.</w:t>
      </w:r>
    </w:p>
    <w:p>
      <w:pPr>
        <w:spacing w:after="200"/>
      </w:pPr>
      <w:r>
        <w:rPr>
          <w:b/>
          <w:color w:val="0C2340"/>
        </w:rPr>
        <w:t xml:space="preserve">Palabras clave:  </w:t>
      </w:r>
      <w:r>
        <w:rPr>
          <w:i/>
        </w:rPr>
        <w:t>traducción automática neuronal; lenguas de bajos recursos; bribri; NLLB-200; fine-tuning; preservación lingüística; CRISP-ML(Q); chrF.</w:t>
      </w:r>
    </w:p>
    <w:p>
      <w:pPr>
        <w:pStyle w:val="Heading2"/>
      </w:pPr>
      <w:r>
        <w:t>Abstract</w:t>
      </w:r>
    </w:p>
    <w:p>
      <w:r>
        <w:rPr>
          <w:i/>
        </w:rPr>
        <w:t>This document is the final deliverable of the Capstone Project for the Master's in Applied Artificial Intelligence at Tecnológico de Monterrey, carried out by Team 66 (Costa Rica) within the Voces Program, a low-resource language preservation initiative led by Chile's National Center for Artificial Intelligence (CENIA) together with PUC Chile and Tecnológico de Monterrey. The work addresses Component B: building a Bribri–Spanish parallel corpus and fine-tuning Neural Machine Translation models for this endangered Chibchan language. From 1,505 parallel pairs, NLLB-200-distilled-600M was fine-tuned (with M2M-100 as a comparative baseline); the best model reaches chrF 31.43 / chrF++ 30.47 / spBLEU 21.16 on the test set, outperforming the M2M-100 baseline 3.3× in chrF. Measured against success criteria appropriate to a low-resource preservation goal, the system qualifies as a functional, human-in-the-loop proof of concept for documentary and pedagogical assistance, and is recommended for a restricted production deployment with a parallel improvement roadmap.</w:t>
      </w:r>
    </w:p>
    <w:p>
      <w:r>
        <w:br w:type="page"/>
      </w:r>
    </w:p>
    <w:p>
      <w:pPr>
        <w:pStyle w:val="Heading1"/>
      </w:pPr>
      <w:r>
        <w:t>Contenido</w:t>
      </w:r>
    </w:p>
    <w:p>
      <w:r>
        <w:fldChar w:fldCharType="begin"/>
        <w:instrText xml:space="preserve">TOC \o "1-3" \h \z \u</w:instrText>
        <w:fldChar w:fldCharType="separate"/>
        <w:r>
          <w:t>Actualice este campo en Word (clic derecho ▸ Actualizar campos / F9).</w:t>
        </w:r>
        <w:fldChar w:fldCharType="end"/>
      </w:r>
    </w:p>
    <w:p>
      <w:r>
        <w:br w:type="page"/>
      </w:r>
    </w:p>
    <w:p>
      <w:pPr>
        <w:pStyle w:val="Heading1"/>
      </w:pPr>
      <w:r>
        <w:t>1. Introducción</w:t>
      </w:r>
    </w:p>
    <w:p>
      <w:pPr>
        <w:pStyle w:val="Heading2"/>
      </w:pPr>
      <w:r>
        <w:t>1.1 Contexto y motivación</w:t>
      </w:r>
    </w:p>
    <w:p>
      <w:r>
        <w:t>El bribri es una lengua de la familia chibcha hablada en el Territorio Indígena Bribri de Talamanca, en la región fronteriza entre Costa Rica y Panamá, territorio declarado Reserva de la Biosfera La Amistad por la UNESCO en 1982. Según el Censo Nacional 2011 (INEC, 2011) la lengua es hablada por aproximadamente 12 000 personas, aunque estudios recientes documentan una reducción de hablantes activos, particularmente entre las generaciones jóvenes (Jara Murillo, 2018). Esta erosión intergeneracional sitúa al bribri en una categoría de riesgo y motiva intervenciones de revitalización asistida por tecnología.</w:t>
      </w:r>
    </w:p>
    <w:p>
      <w:r>
        <w:t>La ausencia de herramientas digitales de traducción automática para el par bribri–español limita la transmisión intergeneracional de la lengua, restringe el acceso de la comunidad a contenidos en su idioma y reduce las posibilidades de documentación y revitalización lingüística (Gómez-Rendón, 2017; Mager et al., 2018). El presente proyecto responde a esa carencia construyendo, por primera vez para este par, un sistema NMT reproducible y medible.</w:t>
      </w:r>
    </w:p>
    <w:p>
      <w:pPr>
        <w:pStyle w:val="Heading2"/>
      </w:pPr>
      <w:r>
        <w:t>1.2 Problema y justificación</w:t>
      </w:r>
    </w:p>
    <w:p>
      <w:r>
        <w:t>El bribri es una lengua de bajos recursos (low-resource language): a diferencia de lenguas con amplia presencia digital, cuenta con un corpus paralelo extremadamente limitado, disperso en diccionarios bilingües, materiales del Ministerio de Educación Pública de Costa Rica (MEP) y documentación lingüística académica. Esta escasez de datos es la principal dificultad técnica del proyecto y exige estrategias específicas —transferencia de aprendizaje, ajuste fino de modelos multilingües preentrenados y aumento de datos— que sitúan el trabajo en la frontera de la investigación aplicada en PLN para lenguas indígenas latinoamericanas (Mager et al., 2018; Ortega et al., 2020).</w:t>
      </w:r>
    </w:p>
    <w:p>
      <w:pPr>
        <w:pStyle w:val="Heading2"/>
      </w:pPr>
      <w:r>
        <w:t>1.3 Objetivos</w:t>
      </w:r>
    </w:p>
    <w:p>
      <w:r>
        <w:rPr>
          <w:b/>
          <w:color w:val="0C2340"/>
        </w:rPr>
        <w:t xml:space="preserve">Objetivo general.  </w:t>
      </w:r>
      <w:r>
        <w:t>Desarrollar y evaluar un sistema de Traducción Automática Neuronal bribri–español, basado en arquitecturas Transformer preentrenadas y ajustadas finamente sobre un corpus paralelo propio, que sirva como prueba de concepto reproducible para la preservación y revitalización lingüística del bribri en el marco del Programa Voces.</w:t>
      </w:r>
    </w:p>
    <w:p>
      <w:pPr>
        <w:spacing w:after="40"/>
      </w:pPr>
      <w:r>
        <w:rPr>
          <w:b/>
          <w:color w:val="0C2340"/>
        </w:rPr>
        <w:t>Objetivos específicos:</w:t>
      </w:r>
    </w:p>
    <w:p>
      <w:pPr>
        <w:pStyle w:val="ListBullet"/>
      </w:pPr>
      <w:r>
        <w:t>Construir un corpus paralelo bribri–español trazable a partir de fuentes documentales, con normalización lingüísticamente informada, filtrado de calidad y partición estratificada reproducible.</w:t>
      </w:r>
    </w:p>
    <w:p>
      <w:pPr>
        <w:pStyle w:val="ListBullet"/>
      </w:pPr>
      <w:r>
        <w:t>Realizar fine-tuning de modelos NMT multilingües (NLLB-200, M2M-100) y comparar arquitecturas, configuraciones e hiperparámetros bajo un protocolo de evaluación común.</w:t>
      </w:r>
    </w:p>
    <w:p>
      <w:pPr>
        <w:pStyle w:val="ListBullet"/>
      </w:pPr>
      <w:r>
        <w:t>Evaluar el desempeño con métricas robustas a morfología rica (chrF, chrF++, spBLEU) y con análisis cualitativo de patrones de error.</w:t>
      </w:r>
    </w:p>
    <w:p>
      <w:pPr>
        <w:pStyle w:val="ListBullet"/>
      </w:pPr>
      <w:r>
        <w:t>Explorar estrategias de ensamble apropiadas para generación de secuencias.</w:t>
      </w:r>
    </w:p>
    <w:p>
      <w:pPr>
        <w:pStyle w:val="ListBullet"/>
      </w:pPr>
      <w:r>
        <w:t>Determinar la aptitud del modelo para despliegue, definir accionables por stakeholder y proponer una arquitectura de producción.</w:t>
      </w:r>
    </w:p>
    <w:p>
      <w:pPr>
        <w:pStyle w:val="Heading2"/>
      </w:pPr>
      <w:r>
        <w:t>1.4 Alcance — Componente B</w:t>
      </w:r>
    </w:p>
    <w:p>
      <w:r>
        <w:t>El proyecto cubre el Componente B del Programa Voces: la contribución académica de fine-tuning de modelos NMT preentrenados sobre un corpus paralelo bribri–español. Quedan fuera del alcance la traducción autónoma de propósito general, el despliegue a escala comercial y el reconocimiento óptico de caracteres (OCR) de fuentes escaneadas. La tabla siguiente resume los datos generales del proyecto.</w:t>
      </w:r>
    </w:p>
    <w:tbl>
      <w:tblPr>
        <w:tblStyle w:val="TableGrid"/>
        <w:tblW w:type="auto" w:w="0"/>
        <w:jc w:val="center"/>
        <w:tblLayout w:type="autofit"/>
        <w:tblLook w:firstColumn="1" w:firstRow="1" w:lastColumn="0" w:lastRow="0" w:noHBand="0" w:noVBand="1" w:val="04A0"/>
      </w:tblPr>
      <w:tblGrid>
        <w:gridCol w:w="4646"/>
        <w:gridCol w:w="4646"/>
      </w:tblGrid>
      <w:tr>
        <w:tc>
          <w:tcPr>
            <w:tcW w:type="dxa" w:w="2835"/>
            <w:vAlign w:val="center"/>
            <w:shd w:val="clear" w:color="auto" w:fill="DCE3F0"/>
          </w:tcPr>
          <w:p>
            <w:pPr>
              <w:spacing w:after="40" w:before="40" w:line="240" w:lineRule="auto"/>
              <w:jc w:val="center"/>
            </w:pPr>
            <w:r>
              <w:rPr>
                <w:rFonts w:ascii="Calibri" w:hAnsi="Calibri"/>
                <w:b/>
                <w:color w:val="0C2340"/>
                <w:sz w:val="19"/>
              </w:rPr>
              <w:t>Dato general</w:t>
            </w:r>
          </w:p>
        </w:tc>
        <w:tc>
          <w:tcPr>
            <w:tcW w:type="dxa" w:w="6520"/>
            <w:vAlign w:val="center"/>
            <w:shd w:val="clear" w:color="auto" w:fill="DCE3F0"/>
          </w:tcPr>
          <w:p>
            <w:pPr>
              <w:spacing w:after="40" w:before="40" w:line="240" w:lineRule="auto"/>
              <w:jc w:val="center"/>
            </w:pPr>
            <w:r>
              <w:rPr>
                <w:rFonts w:ascii="Calibri" w:hAnsi="Calibri"/>
                <w:b/>
                <w:color w:val="0C2340"/>
                <w:sz w:val="19"/>
              </w:rPr>
              <w:t>Detalle</w:t>
            </w:r>
          </w:p>
        </w:tc>
      </w:tr>
      <w:tr>
        <w:tc>
          <w:tcPr>
            <w:tcW w:type="dxa" w:w="2835"/>
            <w:vAlign w:val="center"/>
          </w:tcPr>
          <w:p>
            <w:pPr>
              <w:spacing w:after="40" w:before="40" w:line="240" w:lineRule="auto"/>
              <w:jc w:val="left"/>
            </w:pPr>
            <w:r>
              <w:rPr>
                <w:rFonts w:ascii="Calibri" w:hAnsi="Calibri"/>
                <w:b w:val="0"/>
                <w:sz w:val="19"/>
              </w:rPr>
              <w:t>Institución / Patrocinador</w:t>
            </w:r>
          </w:p>
        </w:tc>
        <w:tc>
          <w:tcPr>
            <w:tcW w:type="dxa" w:w="6520"/>
            <w:vAlign w:val="center"/>
          </w:tcPr>
          <w:p>
            <w:pPr>
              <w:spacing w:after="40" w:before="40" w:line="240" w:lineRule="auto"/>
              <w:jc w:val="left"/>
            </w:pPr>
            <w:r>
              <w:rPr>
                <w:rFonts w:ascii="Calibri" w:hAnsi="Calibri"/>
                <w:b w:val="0"/>
                <w:sz w:val="19"/>
              </w:rPr>
              <w:t>CENIA (Chile) — Carlos Aspillaga, Director del Programa Voces</w:t>
            </w:r>
          </w:p>
        </w:tc>
      </w:tr>
      <w:tr>
        <w:tc>
          <w:tcPr>
            <w:tcW w:type="dxa" w:w="2835"/>
            <w:vAlign w:val="center"/>
          </w:tcPr>
          <w:p>
            <w:pPr>
              <w:spacing w:after="40" w:before="40" w:line="240" w:lineRule="auto"/>
              <w:jc w:val="left"/>
            </w:pPr>
            <w:r>
              <w:rPr>
                <w:rFonts w:ascii="Calibri" w:hAnsi="Calibri"/>
                <w:b w:val="0"/>
                <w:sz w:val="19"/>
              </w:rPr>
              <w:t>Par lingüístico</w:t>
            </w:r>
          </w:p>
        </w:tc>
        <w:tc>
          <w:tcPr>
            <w:tcW w:type="dxa" w:w="6520"/>
            <w:vAlign w:val="center"/>
          </w:tcPr>
          <w:p>
            <w:pPr>
              <w:spacing w:after="40" w:before="40" w:line="240" w:lineRule="auto"/>
              <w:jc w:val="left"/>
            </w:pPr>
            <w:r>
              <w:rPr>
                <w:rFonts w:ascii="Calibri" w:hAnsi="Calibri"/>
                <w:b w:val="0"/>
                <w:sz w:val="19"/>
              </w:rPr>
              <w:t>bribri ↔ español  (bri / es)</w:t>
            </w:r>
          </w:p>
        </w:tc>
      </w:tr>
      <w:tr>
        <w:tc>
          <w:tcPr>
            <w:tcW w:type="dxa" w:w="2835"/>
            <w:vAlign w:val="center"/>
          </w:tcPr>
          <w:p>
            <w:pPr>
              <w:spacing w:after="40" w:before="40" w:line="240" w:lineRule="auto"/>
              <w:jc w:val="left"/>
            </w:pPr>
            <w:r>
              <w:rPr>
                <w:rFonts w:ascii="Calibri" w:hAnsi="Calibri"/>
                <w:b w:val="0"/>
                <w:sz w:val="19"/>
              </w:rPr>
              <w:t>Dominio</w:t>
            </w:r>
          </w:p>
        </w:tc>
        <w:tc>
          <w:tcPr>
            <w:tcW w:type="dxa" w:w="6520"/>
            <w:vAlign w:val="center"/>
          </w:tcPr>
          <w:p>
            <w:pPr>
              <w:spacing w:after="40" w:before="40" w:line="240" w:lineRule="auto"/>
              <w:jc w:val="left"/>
            </w:pPr>
            <w:r>
              <w:rPr>
                <w:rFonts w:ascii="Calibri" w:hAnsi="Calibri"/>
                <w:b w:val="0"/>
                <w:sz w:val="19"/>
              </w:rPr>
              <w:t>Procesamiento de Lenguaje Natural — NMT supervisada (Transformer seq2seq)</w:t>
            </w:r>
          </w:p>
        </w:tc>
      </w:tr>
      <w:tr>
        <w:tc>
          <w:tcPr>
            <w:tcW w:type="dxa" w:w="2835"/>
            <w:vAlign w:val="center"/>
          </w:tcPr>
          <w:p>
            <w:pPr>
              <w:spacing w:after="40" w:before="40" w:line="240" w:lineRule="auto"/>
              <w:jc w:val="left"/>
            </w:pPr>
            <w:r>
              <w:rPr>
                <w:rFonts w:ascii="Calibri" w:hAnsi="Calibri"/>
                <w:b w:val="0"/>
                <w:sz w:val="19"/>
              </w:rPr>
              <w:t>Lugar de aplicación</w:t>
            </w:r>
          </w:p>
        </w:tc>
        <w:tc>
          <w:tcPr>
            <w:tcW w:type="dxa" w:w="6520"/>
            <w:vAlign w:val="center"/>
          </w:tcPr>
          <w:p>
            <w:pPr>
              <w:spacing w:after="40" w:before="40" w:line="240" w:lineRule="auto"/>
              <w:jc w:val="left"/>
            </w:pPr>
            <w:r>
              <w:rPr>
                <w:rFonts w:ascii="Calibri" w:hAnsi="Calibri"/>
                <w:b w:val="0"/>
                <w:sz w:val="19"/>
              </w:rPr>
              <w:t>Suretka, Talamanca, Limón, Costa Rica</w:t>
            </w:r>
          </w:p>
        </w:tc>
      </w:tr>
      <w:tr>
        <w:tc>
          <w:tcPr>
            <w:tcW w:type="dxa" w:w="2835"/>
            <w:vAlign w:val="center"/>
          </w:tcPr>
          <w:p>
            <w:pPr>
              <w:spacing w:after="40" w:before="40" w:line="240" w:lineRule="auto"/>
              <w:jc w:val="left"/>
            </w:pPr>
            <w:r>
              <w:rPr>
                <w:rFonts w:ascii="Calibri" w:hAnsi="Calibri"/>
                <w:b w:val="0"/>
                <w:sz w:val="19"/>
              </w:rPr>
              <w:t>Equipo CR</w:t>
            </w:r>
          </w:p>
        </w:tc>
        <w:tc>
          <w:tcPr>
            <w:tcW w:type="dxa" w:w="6520"/>
            <w:vAlign w:val="center"/>
          </w:tcPr>
          <w:p>
            <w:pPr>
              <w:spacing w:after="40" w:before="40" w:line="240" w:lineRule="auto"/>
              <w:jc w:val="left"/>
            </w:pPr>
            <w:r>
              <w:rPr>
                <w:rFonts w:ascii="Calibri" w:hAnsi="Calibri"/>
                <w:b w:val="0"/>
                <w:sz w:val="19"/>
              </w:rPr>
              <w:t>Daniel Leiva (A01795876); Israel Agustín Vargas Monroy (A01796556)</w:t>
            </w:r>
          </w:p>
        </w:tc>
      </w:tr>
      <w:tr>
        <w:tc>
          <w:tcPr>
            <w:tcW w:type="dxa" w:w="2835"/>
            <w:vAlign w:val="center"/>
          </w:tcPr>
          <w:p>
            <w:pPr>
              <w:spacing w:after="40" w:before="40" w:line="240" w:lineRule="auto"/>
              <w:jc w:val="left"/>
            </w:pPr>
            <w:r>
              <w:rPr>
                <w:rFonts w:ascii="Calibri" w:hAnsi="Calibri"/>
                <w:b w:val="0"/>
                <w:sz w:val="19"/>
              </w:rPr>
              <w:t>Clasificación SCIAN</w:t>
            </w:r>
          </w:p>
        </w:tc>
        <w:tc>
          <w:tcPr>
            <w:tcW w:type="dxa" w:w="6520"/>
            <w:vAlign w:val="center"/>
          </w:tcPr>
          <w:p>
            <w:pPr>
              <w:spacing w:after="40" w:before="40" w:line="240" w:lineRule="auto"/>
              <w:jc w:val="left"/>
            </w:pPr>
            <w:r>
              <w:rPr>
                <w:rFonts w:ascii="Calibri" w:hAnsi="Calibri"/>
                <w:b w:val="0"/>
                <w:sz w:val="19"/>
              </w:rPr>
              <w:t>541720 — Investigación y desarrollo en ciencias naturales y exactas</w:t>
            </w:r>
          </w:p>
        </w:tc>
      </w:tr>
      <w:tr>
        <w:tc>
          <w:tcPr>
            <w:tcW w:type="dxa" w:w="2835"/>
            <w:vAlign w:val="center"/>
          </w:tcPr>
          <w:p>
            <w:pPr>
              <w:spacing w:after="40" w:before="40" w:line="240" w:lineRule="auto"/>
              <w:jc w:val="left"/>
            </w:pPr>
            <w:r>
              <w:rPr>
                <w:rFonts w:ascii="Calibri" w:hAnsi="Calibri"/>
                <w:b w:val="0"/>
                <w:sz w:val="19"/>
              </w:rPr>
              <w:t>Mejor modelo</w:t>
            </w:r>
          </w:p>
        </w:tc>
        <w:tc>
          <w:tcPr>
            <w:tcW w:type="dxa" w:w="6520"/>
            <w:vAlign w:val="center"/>
          </w:tcPr>
          <w:p>
            <w:pPr>
              <w:spacing w:after="40" w:before="40" w:line="240" w:lineRule="auto"/>
              <w:jc w:val="left"/>
            </w:pPr>
            <w:r>
              <w:rPr>
                <w:rFonts w:ascii="Calibri" w:hAnsi="Calibri"/>
                <w:b w:val="0"/>
                <w:sz w:val="19"/>
              </w:rPr>
              <w:t>NLLB-200-distilled-600M · 8 épocas · lr 2e-4  (chrF 31.43 / spBLEU 21.16)</w:t>
            </w:r>
          </w:p>
        </w:tc>
      </w:tr>
    </w:tbl>
    <w:p>
      <w:pPr>
        <w:spacing w:after="40"/>
      </w:pPr>
    </w:p>
    <w:p>
      <w:r>
        <w:br w:type="page"/>
      </w:r>
    </w:p>
    <w:p>
      <w:pPr>
        <w:pStyle w:val="Heading1"/>
      </w:pPr>
      <w:r>
        <w:t>2. Contexto institucional: el Programa Voces</w:t>
      </w:r>
    </w:p>
    <w:p>
      <w:r>
        <w:t>El Centro Nacional de Inteligencia Artificial (CENIA) es el principal centro de investigación y desarrollo en IA de Chile, fundado en 2021 en el marco del programa de centros de excelencia del gobierno chileno. CENIA lidera el Programa Voces en colaboración con la Pontificia Universidad Católica de Chile y el Tecnológico de Monterrey, actuando como entidad coordinadora de los recursos computacionales, la infraestructura de entrenamiento y la dirección científica.</w:t>
      </w:r>
    </w:p>
    <w:p>
      <w:r>
        <w:t>El trabajo de campo se concentra en el Territorio Indígena Bribri de Talamanca. Suretka es una de las comunidades de mayor densidad poblacional bribri y el principal nodo de coordinación con la Asociación de Desarrollo Integral del Territorio Indígena Bribri de Talamanca (ADITIBRI), entidad con la que el proyecto mantiene vínculos de colaboración para la validación cultural y lingüística. Desde Costa Rica, Daniel Leiva actúa como encargado regional, coordinando la recopilación de datos, las alianzas con entidades académicas locales —entre ellas la Universidad de Costa Rica— y la articulación con las comunidades bajo principios de soberanía lingüística y beneficio comunitario.</w:t>
      </w:r>
    </w:p>
    <w:p>
      <w:pPr>
        <w:pStyle w:val="Heading1"/>
      </w:pPr>
      <w:r>
        <w:t>3. Marco metodológico: CRISP-ML(Q)</w:t>
      </w:r>
    </w:p>
    <w:p>
      <w:r>
        <w:t>El proyecto se estructura según CRISP-ML(Q) (Studer et al., 2021), una extensión de CRISP-DM con aseguramiento de calidad para sistemas de aprendizaje automático. El presente documento integra todas sus fases y culmina en la de Evaluación y Despliegue. La correspondencia con las entregas del proyecto es la siguiente:</w:t>
      </w:r>
    </w:p>
    <w:tbl>
      <w:tblPr>
        <w:tblStyle w:val="TableGrid"/>
        <w:tblW w:type="auto" w:w="0"/>
        <w:jc w:val="center"/>
        <w:tblLayout w:type="autofit"/>
        <w:tblLook w:firstColumn="1" w:firstRow="1" w:lastColumn="0" w:lastRow="0" w:noHBand="0" w:noVBand="1" w:val="04A0"/>
      </w:tblPr>
      <w:tblGrid>
        <w:gridCol w:w="3097"/>
        <w:gridCol w:w="3097"/>
        <w:gridCol w:w="3097"/>
      </w:tblGrid>
      <w:tr>
        <w:tc>
          <w:tcPr>
            <w:tcW w:type="dxa" w:w="2948"/>
            <w:vAlign w:val="center"/>
            <w:shd w:val="clear" w:color="auto" w:fill="DCE3F0"/>
          </w:tcPr>
          <w:p>
            <w:pPr>
              <w:spacing w:after="40" w:before="40" w:line="240" w:lineRule="auto"/>
              <w:jc w:val="center"/>
            </w:pPr>
            <w:r>
              <w:rPr>
                <w:rFonts w:ascii="Calibri" w:hAnsi="Calibri"/>
                <w:b/>
                <w:color w:val="0C2340"/>
                <w:sz w:val="19"/>
              </w:rPr>
              <w:t>Fase CRISP-ML(Q)</w:t>
            </w:r>
          </w:p>
        </w:tc>
        <w:tc>
          <w:tcPr>
            <w:tcW w:type="dxa" w:w="1701"/>
            <w:vAlign w:val="center"/>
            <w:shd w:val="clear" w:color="auto" w:fill="DCE3F0"/>
          </w:tcPr>
          <w:p>
            <w:pPr>
              <w:spacing w:after="40" w:before="40" w:line="240" w:lineRule="auto"/>
              <w:jc w:val="center"/>
            </w:pPr>
            <w:r>
              <w:rPr>
                <w:rFonts w:ascii="Calibri" w:hAnsi="Calibri"/>
                <w:b/>
                <w:color w:val="0C2340"/>
                <w:sz w:val="19"/>
              </w:rPr>
              <w:t>Entrega / Avance</w:t>
            </w:r>
          </w:p>
        </w:tc>
        <w:tc>
          <w:tcPr>
            <w:tcW w:type="dxa" w:w="4706"/>
            <w:vAlign w:val="center"/>
            <w:shd w:val="clear" w:color="auto" w:fill="DCE3F0"/>
          </w:tcPr>
          <w:p>
            <w:pPr>
              <w:spacing w:after="40" w:before="40" w:line="240" w:lineRule="auto"/>
              <w:jc w:val="center"/>
            </w:pPr>
            <w:r>
              <w:rPr>
                <w:rFonts w:ascii="Calibri" w:hAnsi="Calibri"/>
                <w:b/>
                <w:color w:val="0C2340"/>
                <w:sz w:val="19"/>
              </w:rPr>
              <w:t>Contenido principal</w:t>
            </w:r>
          </w:p>
        </w:tc>
      </w:tr>
      <w:tr>
        <w:tc>
          <w:tcPr>
            <w:tcW w:type="dxa" w:w="2948"/>
            <w:vAlign w:val="center"/>
          </w:tcPr>
          <w:p>
            <w:pPr>
              <w:spacing w:after="40" w:before="40" w:line="240" w:lineRule="auto"/>
              <w:jc w:val="left"/>
            </w:pPr>
            <w:r>
              <w:rPr>
                <w:rFonts w:ascii="Calibri" w:hAnsi="Calibri"/>
                <w:b w:val="0"/>
                <w:sz w:val="19"/>
              </w:rPr>
              <w:t>Comprensión del negocio y de los datos</w:t>
            </w:r>
          </w:p>
        </w:tc>
        <w:tc>
          <w:tcPr>
            <w:tcW w:type="dxa" w:w="1701"/>
            <w:vAlign w:val="center"/>
          </w:tcPr>
          <w:p>
            <w:pPr>
              <w:spacing w:after="40" w:before="40" w:line="240" w:lineRule="auto"/>
              <w:jc w:val="left"/>
            </w:pPr>
            <w:r>
              <w:rPr>
                <w:rFonts w:ascii="Calibri" w:hAnsi="Calibri"/>
                <w:b w:val="0"/>
                <w:sz w:val="19"/>
              </w:rPr>
              <w:t>Entrega 1</w:t>
            </w:r>
          </w:p>
        </w:tc>
        <w:tc>
          <w:tcPr>
            <w:tcW w:type="dxa" w:w="4706"/>
            <w:vAlign w:val="center"/>
          </w:tcPr>
          <w:p>
            <w:pPr>
              <w:spacing w:after="40" w:before="40" w:line="240" w:lineRule="auto"/>
              <w:jc w:val="left"/>
            </w:pPr>
            <w:r>
              <w:rPr>
                <w:rFonts w:ascii="Calibri" w:hAnsi="Calibri"/>
                <w:b w:val="0"/>
                <w:sz w:val="19"/>
              </w:rPr>
              <w:t>Objetivo de negocio, sponsor, lugar y dominio de aplicación</w:t>
            </w:r>
          </w:p>
        </w:tc>
      </w:tr>
      <w:tr>
        <w:tc>
          <w:tcPr>
            <w:tcW w:type="dxa" w:w="2948"/>
            <w:vAlign w:val="center"/>
          </w:tcPr>
          <w:p>
            <w:pPr>
              <w:spacing w:after="40" w:before="40" w:line="240" w:lineRule="auto"/>
              <w:jc w:val="left"/>
            </w:pPr>
            <w:r>
              <w:rPr>
                <w:rFonts w:ascii="Calibri" w:hAnsi="Calibri"/>
                <w:b w:val="0"/>
                <w:sz w:val="19"/>
              </w:rPr>
              <w:t>Preparación de datos</w:t>
            </w:r>
          </w:p>
        </w:tc>
        <w:tc>
          <w:tcPr>
            <w:tcW w:type="dxa" w:w="1701"/>
            <w:vAlign w:val="center"/>
          </w:tcPr>
          <w:p>
            <w:pPr>
              <w:spacing w:after="40" w:before="40" w:line="240" w:lineRule="auto"/>
              <w:jc w:val="left"/>
            </w:pPr>
            <w:r>
              <w:rPr>
                <w:rFonts w:ascii="Calibri" w:hAnsi="Calibri"/>
                <w:b w:val="0"/>
                <w:sz w:val="19"/>
              </w:rPr>
              <w:t>Entrega 2</w:t>
            </w:r>
          </w:p>
        </w:tc>
        <w:tc>
          <w:tcPr>
            <w:tcW w:type="dxa" w:w="4706"/>
            <w:vAlign w:val="center"/>
          </w:tcPr>
          <w:p>
            <w:pPr>
              <w:spacing w:after="40" w:before="40" w:line="240" w:lineRule="auto"/>
              <w:jc w:val="left"/>
            </w:pPr>
            <w:r>
              <w:rPr>
                <w:rFonts w:ascii="Calibri" w:hAnsi="Calibri"/>
                <w:b w:val="0"/>
                <w:sz w:val="19"/>
              </w:rPr>
              <w:t>Construcción del corpus, normalización, filtros y partición</w:t>
            </w:r>
          </w:p>
        </w:tc>
      </w:tr>
      <w:tr>
        <w:tc>
          <w:tcPr>
            <w:tcW w:type="dxa" w:w="2948"/>
            <w:vAlign w:val="center"/>
          </w:tcPr>
          <w:p>
            <w:pPr>
              <w:spacing w:after="40" w:before="40" w:line="240" w:lineRule="auto"/>
              <w:jc w:val="left"/>
            </w:pPr>
            <w:r>
              <w:rPr>
                <w:rFonts w:ascii="Calibri" w:hAnsi="Calibri"/>
                <w:b w:val="0"/>
                <w:sz w:val="19"/>
              </w:rPr>
              <w:t>Modelado</w:t>
            </w:r>
          </w:p>
        </w:tc>
        <w:tc>
          <w:tcPr>
            <w:tcW w:type="dxa" w:w="1701"/>
            <w:vAlign w:val="center"/>
          </w:tcPr>
          <w:p>
            <w:pPr>
              <w:spacing w:after="40" w:before="40" w:line="240" w:lineRule="auto"/>
              <w:jc w:val="left"/>
            </w:pPr>
            <w:r>
              <w:rPr>
                <w:rFonts w:ascii="Calibri" w:hAnsi="Calibri"/>
                <w:b w:val="0"/>
                <w:sz w:val="19"/>
              </w:rPr>
              <w:t>Avances 3–4</w:t>
            </w:r>
          </w:p>
        </w:tc>
        <w:tc>
          <w:tcPr>
            <w:tcW w:type="dxa" w:w="4706"/>
            <w:vAlign w:val="center"/>
          </w:tcPr>
          <w:p>
            <w:pPr>
              <w:spacing w:after="40" w:before="40" w:line="240" w:lineRule="auto"/>
              <w:jc w:val="left"/>
            </w:pPr>
            <w:r>
              <w:rPr>
                <w:rFonts w:ascii="Calibri" w:hAnsi="Calibri"/>
                <w:b w:val="0"/>
                <w:sz w:val="19"/>
              </w:rPr>
              <w:t>Fine-tuning NLLB-200 (Colab T4 y H100) y baseline M2M-100</w:t>
            </w:r>
          </w:p>
        </w:tc>
      </w:tr>
      <w:tr>
        <w:tc>
          <w:tcPr>
            <w:tcW w:type="dxa" w:w="2948"/>
            <w:vAlign w:val="center"/>
          </w:tcPr>
          <w:p>
            <w:pPr>
              <w:spacing w:after="40" w:before="40" w:line="240" w:lineRule="auto"/>
              <w:jc w:val="left"/>
            </w:pPr>
            <w:r>
              <w:rPr>
                <w:rFonts w:ascii="Calibri" w:hAnsi="Calibri"/>
                <w:b w:val="0"/>
                <w:sz w:val="19"/>
              </w:rPr>
              <w:t>Modelado — ensambles</w:t>
            </w:r>
          </w:p>
        </w:tc>
        <w:tc>
          <w:tcPr>
            <w:tcW w:type="dxa" w:w="1701"/>
            <w:vAlign w:val="center"/>
          </w:tcPr>
          <w:p>
            <w:pPr>
              <w:spacing w:after="40" w:before="40" w:line="240" w:lineRule="auto"/>
              <w:jc w:val="left"/>
            </w:pPr>
            <w:r>
              <w:rPr>
                <w:rFonts w:ascii="Calibri" w:hAnsi="Calibri"/>
                <w:b w:val="0"/>
                <w:sz w:val="19"/>
              </w:rPr>
              <w:t>Avance 5</w:t>
            </w:r>
          </w:p>
        </w:tc>
        <w:tc>
          <w:tcPr>
            <w:tcW w:type="dxa" w:w="4706"/>
            <w:vAlign w:val="center"/>
          </w:tcPr>
          <w:p>
            <w:pPr>
              <w:spacing w:after="40" w:before="40" w:line="240" w:lineRule="auto"/>
              <w:jc w:val="left"/>
            </w:pPr>
            <w:r>
              <w:rPr>
                <w:rFonts w:ascii="Calibri" w:hAnsi="Calibri"/>
                <w:b w:val="0"/>
                <w:sz w:val="19"/>
              </w:rPr>
              <w:t>Checkpoint averaging y system combination (MBR)</w:t>
            </w:r>
          </w:p>
        </w:tc>
      </w:tr>
      <w:tr>
        <w:tc>
          <w:tcPr>
            <w:tcW w:type="dxa" w:w="2948"/>
            <w:vAlign w:val="center"/>
          </w:tcPr>
          <w:p>
            <w:pPr>
              <w:spacing w:after="40" w:before="40" w:line="240" w:lineRule="auto"/>
              <w:jc w:val="left"/>
            </w:pPr>
            <w:r>
              <w:rPr>
                <w:rFonts w:ascii="Calibri" w:hAnsi="Calibri"/>
                <w:b w:val="0"/>
                <w:sz w:val="19"/>
              </w:rPr>
              <w:t>Evaluación y despliegue</w:t>
            </w:r>
          </w:p>
        </w:tc>
        <w:tc>
          <w:tcPr>
            <w:tcW w:type="dxa" w:w="1701"/>
            <w:vAlign w:val="center"/>
          </w:tcPr>
          <w:p>
            <w:pPr>
              <w:spacing w:after="40" w:before="40" w:line="240" w:lineRule="auto"/>
              <w:jc w:val="left"/>
            </w:pPr>
            <w:r>
              <w:rPr>
                <w:rFonts w:ascii="Calibri" w:hAnsi="Calibri"/>
                <w:b w:val="0"/>
                <w:sz w:val="19"/>
              </w:rPr>
              <w:t>Avance 6</w:t>
            </w:r>
          </w:p>
        </w:tc>
        <w:tc>
          <w:tcPr>
            <w:tcW w:type="dxa" w:w="4706"/>
            <w:vAlign w:val="center"/>
          </w:tcPr>
          <w:p>
            <w:pPr>
              <w:spacing w:after="40" w:before="40" w:line="240" w:lineRule="auto"/>
              <w:jc w:val="left"/>
            </w:pPr>
            <w:r>
              <w:rPr>
                <w:rFonts w:ascii="Calibri" w:hAnsi="Calibri"/>
                <w:b w:val="0"/>
                <w:sz w:val="19"/>
              </w:rPr>
              <w:t>Criterios de éxito, decisión, accionables y arquitectura cloud</w:t>
            </w:r>
          </w:p>
        </w:tc>
      </w:tr>
    </w:tbl>
    <w:p>
      <w:pPr>
        <w:spacing w:after="40"/>
      </w:pPr>
    </w:p>
    <w:p>
      <w:r>
        <w:br w:type="page"/>
      </w:r>
    </w:p>
    <w:p>
      <w:pPr>
        <w:pStyle w:val="Heading1"/>
      </w:pPr>
      <w:r>
        <w:t>4. Comprensión del negocio y de los datos</w:t>
      </w:r>
    </w:p>
    <w:p>
      <w:pPr>
        <w:pStyle w:val="Heading2"/>
      </w:pPr>
      <w:r>
        <w:t>4.1 Título y ejes del proyecto</w:t>
      </w:r>
    </w:p>
    <w:p>
      <w:r>
        <w:t>El título —«Traducción Automática Neuronal para la Preservación de la Lengua Bribri en Riesgo de Extinción»— refleja los tres ejes del proyecto: la metodología técnica (NMT basada en Transformers), el par lingüístico (bribri–español) y el propósito institucional y social (preservación de una lengua indígena costarricense en riesgo). La inclusión del término low-resource languages responde a la categorización internacional del bribri en la literatura de PLN.</w:t>
      </w:r>
    </w:p>
    <w:p>
      <w:pPr>
        <w:pStyle w:val="Heading2"/>
      </w:pPr>
      <w:r>
        <w:t>4.2 Lugar de aplicación</w:t>
      </w:r>
    </w:p>
    <w:tbl>
      <w:tblPr>
        <w:tblStyle w:val="TableGrid"/>
        <w:tblW w:type="auto" w:w="0"/>
        <w:jc w:val="center"/>
        <w:tblLayout w:type="autofit"/>
        <w:tblLook w:firstColumn="1" w:firstRow="1" w:lastColumn="0" w:lastRow="0" w:noHBand="0" w:noVBand="1" w:val="04A0"/>
      </w:tblPr>
      <w:tblGrid>
        <w:gridCol w:w="4646"/>
        <w:gridCol w:w="4646"/>
      </w:tblGrid>
      <w:tr>
        <w:tc>
          <w:tcPr>
            <w:tcW w:type="dxa" w:w="2551"/>
            <w:vAlign w:val="center"/>
            <w:shd w:val="clear" w:color="auto" w:fill="DCE3F0"/>
          </w:tcPr>
          <w:p>
            <w:pPr>
              <w:spacing w:after="40" w:before="40" w:line="240" w:lineRule="auto"/>
              <w:jc w:val="center"/>
            </w:pPr>
            <w:r>
              <w:rPr>
                <w:rFonts w:ascii="Calibri" w:hAnsi="Calibri"/>
                <w:b/>
                <w:color w:val="0C2340"/>
                <w:sz w:val="19"/>
              </w:rPr>
              <w:t>Nivel</w:t>
            </w:r>
          </w:p>
        </w:tc>
        <w:tc>
          <w:tcPr>
            <w:tcW w:type="dxa" w:w="6803"/>
            <w:vAlign w:val="center"/>
            <w:shd w:val="clear" w:color="auto" w:fill="DCE3F0"/>
          </w:tcPr>
          <w:p>
            <w:pPr>
              <w:spacing w:after="40" w:before="40" w:line="240" w:lineRule="auto"/>
              <w:jc w:val="center"/>
            </w:pPr>
            <w:r>
              <w:rPr>
                <w:rFonts w:ascii="Calibri" w:hAnsi="Calibri"/>
                <w:b/>
                <w:color w:val="0C2340"/>
                <w:sz w:val="19"/>
              </w:rPr>
              <w:t>Detalle</w:t>
            </w:r>
          </w:p>
        </w:tc>
      </w:tr>
      <w:tr>
        <w:tc>
          <w:tcPr>
            <w:tcW w:type="dxa" w:w="2551"/>
            <w:vAlign w:val="center"/>
          </w:tcPr>
          <w:p>
            <w:pPr>
              <w:spacing w:after="40" w:before="40" w:line="240" w:lineRule="auto"/>
              <w:jc w:val="left"/>
            </w:pPr>
            <w:r>
              <w:rPr>
                <w:rFonts w:ascii="Calibri" w:hAnsi="Calibri"/>
                <w:b w:val="0"/>
                <w:sz w:val="19"/>
              </w:rPr>
              <w:t>País</w:t>
            </w:r>
          </w:p>
        </w:tc>
        <w:tc>
          <w:tcPr>
            <w:tcW w:type="dxa" w:w="6803"/>
            <w:vAlign w:val="center"/>
          </w:tcPr>
          <w:p>
            <w:pPr>
              <w:spacing w:after="40" w:before="40" w:line="240" w:lineRule="auto"/>
              <w:jc w:val="left"/>
            </w:pPr>
            <w:r>
              <w:rPr>
                <w:rFonts w:ascii="Calibri" w:hAnsi="Calibri"/>
                <w:b w:val="0"/>
                <w:sz w:val="19"/>
              </w:rPr>
              <w:t>Costa Rica</w:t>
            </w:r>
          </w:p>
        </w:tc>
      </w:tr>
      <w:tr>
        <w:tc>
          <w:tcPr>
            <w:tcW w:type="dxa" w:w="2551"/>
            <w:vAlign w:val="center"/>
          </w:tcPr>
          <w:p>
            <w:pPr>
              <w:spacing w:after="40" w:before="40" w:line="240" w:lineRule="auto"/>
              <w:jc w:val="left"/>
            </w:pPr>
            <w:r>
              <w:rPr>
                <w:rFonts w:ascii="Calibri" w:hAnsi="Calibri"/>
                <w:b w:val="0"/>
                <w:sz w:val="19"/>
              </w:rPr>
              <w:t>Provincia / Cantón</w:t>
            </w:r>
          </w:p>
        </w:tc>
        <w:tc>
          <w:tcPr>
            <w:tcW w:type="dxa" w:w="6803"/>
            <w:vAlign w:val="center"/>
          </w:tcPr>
          <w:p>
            <w:pPr>
              <w:spacing w:after="40" w:before="40" w:line="240" w:lineRule="auto"/>
              <w:jc w:val="left"/>
            </w:pPr>
            <w:r>
              <w:rPr>
                <w:rFonts w:ascii="Calibri" w:hAnsi="Calibri"/>
                <w:b w:val="0"/>
                <w:sz w:val="19"/>
              </w:rPr>
              <w:t>Limón / Talamanca</w:t>
            </w:r>
          </w:p>
        </w:tc>
      </w:tr>
      <w:tr>
        <w:tc>
          <w:tcPr>
            <w:tcW w:type="dxa" w:w="2551"/>
            <w:vAlign w:val="center"/>
          </w:tcPr>
          <w:p>
            <w:pPr>
              <w:spacing w:after="40" w:before="40" w:line="240" w:lineRule="auto"/>
              <w:jc w:val="left"/>
            </w:pPr>
            <w:r>
              <w:rPr>
                <w:rFonts w:ascii="Calibri" w:hAnsi="Calibri"/>
                <w:b w:val="0"/>
                <w:sz w:val="19"/>
              </w:rPr>
              <w:t>Comunidad</w:t>
            </w:r>
          </w:p>
        </w:tc>
        <w:tc>
          <w:tcPr>
            <w:tcW w:type="dxa" w:w="6803"/>
            <w:vAlign w:val="center"/>
          </w:tcPr>
          <w:p>
            <w:pPr>
              <w:spacing w:after="40" w:before="40" w:line="240" w:lineRule="auto"/>
              <w:jc w:val="left"/>
            </w:pPr>
            <w:r>
              <w:rPr>
                <w:rFonts w:ascii="Calibri" w:hAnsi="Calibri"/>
                <w:b w:val="0"/>
                <w:sz w:val="19"/>
              </w:rPr>
              <w:t>Suretka, Territorio Indígena Bribri de Talamanca</w:t>
            </w:r>
          </w:p>
        </w:tc>
      </w:tr>
      <w:tr>
        <w:tc>
          <w:tcPr>
            <w:tcW w:type="dxa" w:w="2551"/>
            <w:vAlign w:val="center"/>
          </w:tcPr>
          <w:p>
            <w:pPr>
              <w:spacing w:after="40" w:before="40" w:line="240" w:lineRule="auto"/>
              <w:jc w:val="left"/>
            </w:pPr>
            <w:r>
              <w:rPr>
                <w:rFonts w:ascii="Calibri" w:hAnsi="Calibri"/>
                <w:b w:val="0"/>
                <w:sz w:val="19"/>
              </w:rPr>
              <w:t>Sede institucional</w:t>
            </w:r>
          </w:p>
        </w:tc>
        <w:tc>
          <w:tcPr>
            <w:tcW w:type="dxa" w:w="6803"/>
            <w:vAlign w:val="center"/>
          </w:tcPr>
          <w:p>
            <w:pPr>
              <w:spacing w:after="40" w:before="40" w:line="240" w:lineRule="auto"/>
              <w:jc w:val="left"/>
            </w:pPr>
            <w:r>
              <w:rPr>
                <w:rFonts w:ascii="Calibri" w:hAnsi="Calibri"/>
                <w:b w:val="0"/>
                <w:sz w:val="19"/>
              </w:rPr>
              <w:t>CENIA, Santiago, Chile (coordinación central)</w:t>
            </w:r>
          </w:p>
        </w:tc>
      </w:tr>
    </w:tbl>
    <w:p>
      <w:pPr>
        <w:spacing w:after="40"/>
      </w:pPr>
    </w:p>
    <w:p>
      <w:pPr>
        <w:pStyle w:val="Heading2"/>
      </w:pPr>
      <w:r>
        <w:t>4.3 Dominio de aplicación</w:t>
      </w:r>
    </w:p>
    <w:p>
      <w:r>
        <w:t>El dominio es el Procesamiento de Lenguaje Natural; la técnica principal es el aprendizaje supervisado mediante Traducción Automática Neuronal sobre una arquitectura Transformer (seq2seq con mecanismo de atención). La complejidad reside en la naturaleza de bajos recursos del bribri: para mitigar la escasez de datos, el proyecto explora transferencia de aprendizaje, ajuste fino de modelos preentrenados en lenguas tipológicamente relacionadas y aumento de datos.</w:t>
      </w:r>
    </w:p>
    <w:p>
      <w:pPr>
        <w:pStyle w:val="Heading1"/>
      </w:pPr>
      <w:r>
        <w:t>5. Preparación de datos y construcción del corpus</w:t>
      </w:r>
    </w:p>
    <w:p>
      <w:r>
        <w:t>Esta fase integra la construcción del corpus, la ingeniería de características y la partición de datos. La rúbrica de ingeniería de características (FE) está formulada para datos tabulares (binning, codificación, escalamiento, PCA); en NMT sobre texto paralelo esas operaciones no tienen análogo directo y se materializan en operaciones equivalentes sobre el texto, que cumplen la misma función: convertir datos crudos en entradas útiles y de baja varianza para el modelo.</w:t>
      </w:r>
    </w:p>
    <w:tbl>
      <w:tblPr>
        <w:tblStyle w:val="TableGrid"/>
        <w:tblW w:type="auto" w:w="0"/>
        <w:jc w:val="center"/>
        <w:tblLayout w:type="autofit"/>
        <w:tblLook w:firstColumn="1" w:firstRow="1" w:lastColumn="0" w:lastRow="0" w:noHBand="0" w:noVBand="1" w:val="04A0"/>
      </w:tblPr>
      <w:tblGrid>
        <w:gridCol w:w="3097"/>
        <w:gridCol w:w="3097"/>
        <w:gridCol w:w="3097"/>
      </w:tblGrid>
      <w:tr>
        <w:tc>
          <w:tcPr>
            <w:tcW w:type="dxa" w:w="2154"/>
            <w:vAlign w:val="center"/>
            <w:shd w:val="clear" w:color="auto" w:fill="DCE3F0"/>
          </w:tcPr>
          <w:p>
            <w:pPr>
              <w:spacing w:after="40" w:before="40" w:line="240" w:lineRule="auto"/>
              <w:jc w:val="center"/>
            </w:pPr>
            <w:r>
              <w:rPr>
                <w:rFonts w:ascii="Calibri" w:hAnsi="Calibri"/>
                <w:b/>
                <w:color w:val="0C2340"/>
                <w:sz w:val="18"/>
              </w:rPr>
              <w:t>Operación FE tabular</w:t>
            </w:r>
          </w:p>
        </w:tc>
        <w:tc>
          <w:tcPr>
            <w:tcW w:type="dxa" w:w="2551"/>
            <w:vAlign w:val="center"/>
            <w:shd w:val="clear" w:color="auto" w:fill="DCE3F0"/>
          </w:tcPr>
          <w:p>
            <w:pPr>
              <w:spacing w:after="40" w:before="40" w:line="240" w:lineRule="auto"/>
              <w:jc w:val="center"/>
            </w:pPr>
            <w:r>
              <w:rPr>
                <w:rFonts w:ascii="Calibri" w:hAnsi="Calibri"/>
                <w:b/>
                <w:color w:val="0C2340"/>
                <w:sz w:val="18"/>
              </w:rPr>
              <w:t>Equivalente en el pipeline NMT</w:t>
            </w:r>
          </w:p>
        </w:tc>
        <w:tc>
          <w:tcPr>
            <w:tcW w:type="dxa" w:w="4649"/>
            <w:vAlign w:val="center"/>
            <w:shd w:val="clear" w:color="auto" w:fill="DCE3F0"/>
          </w:tcPr>
          <w:p>
            <w:pPr>
              <w:spacing w:after="40" w:before="40" w:line="240" w:lineRule="auto"/>
              <w:jc w:val="center"/>
            </w:pPr>
            <w:r>
              <w:rPr>
                <w:rFonts w:ascii="Calibri" w:hAnsi="Calibri"/>
                <w:b/>
                <w:color w:val="0C2340"/>
                <w:sz w:val="18"/>
              </w:rPr>
              <w:t>Justificación</w:t>
            </w:r>
          </w:p>
        </w:tc>
      </w:tr>
      <w:tr>
        <w:tc>
          <w:tcPr>
            <w:tcW w:type="dxa" w:w="2154"/>
            <w:vAlign w:val="center"/>
          </w:tcPr>
          <w:p>
            <w:pPr>
              <w:spacing w:after="40" w:before="40" w:line="240" w:lineRule="auto"/>
              <w:jc w:val="left"/>
            </w:pPr>
            <w:r>
              <w:rPr>
                <w:rFonts w:ascii="Calibri" w:hAnsi="Calibri"/>
                <w:b w:val="0"/>
                <w:sz w:val="18"/>
              </w:rPr>
              <w:t>Limpieza / normalización de escala</w:t>
            </w:r>
          </w:p>
        </w:tc>
        <w:tc>
          <w:tcPr>
            <w:tcW w:type="dxa" w:w="2551"/>
            <w:vAlign w:val="center"/>
          </w:tcPr>
          <w:p>
            <w:pPr>
              <w:spacing w:after="40" w:before="40" w:line="240" w:lineRule="auto"/>
              <w:jc w:val="left"/>
            </w:pPr>
            <w:r>
              <w:rPr>
                <w:rFonts w:ascii="Calibri" w:hAnsi="Calibri"/>
                <w:b w:val="0"/>
                <w:sz w:val="18"/>
              </w:rPr>
              <w:t>Normalización Unicode NFC + reglas por idioma</w:t>
            </w:r>
          </w:p>
        </w:tc>
        <w:tc>
          <w:tcPr>
            <w:tcW w:type="dxa" w:w="4649"/>
            <w:vAlign w:val="center"/>
          </w:tcPr>
          <w:p>
            <w:pPr>
              <w:spacing w:after="40" w:before="40" w:line="240" w:lineRule="auto"/>
              <w:jc w:val="left"/>
            </w:pPr>
            <w:r>
              <w:rPr>
                <w:rFonts w:ascii="Calibri" w:hAnsi="Calibri"/>
                <w:b w:val="0"/>
                <w:sz w:val="18"/>
              </w:rPr>
              <w:t>Tokens idénticos no se representan con bytes distintos; preserva diacríticos del bribri (tonos, nasalización, corte glotal), fonémicamente distintivos.</w:t>
            </w:r>
          </w:p>
        </w:tc>
      </w:tr>
      <w:tr>
        <w:tc>
          <w:tcPr>
            <w:tcW w:type="dxa" w:w="2154"/>
            <w:vAlign w:val="center"/>
          </w:tcPr>
          <w:p>
            <w:pPr>
              <w:spacing w:after="40" w:before="40" w:line="240" w:lineRule="auto"/>
              <w:jc w:val="left"/>
            </w:pPr>
            <w:r>
              <w:rPr>
                <w:rFonts w:ascii="Calibri" w:hAnsi="Calibri"/>
                <w:b w:val="0"/>
                <w:sz w:val="18"/>
              </w:rPr>
              <w:t>Filtrado de outliers / umbral de varianza</w:t>
            </w:r>
          </w:p>
        </w:tc>
        <w:tc>
          <w:tcPr>
            <w:tcW w:type="dxa" w:w="2551"/>
            <w:vAlign w:val="center"/>
          </w:tcPr>
          <w:p>
            <w:pPr>
              <w:spacing w:after="40" w:before="40" w:line="240" w:lineRule="auto"/>
              <w:jc w:val="left"/>
            </w:pPr>
            <w:r>
              <w:rPr>
                <w:rFonts w:ascii="Calibri" w:hAnsi="Calibri"/>
                <w:b w:val="0"/>
                <w:sz w:val="18"/>
              </w:rPr>
              <w:t>Filtros de longitud, ratio y deduplicación</w:t>
            </w:r>
          </w:p>
        </w:tc>
        <w:tc>
          <w:tcPr>
            <w:tcW w:type="dxa" w:w="4649"/>
            <w:vAlign w:val="center"/>
          </w:tcPr>
          <w:p>
            <w:pPr>
              <w:spacing w:after="40" w:before="40" w:line="240" w:lineRule="auto"/>
              <w:jc w:val="left"/>
            </w:pPr>
            <w:r>
              <w:rPr>
                <w:rFonts w:ascii="Calibri" w:hAnsi="Calibri"/>
                <w:b w:val="0"/>
                <w:sz w:val="18"/>
              </w:rPr>
              <w:t>Descarta pares degenerados (vacíos, longitud extrema, ratio anómalo, duplicados) que introducirían ruido o memorización.</w:t>
            </w:r>
          </w:p>
        </w:tc>
      </w:tr>
      <w:tr>
        <w:tc>
          <w:tcPr>
            <w:tcW w:type="dxa" w:w="2154"/>
            <w:vAlign w:val="center"/>
          </w:tcPr>
          <w:p>
            <w:pPr>
              <w:spacing w:after="40" w:before="40" w:line="240" w:lineRule="auto"/>
              <w:jc w:val="left"/>
            </w:pPr>
            <w:r>
              <w:rPr>
                <w:rFonts w:ascii="Calibri" w:hAnsi="Calibri"/>
                <w:b w:val="0"/>
                <w:sz w:val="18"/>
              </w:rPr>
              <w:t>Codificación de categorías</w:t>
            </w:r>
          </w:p>
        </w:tc>
        <w:tc>
          <w:tcPr>
            <w:tcW w:type="dxa" w:w="2551"/>
            <w:vAlign w:val="center"/>
          </w:tcPr>
          <w:p>
            <w:pPr>
              <w:spacing w:after="40" w:before="40" w:line="240" w:lineRule="auto"/>
              <w:jc w:val="left"/>
            </w:pPr>
            <w:r>
              <w:rPr>
                <w:rFonts w:ascii="Calibri" w:hAnsi="Calibri"/>
                <w:b w:val="0"/>
                <w:sz w:val="18"/>
              </w:rPr>
              <w:t>Tokenización SentencePiece (subword)</w:t>
            </w:r>
          </w:p>
        </w:tc>
        <w:tc>
          <w:tcPr>
            <w:tcW w:type="dxa" w:w="4649"/>
            <w:vAlign w:val="center"/>
          </w:tcPr>
          <w:p>
            <w:pPr>
              <w:spacing w:after="40" w:before="40" w:line="240" w:lineRule="auto"/>
              <w:jc w:val="left"/>
            </w:pPr>
            <w:r>
              <w:rPr>
                <w:rFonts w:ascii="Calibri" w:hAnsi="Calibri"/>
                <w:b w:val="0"/>
                <w:sz w:val="18"/>
              </w:rPr>
              <w:t>Convierte texto en IDs de subpalabra; el token de idioma condiciona la dirección de traducción.</w:t>
            </w:r>
          </w:p>
        </w:tc>
      </w:tr>
      <w:tr>
        <w:tc>
          <w:tcPr>
            <w:tcW w:type="dxa" w:w="2154"/>
            <w:vAlign w:val="center"/>
          </w:tcPr>
          <w:p>
            <w:pPr>
              <w:spacing w:after="40" w:before="40" w:line="240" w:lineRule="auto"/>
              <w:jc w:val="left"/>
            </w:pPr>
            <w:r>
              <w:rPr>
                <w:rFonts w:ascii="Calibri" w:hAnsi="Calibri"/>
                <w:b w:val="0"/>
                <w:sz w:val="18"/>
              </w:rPr>
              <w:t>Selección de características</w:t>
            </w:r>
          </w:p>
        </w:tc>
        <w:tc>
          <w:tcPr>
            <w:tcW w:type="dxa" w:w="2551"/>
            <w:vAlign w:val="center"/>
          </w:tcPr>
          <w:p>
            <w:pPr>
              <w:spacing w:after="40" w:before="40" w:line="240" w:lineRule="auto"/>
              <w:jc w:val="left"/>
            </w:pPr>
            <w:r>
              <w:rPr>
                <w:rFonts w:ascii="Calibri" w:hAnsi="Calibri"/>
                <w:b w:val="0"/>
                <w:sz w:val="18"/>
              </w:rPr>
              <w:t>Etiquetado por dominio y confianza</w:t>
            </w:r>
          </w:p>
        </w:tc>
        <w:tc>
          <w:tcPr>
            <w:tcW w:type="dxa" w:w="4649"/>
            <w:vAlign w:val="center"/>
          </w:tcPr>
          <w:p>
            <w:pPr>
              <w:spacing w:after="40" w:before="40" w:line="240" w:lineRule="auto"/>
              <w:jc w:val="left"/>
            </w:pPr>
            <w:r>
              <w:rPr>
                <w:rFonts w:ascii="Calibri" w:hAnsi="Calibri"/>
                <w:b w:val="0"/>
                <w:sz w:val="18"/>
              </w:rPr>
              <w:t>Permite estratificar y filtrar por calidad de fuente sin perder trazabilidad.</w:t>
            </w:r>
          </w:p>
        </w:tc>
      </w:tr>
      <w:tr>
        <w:tc>
          <w:tcPr>
            <w:tcW w:type="dxa" w:w="2154"/>
            <w:vAlign w:val="center"/>
          </w:tcPr>
          <w:p>
            <w:pPr>
              <w:spacing w:after="40" w:before="40" w:line="240" w:lineRule="auto"/>
              <w:jc w:val="left"/>
            </w:pPr>
            <w:r>
              <w:rPr>
                <w:rFonts w:ascii="Calibri" w:hAnsi="Calibri"/>
                <w:b w:val="0"/>
                <w:sz w:val="18"/>
              </w:rPr>
              <w:t>Extracción de características</w:t>
            </w:r>
          </w:p>
        </w:tc>
        <w:tc>
          <w:tcPr>
            <w:tcW w:type="dxa" w:w="2551"/>
            <w:vAlign w:val="center"/>
          </w:tcPr>
          <w:p>
            <w:pPr>
              <w:spacing w:after="40" w:before="40" w:line="240" w:lineRule="auto"/>
              <w:jc w:val="left"/>
            </w:pPr>
            <w:r>
              <w:rPr>
                <w:rFonts w:ascii="Calibri" w:hAnsi="Calibri"/>
                <w:b w:val="0"/>
                <w:sz w:val="18"/>
              </w:rPr>
              <w:t>Embeddings del Transformer preentrenado</w:t>
            </w:r>
          </w:p>
        </w:tc>
        <w:tc>
          <w:tcPr>
            <w:tcW w:type="dxa" w:w="4649"/>
            <w:vAlign w:val="center"/>
          </w:tcPr>
          <w:p>
            <w:pPr>
              <w:spacing w:after="40" w:before="40" w:line="240" w:lineRule="auto"/>
              <w:jc w:val="left"/>
            </w:pPr>
            <w:r>
              <w:rPr>
                <w:rFonts w:ascii="Calibri" w:hAnsi="Calibri"/>
                <w:b w:val="0"/>
                <w:sz w:val="18"/>
              </w:rPr>
              <w:t>El modelo proyecta cada token a un espacio latente multilingüe; el fine-tuning reajusta esa representación al par bribri–español.</w:t>
            </w:r>
          </w:p>
        </w:tc>
      </w:tr>
    </w:tbl>
    <w:p>
      <w:pPr>
        <w:spacing w:after="40"/>
      </w:pPr>
    </w:p>
    <w:p>
      <w:pPr>
        <w:pStyle w:val="Heading2"/>
      </w:pPr>
      <w:r>
        <w:t>5.1 Esquema de un par paralelo y reglas de normalización</w:t>
      </w:r>
    </w:p>
    <w:p>
      <w:r>
        <w:t>Cada par se almacena con metadatos de trazabilidad (documento y página de origen, dominio, método de extracción y confianza). Los dominios son didactico, narrativo, religioso, etnografico y web; los niveles de confianza son high, medium y low. Las reglas de normalización son deliberadamente asimétricas entre idiomas:</w:t>
      </w:r>
    </w:p>
    <w:p>
      <w:pPr>
        <w:pStyle w:val="ListBullet"/>
      </w:pPr>
      <w:r>
        <w:rPr>
          <w:b/>
        </w:rPr>
        <w:t xml:space="preserve">Todo texto:  </w:t>
      </w:r>
      <w:r>
        <w:t>normalización Unicode NFC.</w:t>
      </w:r>
    </w:p>
    <w:p>
      <w:pPr>
        <w:pStyle w:val="ListBullet"/>
      </w:pPr>
      <w:r>
        <w:rPr>
          <w:b/>
        </w:rPr>
        <w:t xml:space="preserve">Bribri:  </w:t>
      </w:r>
      <w:r>
        <w:t>preserva todos los diacríticos (tonos, virgulilla nasal, corte glotal); nunca se convierte a minúsculas ni se eliminan combining marks.</w:t>
      </w:r>
    </w:p>
    <w:p>
      <w:pPr>
        <w:pStyle w:val="ListBullet"/>
      </w:pPr>
      <w:r>
        <w:rPr>
          <w:b/>
        </w:rPr>
        <w:t xml:space="preserve">Español:  </w:t>
      </w:r>
      <w:r>
        <w:t>NFC + comillas tipográficas a rectas, guiones largos a «-» y espacios en blanco colapsados.</w:t>
      </w:r>
    </w:p>
    <w:p>
      <w:pPr>
        <w:spacing w:after="40"/>
      </w:pPr>
      <w:r>
        <w:t>Los filtros se aplican en orden y quedan registrados en el reporte del pipeline:</w:t>
      </w:r>
    </w:p>
    <w:p>
      <w:pPr>
        <w:pStyle w:val="ListNumber"/>
      </w:pPr>
      <w:r>
        <w:t>Descarta si el lado bribri o español está vacío.</w:t>
      </w:r>
    </w:p>
    <w:p>
      <w:pPr>
        <w:pStyle w:val="ListNumber"/>
      </w:pPr>
      <w:r>
        <w:t>Descarta si alguno tiene menos de 2 o más de 80 palabras.</w:t>
      </w:r>
    </w:p>
    <w:p>
      <w:pPr>
        <w:pStyle w:val="ListNumber"/>
      </w:pPr>
      <w:r>
        <w:t>Descarta si el ratio de longitudes (caracteres) está fuera de [0.3, 3.0].</w:t>
      </w:r>
    </w:p>
    <w:p>
      <w:pPr>
        <w:pStyle w:val="ListNumber"/>
      </w:pPr>
      <w:r>
        <w:t>Descarta si ambos lados son idénticos.</w:t>
      </w:r>
    </w:p>
    <w:p>
      <w:pPr>
        <w:pStyle w:val="ListNumber"/>
      </w:pPr>
      <w:r>
        <w:t>Deduplica por SHA-256 del par (bri, es).</w:t>
      </w:r>
    </w:p>
    <w:p>
      <w:pPr>
        <w:pStyle w:val="Heading2"/>
      </w:pPr>
      <w:r>
        <w:t>5.2 Fuentes y resultado del corpus (v0)</w:t>
      </w:r>
    </w:p>
    <w:p>
      <w:r>
        <w:t>Tras los filtros, el corpus efectivo es de 1 505 pares (de 1 707 brutos), en el extremo bajo del rango estimado en el Avance 1, confirmando que el bribri es un escenario de muy bajo recurso incluso tras agotar las fuentes documentales disponibles.</w:t>
      </w:r>
    </w:p>
    <w:tbl>
      <w:tblPr>
        <w:tblStyle w:val="TableGrid"/>
        <w:tblW w:type="auto" w:w="0"/>
        <w:jc w:val="center"/>
        <w:tblLayout w:type="autofit"/>
        <w:tblLook w:firstColumn="1" w:firstRow="1" w:lastColumn="0" w:lastRow="0" w:noHBand="0" w:noVBand="1" w:val="04A0"/>
      </w:tblPr>
      <w:tblGrid>
        <w:gridCol w:w="1858"/>
        <w:gridCol w:w="1858"/>
        <w:gridCol w:w="1858"/>
        <w:gridCol w:w="1858"/>
        <w:gridCol w:w="1858"/>
      </w:tblGrid>
      <w:tr>
        <w:tc>
          <w:tcPr>
            <w:tcW w:type="dxa" w:w="3685"/>
            <w:vAlign w:val="center"/>
            <w:shd w:val="clear" w:color="auto" w:fill="DCE3F0"/>
          </w:tcPr>
          <w:p>
            <w:pPr>
              <w:spacing w:after="40" w:before="40" w:line="240" w:lineRule="auto"/>
              <w:jc w:val="center"/>
            </w:pPr>
            <w:r>
              <w:rPr>
                <w:rFonts w:ascii="Calibri" w:hAnsi="Calibri"/>
                <w:b/>
                <w:color w:val="0C2340"/>
                <w:sz w:val="18"/>
              </w:rPr>
              <w:t>Fuente</w:t>
            </w:r>
          </w:p>
        </w:tc>
        <w:tc>
          <w:tcPr>
            <w:tcW w:type="dxa" w:w="1020"/>
            <w:vAlign w:val="center"/>
            <w:shd w:val="clear" w:color="auto" w:fill="DCE3F0"/>
          </w:tcPr>
          <w:p>
            <w:pPr>
              <w:spacing w:after="40" w:before="40" w:line="240" w:lineRule="auto"/>
              <w:jc w:val="center"/>
            </w:pPr>
            <w:r>
              <w:rPr>
                <w:rFonts w:ascii="Calibri" w:hAnsi="Calibri"/>
                <w:b/>
                <w:color w:val="0C2340"/>
                <w:sz w:val="18"/>
              </w:rPr>
              <w:t>Brutos</w:t>
            </w:r>
          </w:p>
        </w:tc>
        <w:tc>
          <w:tcPr>
            <w:tcW w:type="dxa" w:w="1361"/>
            <w:vAlign w:val="center"/>
            <w:shd w:val="clear" w:color="auto" w:fill="DCE3F0"/>
          </w:tcPr>
          <w:p>
            <w:pPr>
              <w:spacing w:after="40" w:before="40" w:line="240" w:lineRule="auto"/>
              <w:jc w:val="center"/>
            </w:pPr>
            <w:r>
              <w:rPr>
                <w:rFonts w:ascii="Calibri" w:hAnsi="Calibri"/>
                <w:b/>
                <w:color w:val="0C2340"/>
                <w:sz w:val="18"/>
              </w:rPr>
              <w:t>Conservados</w:t>
            </w:r>
          </w:p>
        </w:tc>
        <w:tc>
          <w:tcPr>
            <w:tcW w:type="dxa" w:w="1701"/>
            <w:vAlign w:val="center"/>
            <w:shd w:val="clear" w:color="auto" w:fill="DCE3F0"/>
          </w:tcPr>
          <w:p>
            <w:pPr>
              <w:spacing w:after="40" w:before="40" w:line="240" w:lineRule="auto"/>
              <w:jc w:val="center"/>
            </w:pPr>
            <w:r>
              <w:rPr>
                <w:rFonts w:ascii="Calibri" w:hAnsi="Calibri"/>
                <w:b/>
                <w:color w:val="0C2340"/>
                <w:sz w:val="18"/>
              </w:rPr>
              <w:t>Dominio</w:t>
            </w:r>
          </w:p>
        </w:tc>
        <w:tc>
          <w:tcPr>
            <w:tcW w:type="dxa" w:w="1587"/>
            <w:vAlign w:val="center"/>
            <w:shd w:val="clear" w:color="auto" w:fill="DCE3F0"/>
          </w:tcPr>
          <w:p>
            <w:pPr>
              <w:spacing w:after="40" w:before="40" w:line="240" w:lineRule="auto"/>
              <w:jc w:val="center"/>
            </w:pPr>
            <w:r>
              <w:rPr>
                <w:rFonts w:ascii="Calibri" w:hAnsi="Calibri"/>
                <w:b/>
                <w:color w:val="0C2340"/>
                <w:sz w:val="18"/>
              </w:rPr>
              <w:t>Confianza</w:t>
            </w:r>
          </w:p>
        </w:tc>
      </w:tr>
      <w:tr>
        <w:tc>
          <w:tcPr>
            <w:tcW w:type="dxa" w:w="3685"/>
            <w:vAlign w:val="center"/>
          </w:tcPr>
          <w:p>
            <w:pPr>
              <w:spacing w:after="40" w:before="40" w:line="240" w:lineRule="auto"/>
              <w:jc w:val="left"/>
            </w:pPr>
            <w:r>
              <w:rPr>
                <w:rFonts w:ascii="Calibri" w:hAnsi="Calibri"/>
                <w:b w:val="0"/>
                <w:sz w:val="18"/>
              </w:rPr>
              <w:t>ESSJ_Sanchez_Avendano_Vol1.pdf</w:t>
            </w:r>
          </w:p>
        </w:tc>
        <w:tc>
          <w:tcPr>
            <w:tcW w:type="dxa" w:w="1020"/>
            <w:vAlign w:val="center"/>
          </w:tcPr>
          <w:p>
            <w:pPr>
              <w:spacing w:after="40" w:before="40" w:line="240" w:lineRule="auto"/>
              <w:jc w:val="center"/>
            </w:pPr>
            <w:r>
              <w:rPr>
                <w:rFonts w:ascii="Calibri" w:hAnsi="Calibri"/>
                <w:b w:val="0"/>
                <w:sz w:val="18"/>
              </w:rPr>
              <w:t>814</w:t>
            </w:r>
          </w:p>
        </w:tc>
        <w:tc>
          <w:tcPr>
            <w:tcW w:type="dxa" w:w="1361"/>
            <w:vAlign w:val="center"/>
          </w:tcPr>
          <w:p>
            <w:pPr>
              <w:spacing w:after="40" w:before="40" w:line="240" w:lineRule="auto"/>
              <w:jc w:val="center"/>
            </w:pPr>
            <w:r>
              <w:rPr>
                <w:rFonts w:ascii="Calibri" w:hAnsi="Calibri"/>
                <w:b w:val="0"/>
                <w:sz w:val="18"/>
              </w:rPr>
              <w:t>675</w:t>
            </w:r>
          </w:p>
        </w:tc>
        <w:tc>
          <w:tcPr>
            <w:tcW w:type="dxa" w:w="1701"/>
            <w:vAlign w:val="center"/>
          </w:tcPr>
          <w:p>
            <w:pPr>
              <w:spacing w:after="40" w:before="40" w:line="240" w:lineRule="auto"/>
              <w:jc w:val="left"/>
            </w:pPr>
            <w:r>
              <w:rPr>
                <w:rFonts w:ascii="Calibri" w:hAnsi="Calibri"/>
                <w:b w:val="0"/>
                <w:sz w:val="18"/>
              </w:rPr>
              <w:t>religioso</w:t>
            </w:r>
          </w:p>
        </w:tc>
        <w:tc>
          <w:tcPr>
            <w:tcW w:type="dxa" w:w="1587"/>
            <w:vAlign w:val="center"/>
          </w:tcPr>
          <w:p>
            <w:pPr>
              <w:spacing w:after="40" w:before="40" w:line="240" w:lineRule="auto"/>
              <w:jc w:val="left"/>
            </w:pPr>
            <w:r>
              <w:rPr>
                <w:rFonts w:ascii="Calibri" w:hAnsi="Calibri"/>
                <w:b w:val="0"/>
                <w:sz w:val="18"/>
              </w:rPr>
              <w:t>medium</w:t>
            </w:r>
          </w:p>
        </w:tc>
      </w:tr>
      <w:tr>
        <w:tc>
          <w:tcPr>
            <w:tcW w:type="dxa" w:w="3685"/>
            <w:vAlign w:val="center"/>
          </w:tcPr>
          <w:p>
            <w:pPr>
              <w:spacing w:after="40" w:before="40" w:line="240" w:lineRule="auto"/>
              <w:jc w:val="left"/>
            </w:pPr>
            <w:r>
              <w:rPr>
                <w:rFonts w:ascii="Calibri" w:hAnsi="Calibri"/>
                <w:b w:val="0"/>
                <w:sz w:val="18"/>
              </w:rPr>
              <w:t>I_tte_Historias_bribris.pdf</w:t>
            </w:r>
          </w:p>
        </w:tc>
        <w:tc>
          <w:tcPr>
            <w:tcW w:type="dxa" w:w="1020"/>
            <w:vAlign w:val="center"/>
          </w:tcPr>
          <w:p>
            <w:pPr>
              <w:spacing w:after="40" w:before="40" w:line="240" w:lineRule="auto"/>
              <w:jc w:val="center"/>
            </w:pPr>
            <w:r>
              <w:rPr>
                <w:rFonts w:ascii="Calibri" w:hAnsi="Calibri"/>
                <w:b w:val="0"/>
                <w:sz w:val="18"/>
              </w:rPr>
              <w:t>774</w:t>
            </w:r>
          </w:p>
        </w:tc>
        <w:tc>
          <w:tcPr>
            <w:tcW w:type="dxa" w:w="1361"/>
            <w:vAlign w:val="center"/>
          </w:tcPr>
          <w:p>
            <w:pPr>
              <w:spacing w:after="40" w:before="40" w:line="240" w:lineRule="auto"/>
              <w:jc w:val="center"/>
            </w:pPr>
            <w:r>
              <w:rPr>
                <w:rFonts w:ascii="Calibri" w:hAnsi="Calibri"/>
                <w:b w:val="0"/>
                <w:sz w:val="18"/>
              </w:rPr>
              <w:t>728</w:t>
            </w:r>
          </w:p>
        </w:tc>
        <w:tc>
          <w:tcPr>
            <w:tcW w:type="dxa" w:w="1701"/>
            <w:vAlign w:val="center"/>
          </w:tcPr>
          <w:p>
            <w:pPr>
              <w:spacing w:after="40" w:before="40" w:line="240" w:lineRule="auto"/>
              <w:jc w:val="left"/>
            </w:pPr>
            <w:r>
              <w:rPr>
                <w:rFonts w:ascii="Calibri" w:hAnsi="Calibri"/>
                <w:b w:val="0"/>
                <w:sz w:val="18"/>
              </w:rPr>
              <w:t>narrativo</w:t>
            </w:r>
          </w:p>
        </w:tc>
        <w:tc>
          <w:tcPr>
            <w:tcW w:type="dxa" w:w="1587"/>
            <w:vAlign w:val="center"/>
          </w:tcPr>
          <w:p>
            <w:pPr>
              <w:spacing w:after="40" w:before="40" w:line="240" w:lineRule="auto"/>
              <w:jc w:val="left"/>
            </w:pPr>
            <w:r>
              <w:rPr>
                <w:rFonts w:ascii="Calibri" w:hAnsi="Calibri"/>
                <w:b w:val="0"/>
                <w:sz w:val="18"/>
              </w:rPr>
              <w:t>low ¹</w:t>
            </w:r>
          </w:p>
        </w:tc>
      </w:tr>
      <w:tr>
        <w:tc>
          <w:tcPr>
            <w:tcW w:type="dxa" w:w="3685"/>
            <w:vAlign w:val="center"/>
          </w:tcPr>
          <w:p>
            <w:pPr>
              <w:spacing w:after="40" w:before="40" w:line="240" w:lineRule="auto"/>
              <w:jc w:val="left"/>
            </w:pPr>
            <w:r>
              <w:rPr>
                <w:rFonts w:ascii="Calibri" w:hAnsi="Calibri"/>
                <w:b w:val="0"/>
                <w:sz w:val="18"/>
              </w:rPr>
              <w:t>Gramatica_lengua_bribri_Jara2018.pdf</w:t>
            </w:r>
          </w:p>
        </w:tc>
        <w:tc>
          <w:tcPr>
            <w:tcW w:type="dxa" w:w="1020"/>
            <w:vAlign w:val="center"/>
          </w:tcPr>
          <w:p>
            <w:pPr>
              <w:spacing w:after="40" w:before="40" w:line="240" w:lineRule="auto"/>
              <w:jc w:val="center"/>
            </w:pPr>
            <w:r>
              <w:rPr>
                <w:rFonts w:ascii="Calibri" w:hAnsi="Calibri"/>
                <w:b w:val="0"/>
                <w:sz w:val="18"/>
              </w:rPr>
              <w:t>76</w:t>
            </w:r>
          </w:p>
        </w:tc>
        <w:tc>
          <w:tcPr>
            <w:tcW w:type="dxa" w:w="1361"/>
            <w:vAlign w:val="center"/>
          </w:tcPr>
          <w:p>
            <w:pPr>
              <w:spacing w:after="40" w:before="40" w:line="240" w:lineRule="auto"/>
              <w:jc w:val="center"/>
            </w:pPr>
            <w:r>
              <w:rPr>
                <w:rFonts w:ascii="Calibri" w:hAnsi="Calibri"/>
                <w:b w:val="0"/>
                <w:sz w:val="18"/>
              </w:rPr>
              <w:t>65</w:t>
            </w:r>
          </w:p>
        </w:tc>
        <w:tc>
          <w:tcPr>
            <w:tcW w:type="dxa" w:w="1701"/>
            <w:vAlign w:val="center"/>
          </w:tcPr>
          <w:p>
            <w:pPr>
              <w:spacing w:after="40" w:before="40" w:line="240" w:lineRule="auto"/>
              <w:jc w:val="left"/>
            </w:pPr>
            <w:r>
              <w:rPr>
                <w:rFonts w:ascii="Calibri" w:hAnsi="Calibri"/>
                <w:b w:val="0"/>
                <w:sz w:val="18"/>
              </w:rPr>
              <w:t>didactico</w:t>
            </w:r>
          </w:p>
        </w:tc>
        <w:tc>
          <w:tcPr>
            <w:tcW w:type="dxa" w:w="1587"/>
            <w:vAlign w:val="center"/>
          </w:tcPr>
          <w:p>
            <w:pPr>
              <w:spacing w:after="40" w:before="40" w:line="240" w:lineRule="auto"/>
              <w:jc w:val="left"/>
            </w:pPr>
            <w:r>
              <w:rPr>
                <w:rFonts w:ascii="Calibri" w:hAnsi="Calibri"/>
                <w:b w:val="0"/>
                <w:sz w:val="18"/>
              </w:rPr>
              <w:t>high / medium</w:t>
            </w:r>
          </w:p>
        </w:tc>
      </w:tr>
      <w:tr>
        <w:tc>
          <w:tcPr>
            <w:tcW w:type="dxa" w:w="3685"/>
            <w:vAlign w:val="center"/>
          </w:tcPr>
          <w:p>
            <w:pPr>
              <w:spacing w:after="40" w:before="40" w:line="240" w:lineRule="auto"/>
              <w:jc w:val="left"/>
            </w:pPr>
            <w:r>
              <w:rPr>
                <w:rFonts w:ascii="Calibri" w:hAnsi="Calibri"/>
                <w:b w:val="0"/>
                <w:sz w:val="18"/>
              </w:rPr>
              <w:t>Sevtto_bribri_ie_Hablemos.pdf</w:t>
            </w:r>
          </w:p>
        </w:tc>
        <w:tc>
          <w:tcPr>
            <w:tcW w:type="dxa" w:w="1020"/>
            <w:vAlign w:val="center"/>
          </w:tcPr>
          <w:p>
            <w:pPr>
              <w:spacing w:after="40" w:before="40" w:line="240" w:lineRule="auto"/>
              <w:jc w:val="center"/>
            </w:pPr>
            <w:r>
              <w:rPr>
                <w:rFonts w:ascii="Calibri" w:hAnsi="Calibri"/>
                <w:b w:val="0"/>
                <w:sz w:val="18"/>
              </w:rPr>
              <w:t>21</w:t>
            </w:r>
          </w:p>
        </w:tc>
        <w:tc>
          <w:tcPr>
            <w:tcW w:type="dxa" w:w="1361"/>
            <w:vAlign w:val="center"/>
          </w:tcPr>
          <w:p>
            <w:pPr>
              <w:spacing w:after="40" w:before="40" w:line="240" w:lineRule="auto"/>
              <w:jc w:val="center"/>
            </w:pPr>
            <w:r>
              <w:rPr>
                <w:rFonts w:ascii="Calibri" w:hAnsi="Calibri"/>
                <w:b w:val="0"/>
                <w:sz w:val="18"/>
              </w:rPr>
              <w:t>18</w:t>
            </w:r>
          </w:p>
        </w:tc>
        <w:tc>
          <w:tcPr>
            <w:tcW w:type="dxa" w:w="1701"/>
            <w:vAlign w:val="center"/>
          </w:tcPr>
          <w:p>
            <w:pPr>
              <w:spacing w:after="40" w:before="40" w:line="240" w:lineRule="auto"/>
              <w:jc w:val="left"/>
            </w:pPr>
            <w:r>
              <w:rPr>
                <w:rFonts w:ascii="Calibri" w:hAnsi="Calibri"/>
                <w:b w:val="0"/>
                <w:sz w:val="18"/>
              </w:rPr>
              <w:t>didactico</w:t>
            </w:r>
          </w:p>
        </w:tc>
        <w:tc>
          <w:tcPr>
            <w:tcW w:type="dxa" w:w="1587"/>
            <w:vAlign w:val="center"/>
          </w:tcPr>
          <w:p>
            <w:pPr>
              <w:spacing w:after="40" w:before="40" w:line="240" w:lineRule="auto"/>
              <w:jc w:val="left"/>
            </w:pPr>
            <w:r>
              <w:rPr>
                <w:rFonts w:ascii="Calibri" w:hAnsi="Calibri"/>
                <w:b w:val="0"/>
                <w:sz w:val="18"/>
              </w:rPr>
              <w:t>high</w:t>
            </w:r>
          </w:p>
        </w:tc>
      </w:tr>
      <w:tr>
        <w:tc>
          <w:tcPr>
            <w:tcW w:type="dxa" w:w="3685"/>
            <w:vAlign w:val="center"/>
          </w:tcPr>
          <w:p>
            <w:pPr>
              <w:spacing w:after="40" w:before="40" w:line="240" w:lineRule="auto"/>
              <w:jc w:val="left"/>
            </w:pPr>
            <w:r>
              <w:rPr>
                <w:rFonts w:ascii="Calibri" w:hAnsi="Calibri"/>
                <w:b w:val="0"/>
                <w:sz w:val="18"/>
              </w:rPr>
              <w:t>Palabras_Francisco_Garcia.pdf</w:t>
            </w:r>
          </w:p>
        </w:tc>
        <w:tc>
          <w:tcPr>
            <w:tcW w:type="dxa" w:w="1020"/>
            <w:vAlign w:val="center"/>
          </w:tcPr>
          <w:p>
            <w:pPr>
              <w:spacing w:after="40" w:before="40" w:line="240" w:lineRule="auto"/>
              <w:jc w:val="center"/>
            </w:pPr>
            <w:r>
              <w:rPr>
                <w:rFonts w:ascii="Calibri" w:hAnsi="Calibri"/>
                <w:b w:val="0"/>
                <w:sz w:val="18"/>
              </w:rPr>
              <w:t>18</w:t>
            </w:r>
          </w:p>
        </w:tc>
        <w:tc>
          <w:tcPr>
            <w:tcW w:type="dxa" w:w="1361"/>
            <w:vAlign w:val="center"/>
          </w:tcPr>
          <w:p>
            <w:pPr>
              <w:spacing w:after="40" w:before="40" w:line="240" w:lineRule="auto"/>
              <w:jc w:val="center"/>
            </w:pPr>
            <w:r>
              <w:rPr>
                <w:rFonts w:ascii="Calibri" w:hAnsi="Calibri"/>
                <w:b w:val="0"/>
                <w:sz w:val="18"/>
              </w:rPr>
              <w:t>17</w:t>
            </w:r>
          </w:p>
        </w:tc>
        <w:tc>
          <w:tcPr>
            <w:tcW w:type="dxa" w:w="1701"/>
            <w:vAlign w:val="center"/>
          </w:tcPr>
          <w:p>
            <w:pPr>
              <w:spacing w:after="40" w:before="40" w:line="240" w:lineRule="auto"/>
              <w:jc w:val="left"/>
            </w:pPr>
            <w:r>
              <w:rPr>
                <w:rFonts w:ascii="Calibri" w:hAnsi="Calibri"/>
                <w:b w:val="0"/>
                <w:sz w:val="18"/>
              </w:rPr>
              <w:t>etnografico</w:t>
            </w:r>
          </w:p>
        </w:tc>
        <w:tc>
          <w:tcPr>
            <w:tcW w:type="dxa" w:w="1587"/>
            <w:vAlign w:val="center"/>
          </w:tcPr>
          <w:p>
            <w:pPr>
              <w:spacing w:after="40" w:before="40" w:line="240" w:lineRule="auto"/>
              <w:jc w:val="left"/>
            </w:pPr>
            <w:r>
              <w:rPr>
                <w:rFonts w:ascii="Calibri" w:hAnsi="Calibri"/>
                <w:b w:val="0"/>
                <w:sz w:val="18"/>
              </w:rPr>
              <w:t>low ¹</w:t>
            </w:r>
          </w:p>
        </w:tc>
      </w:tr>
      <w:tr>
        <w:tc>
          <w:tcPr>
            <w:tcW w:type="dxa" w:w="3685"/>
            <w:vAlign w:val="center"/>
          </w:tcPr>
          <w:p>
            <w:pPr>
              <w:spacing w:after="40" w:before="40" w:line="240" w:lineRule="auto"/>
              <w:jc w:val="left"/>
            </w:pPr>
            <w:r>
              <w:rPr>
                <w:rFonts w:ascii="Calibri" w:hAnsi="Calibri"/>
                <w:b w:val="0"/>
                <w:sz w:val="18"/>
              </w:rPr>
              <w:t>Ditso_rukuo_Identidad_semillas.pdf</w:t>
            </w:r>
          </w:p>
        </w:tc>
        <w:tc>
          <w:tcPr>
            <w:tcW w:type="dxa" w:w="1020"/>
            <w:vAlign w:val="center"/>
          </w:tcPr>
          <w:p>
            <w:pPr>
              <w:spacing w:after="40" w:before="40" w:line="240" w:lineRule="auto"/>
              <w:jc w:val="center"/>
            </w:pPr>
            <w:r>
              <w:rPr>
                <w:rFonts w:ascii="Calibri" w:hAnsi="Calibri"/>
                <w:b w:val="0"/>
                <w:sz w:val="18"/>
              </w:rPr>
              <w:t>4</w:t>
            </w:r>
          </w:p>
        </w:tc>
        <w:tc>
          <w:tcPr>
            <w:tcW w:type="dxa" w:w="1361"/>
            <w:vAlign w:val="center"/>
          </w:tcPr>
          <w:p>
            <w:pPr>
              <w:spacing w:after="40" w:before="40" w:line="240" w:lineRule="auto"/>
              <w:jc w:val="center"/>
            </w:pPr>
            <w:r>
              <w:rPr>
                <w:rFonts w:ascii="Calibri" w:hAnsi="Calibri"/>
                <w:b w:val="0"/>
                <w:sz w:val="18"/>
              </w:rPr>
              <w:t>2</w:t>
            </w:r>
          </w:p>
        </w:tc>
        <w:tc>
          <w:tcPr>
            <w:tcW w:type="dxa" w:w="1701"/>
            <w:vAlign w:val="center"/>
          </w:tcPr>
          <w:p>
            <w:pPr>
              <w:spacing w:after="40" w:before="40" w:line="240" w:lineRule="auto"/>
              <w:jc w:val="left"/>
            </w:pPr>
            <w:r>
              <w:rPr>
                <w:rFonts w:ascii="Calibri" w:hAnsi="Calibri"/>
                <w:b w:val="0"/>
                <w:sz w:val="18"/>
              </w:rPr>
              <w:t>narrativo</w:t>
            </w:r>
          </w:p>
        </w:tc>
        <w:tc>
          <w:tcPr>
            <w:tcW w:type="dxa" w:w="1587"/>
            <w:vAlign w:val="center"/>
          </w:tcPr>
          <w:p>
            <w:pPr>
              <w:spacing w:after="40" w:before="40" w:line="240" w:lineRule="auto"/>
              <w:jc w:val="left"/>
            </w:pPr>
            <w:r>
              <w:rPr>
                <w:rFonts w:ascii="Calibri" w:hAnsi="Calibri"/>
                <w:b w:val="0"/>
                <w:sz w:val="18"/>
              </w:rPr>
              <w:t>low</w:t>
            </w:r>
          </w:p>
        </w:tc>
      </w:tr>
      <w:tr>
        <w:tc>
          <w:tcPr>
            <w:tcW w:type="dxa" w:w="3685"/>
            <w:vAlign w:val="center"/>
          </w:tcPr>
          <w:p>
            <w:pPr>
              <w:spacing w:after="40" w:before="40" w:line="240" w:lineRule="auto"/>
              <w:jc w:val="left"/>
            </w:pPr>
            <w:r>
              <w:rPr>
                <w:rFonts w:ascii="Calibri" w:hAnsi="Calibri"/>
                <w:b w:val="0"/>
                <w:sz w:val="18"/>
              </w:rPr>
              <w:t>https://www.lenguabribri.com/</w:t>
            </w:r>
          </w:p>
        </w:tc>
        <w:tc>
          <w:tcPr>
            <w:tcW w:type="dxa" w:w="1020"/>
            <w:vAlign w:val="center"/>
          </w:tcPr>
          <w:p>
            <w:pPr>
              <w:spacing w:after="40" w:before="40" w:line="240" w:lineRule="auto"/>
              <w:jc w:val="center"/>
            </w:pPr>
            <w:r>
              <w:rPr>
                <w:rFonts w:ascii="Calibri" w:hAnsi="Calibri"/>
                <w:b w:val="0"/>
                <w:sz w:val="18"/>
              </w:rPr>
              <w:t>0</w:t>
            </w:r>
          </w:p>
        </w:tc>
        <w:tc>
          <w:tcPr>
            <w:tcW w:type="dxa" w:w="1361"/>
            <w:vAlign w:val="center"/>
          </w:tcPr>
          <w:p>
            <w:pPr>
              <w:spacing w:after="40" w:before="40" w:line="240" w:lineRule="auto"/>
              <w:jc w:val="center"/>
            </w:pPr>
            <w:r>
              <w:rPr>
                <w:rFonts w:ascii="Calibri" w:hAnsi="Calibri"/>
                <w:b w:val="0"/>
                <w:sz w:val="18"/>
              </w:rPr>
              <w:t>0</w:t>
            </w:r>
          </w:p>
        </w:tc>
        <w:tc>
          <w:tcPr>
            <w:tcW w:type="dxa" w:w="1701"/>
            <w:vAlign w:val="center"/>
          </w:tcPr>
          <w:p>
            <w:pPr>
              <w:spacing w:after="40" w:before="40" w:line="240" w:lineRule="auto"/>
              <w:jc w:val="left"/>
            </w:pPr>
            <w:r>
              <w:rPr>
                <w:rFonts w:ascii="Calibri" w:hAnsi="Calibri"/>
                <w:b w:val="0"/>
                <w:sz w:val="18"/>
              </w:rPr>
              <w:t>web</w:t>
            </w:r>
          </w:p>
        </w:tc>
        <w:tc>
          <w:tcPr>
            <w:tcW w:type="dxa" w:w="1587"/>
            <w:vAlign w:val="center"/>
          </w:tcPr>
          <w:p>
            <w:pPr>
              <w:spacing w:after="40" w:before="40" w:line="240" w:lineRule="auto"/>
              <w:jc w:val="left"/>
            </w:pPr>
            <w:r>
              <w:rPr>
                <w:rFonts w:ascii="Calibri" w:hAnsi="Calibri"/>
                <w:b w:val="0"/>
                <w:sz w:val="18"/>
              </w:rPr>
              <w:t>—</w:t>
            </w:r>
          </w:p>
        </w:tc>
      </w:tr>
    </w:tbl>
    <w:p>
      <w:pPr>
        <w:spacing w:after="40"/>
      </w:pPr>
    </w:p>
    <w:p>
      <w:r>
        <w:rPr>
          <w:color w:val="5A6068"/>
          <w:sz w:val="19"/>
        </w:rPr>
        <w:t>¹ El «español» en I ttè (interlineal) y en Palabras de Francisco García son glosas palabra-por-palabra, no traducciones libres: útiles, pero deben ponderarse o filtrarse en el entrenamiento. La fuente web (lenguabribri.com) no pudo extraerse desde el entorno remoto por política de red (HTTP 403); su incorporación queda como mejora planificada.</w:t>
      </w:r>
    </w:p>
    <w:p>
      <w:pPr>
        <w:pStyle w:val="Heading2"/>
      </w:pPr>
      <w:r>
        <w:t>5.3 Partición de datos</w:t>
      </w:r>
    </w:p>
    <w:p>
      <w:r>
        <w:t>La partición es 80/10/10 estratificada por (dominio, confianza) con semilla 42, resultando en 1 201 pares de entrenamiento, 152 de validación y 152 de prueba. La estratificación garantiza que cada split conserve la misma proporción de dominios y niveles de confianza, de modo que las métricas sean representativas del corpus completo. La trazabilidad por SHA-256 y el etiquetado por dominio/confianza permiten ablaciones reproducibles en fases posteriores.</w:t>
      </w:r>
    </w:p>
    <w:p>
      <w:r>
        <w:br w:type="page"/>
      </w:r>
    </w:p>
    <w:p>
      <w:pPr>
        <w:pStyle w:val="Heading1"/>
      </w:pPr>
      <w:r>
        <w:t>6. Modelado: fine-tuning de modelos NMT</w:t>
      </w:r>
    </w:p>
    <w:p>
      <w:r>
        <w:t>El modelado se desarrolló en iteraciones sucesivas (Avances 3 y 4), manteniendo constantes corpus, splits, semilla (42), longitud máxima, tamaño de lote y código de métricas para que las comparaciones fueran limpias. Se evaluó con tres métricas calculadas con sacrebleu: spBLEU (tokenización FLORES-200), chrF (F-score sobre n-gramas de caracteres, n=6) y chrF++ (chrF con n-gramas de palabras). En corpus pequeños y morfología rica, chrF/chrF++ son la señal de progreso más estable y se adoptan como métrica primaria.</w:t>
      </w:r>
    </w:p>
    <w:p>
      <w:pPr>
        <w:pStyle w:val="Heading2"/>
      </w:pPr>
      <w:r>
        <w:t>6.1 Avance 3 — Baseline NLLB-200 (Google Colab, T4)</w:t>
      </w:r>
    </w:p>
    <w:p>
      <w:r>
        <w:t>Primera iteración: fine-tuning de facebook/nllb-200-distilled-600M en ambas direcciones (3 épocas, lr 5e-4). Como el bribri no tiene token de idioma propio en NLLB-200, se usó quy_Latn (quechua ayacucho) como proxy: lengua indígena americana en script latino presente en el modelo. La decisión es discutible y se documenta como tal.</w:t>
      </w:r>
    </w:p>
    <w:tbl>
      <w:tblPr>
        <w:tblStyle w:val="TableGrid"/>
        <w:tblW w:type="auto" w:w="0"/>
        <w:jc w:val="center"/>
        <w:tblLayout w:type="autofit"/>
        <w:tblLook w:firstColumn="1" w:firstRow="1" w:lastColumn="0" w:lastRow="0" w:noHBand="0" w:noVBand="1" w:val="04A0"/>
      </w:tblPr>
      <w:tblGrid>
        <w:gridCol w:w="1858"/>
        <w:gridCol w:w="1858"/>
        <w:gridCol w:w="1858"/>
        <w:gridCol w:w="1858"/>
        <w:gridCol w:w="1858"/>
      </w:tblGrid>
      <w:tr>
        <w:tc>
          <w:tcPr>
            <w:tcW w:type="dxa" w:w="1814"/>
            <w:vAlign w:val="center"/>
            <w:shd w:val="clear" w:color="auto" w:fill="DCE3F0"/>
          </w:tcPr>
          <w:p>
            <w:pPr>
              <w:spacing w:after="40" w:before="40" w:line="240" w:lineRule="auto"/>
              <w:jc w:val="center"/>
            </w:pPr>
            <w:r>
              <w:rPr>
                <w:rFonts w:ascii="Calibri" w:hAnsi="Calibri"/>
                <w:b/>
                <w:color w:val="0C2340"/>
                <w:sz w:val="19"/>
              </w:rPr>
              <w:t>Dirección</w:t>
            </w:r>
          </w:p>
        </w:tc>
        <w:tc>
          <w:tcPr>
            <w:tcW w:type="dxa" w:w="1871"/>
            <w:vAlign w:val="center"/>
            <w:shd w:val="clear" w:color="auto" w:fill="DCE3F0"/>
          </w:tcPr>
          <w:p>
            <w:pPr>
              <w:spacing w:after="40" w:before="40" w:line="240" w:lineRule="auto"/>
              <w:jc w:val="center"/>
            </w:pPr>
            <w:r>
              <w:rPr>
                <w:rFonts w:ascii="Calibri" w:hAnsi="Calibri"/>
                <w:b/>
                <w:color w:val="0C2340"/>
                <w:sz w:val="19"/>
              </w:rPr>
              <w:t>eval_loss ↓</w:t>
            </w:r>
          </w:p>
        </w:tc>
        <w:tc>
          <w:tcPr>
            <w:tcW w:type="dxa" w:w="1871"/>
            <w:vAlign w:val="center"/>
            <w:shd w:val="clear" w:color="auto" w:fill="DCE3F0"/>
          </w:tcPr>
          <w:p>
            <w:pPr>
              <w:spacing w:after="40" w:before="40" w:line="240" w:lineRule="auto"/>
              <w:jc w:val="center"/>
            </w:pPr>
            <w:r>
              <w:rPr>
                <w:rFonts w:ascii="Calibri" w:hAnsi="Calibri"/>
                <w:b/>
                <w:color w:val="0C2340"/>
                <w:sz w:val="19"/>
              </w:rPr>
              <w:t>spBLEU ↑</w:t>
            </w:r>
          </w:p>
        </w:tc>
        <w:tc>
          <w:tcPr>
            <w:tcW w:type="dxa" w:w="1871"/>
            <w:vAlign w:val="center"/>
            <w:shd w:val="clear" w:color="auto" w:fill="DCE3F0"/>
          </w:tcPr>
          <w:p>
            <w:pPr>
              <w:spacing w:after="40" w:before="40" w:line="240" w:lineRule="auto"/>
              <w:jc w:val="center"/>
            </w:pPr>
            <w:r>
              <w:rPr>
                <w:rFonts w:ascii="Calibri" w:hAnsi="Calibri"/>
                <w:b/>
                <w:color w:val="0C2340"/>
                <w:sz w:val="19"/>
              </w:rPr>
              <w:t>chrF ↑</w:t>
            </w:r>
          </w:p>
        </w:tc>
        <w:tc>
          <w:tcPr>
            <w:tcW w:type="dxa" w:w="1871"/>
            <w:vAlign w:val="center"/>
            <w:shd w:val="clear" w:color="auto" w:fill="DCE3F0"/>
          </w:tcPr>
          <w:p>
            <w:pPr>
              <w:spacing w:after="40" w:before="40" w:line="240" w:lineRule="auto"/>
              <w:jc w:val="center"/>
            </w:pPr>
            <w:r>
              <w:rPr>
                <w:rFonts w:ascii="Calibri" w:hAnsi="Calibri"/>
                <w:b/>
                <w:color w:val="0C2340"/>
                <w:sz w:val="19"/>
              </w:rPr>
              <w:t>chrF++ ↑</w:t>
            </w:r>
          </w:p>
        </w:tc>
      </w:tr>
      <w:tr>
        <w:tc>
          <w:tcPr>
            <w:tcW w:type="dxa" w:w="1814"/>
            <w:vAlign w:val="center"/>
          </w:tcPr>
          <w:p>
            <w:pPr>
              <w:spacing w:after="40" w:before="40" w:line="240" w:lineRule="auto"/>
              <w:jc w:val="left"/>
            </w:pPr>
            <w:r>
              <w:rPr>
                <w:rFonts w:ascii="Calibri" w:hAnsi="Calibri"/>
                <w:b w:val="0"/>
                <w:sz w:val="19"/>
              </w:rPr>
              <w:t>es → bri</w:t>
            </w:r>
          </w:p>
        </w:tc>
        <w:tc>
          <w:tcPr>
            <w:tcW w:type="dxa" w:w="1871"/>
            <w:vAlign w:val="center"/>
          </w:tcPr>
          <w:p>
            <w:pPr>
              <w:spacing w:after="40" w:before="40" w:line="240" w:lineRule="auto"/>
              <w:jc w:val="center"/>
            </w:pPr>
            <w:r>
              <w:rPr>
                <w:rFonts w:ascii="Calibri" w:hAnsi="Calibri"/>
                <w:b w:val="0"/>
                <w:sz w:val="19"/>
              </w:rPr>
              <w:t>2.151</w:t>
            </w:r>
          </w:p>
        </w:tc>
        <w:tc>
          <w:tcPr>
            <w:tcW w:type="dxa" w:w="1871"/>
            <w:vAlign w:val="center"/>
          </w:tcPr>
          <w:p>
            <w:pPr>
              <w:spacing w:after="40" w:before="40" w:line="240" w:lineRule="auto"/>
              <w:jc w:val="center"/>
            </w:pPr>
            <w:r>
              <w:rPr>
                <w:rFonts w:ascii="Calibri" w:hAnsi="Calibri"/>
                <w:b w:val="0"/>
                <w:sz w:val="19"/>
              </w:rPr>
              <w:t>18.61</w:t>
            </w:r>
          </w:p>
        </w:tc>
        <w:tc>
          <w:tcPr>
            <w:tcW w:type="dxa" w:w="1871"/>
            <w:vAlign w:val="center"/>
          </w:tcPr>
          <w:p>
            <w:pPr>
              <w:spacing w:after="40" w:before="40" w:line="240" w:lineRule="auto"/>
              <w:jc w:val="center"/>
            </w:pPr>
            <w:r>
              <w:rPr>
                <w:rFonts w:ascii="Calibri" w:hAnsi="Calibri"/>
                <w:b w:val="0"/>
                <w:sz w:val="19"/>
              </w:rPr>
              <w:t>26.97</w:t>
            </w:r>
          </w:p>
        </w:tc>
        <w:tc>
          <w:tcPr>
            <w:tcW w:type="dxa" w:w="1871"/>
            <w:vAlign w:val="center"/>
          </w:tcPr>
          <w:p>
            <w:pPr>
              <w:spacing w:after="40" w:before="40" w:line="240" w:lineRule="auto"/>
              <w:jc w:val="center"/>
            </w:pPr>
            <w:r>
              <w:rPr>
                <w:rFonts w:ascii="Calibri" w:hAnsi="Calibri"/>
                <w:b w:val="0"/>
                <w:sz w:val="19"/>
              </w:rPr>
              <w:t>26.01</w:t>
            </w:r>
          </w:p>
        </w:tc>
      </w:tr>
      <w:tr>
        <w:tc>
          <w:tcPr>
            <w:tcW w:type="dxa" w:w="1814"/>
            <w:vAlign w:val="center"/>
          </w:tcPr>
          <w:p>
            <w:pPr>
              <w:spacing w:after="40" w:before="40" w:line="240" w:lineRule="auto"/>
              <w:jc w:val="left"/>
            </w:pPr>
            <w:r>
              <w:rPr>
                <w:rFonts w:ascii="Calibri" w:hAnsi="Calibri"/>
                <w:b w:val="0"/>
                <w:sz w:val="19"/>
              </w:rPr>
              <w:t>bri → es</w:t>
            </w:r>
          </w:p>
        </w:tc>
        <w:tc>
          <w:tcPr>
            <w:tcW w:type="dxa" w:w="1871"/>
            <w:vAlign w:val="center"/>
          </w:tcPr>
          <w:p>
            <w:pPr>
              <w:spacing w:after="40" w:before="40" w:line="240" w:lineRule="auto"/>
              <w:jc w:val="center"/>
            </w:pPr>
            <w:r>
              <w:rPr>
                <w:rFonts w:ascii="Calibri" w:hAnsi="Calibri"/>
                <w:b w:val="0"/>
                <w:sz w:val="19"/>
              </w:rPr>
              <w:t>3.056</w:t>
            </w:r>
          </w:p>
        </w:tc>
        <w:tc>
          <w:tcPr>
            <w:tcW w:type="dxa" w:w="1871"/>
            <w:vAlign w:val="center"/>
          </w:tcPr>
          <w:p>
            <w:pPr>
              <w:spacing w:after="40" w:before="40" w:line="240" w:lineRule="auto"/>
              <w:jc w:val="center"/>
            </w:pPr>
            <w:r>
              <w:rPr>
                <w:rFonts w:ascii="Calibri" w:hAnsi="Calibri"/>
                <w:b w:val="0"/>
                <w:sz w:val="19"/>
              </w:rPr>
              <w:t>10.26</w:t>
            </w:r>
          </w:p>
        </w:tc>
        <w:tc>
          <w:tcPr>
            <w:tcW w:type="dxa" w:w="1871"/>
            <w:vAlign w:val="center"/>
          </w:tcPr>
          <w:p>
            <w:pPr>
              <w:spacing w:after="40" w:before="40" w:line="240" w:lineRule="auto"/>
              <w:jc w:val="center"/>
            </w:pPr>
            <w:r>
              <w:rPr>
                <w:rFonts w:ascii="Calibri" w:hAnsi="Calibri"/>
                <w:b w:val="0"/>
                <w:sz w:val="19"/>
              </w:rPr>
              <w:t>27.34</w:t>
            </w:r>
          </w:p>
        </w:tc>
        <w:tc>
          <w:tcPr>
            <w:tcW w:type="dxa" w:w="1871"/>
            <w:vAlign w:val="center"/>
          </w:tcPr>
          <w:p>
            <w:pPr>
              <w:spacing w:after="40" w:before="40" w:line="240" w:lineRule="auto"/>
              <w:jc w:val="center"/>
            </w:pPr>
            <w:r>
              <w:rPr>
                <w:rFonts w:ascii="Calibri" w:hAnsi="Calibri"/>
                <w:b w:val="0"/>
                <w:sz w:val="19"/>
              </w:rPr>
              <w:t>26.16</w:t>
            </w:r>
          </w:p>
        </w:tc>
      </w:tr>
      <w:tr>
        <w:tc>
          <w:tcPr>
            <w:tcW w:type="dxa" w:w="1814"/>
            <w:vAlign w:val="center"/>
            <w:shd w:val="clear" w:color="auto" w:fill="EAF0FB"/>
          </w:tcPr>
          <w:p>
            <w:pPr>
              <w:spacing w:after="40" w:before="40" w:line="240" w:lineRule="auto"/>
              <w:jc w:val="left"/>
            </w:pPr>
            <w:r>
              <w:rPr>
                <w:rFonts w:ascii="Calibri" w:hAnsi="Calibri"/>
                <w:b/>
                <w:sz w:val="19"/>
              </w:rPr>
              <w:t>promedio</w:t>
            </w:r>
          </w:p>
        </w:tc>
        <w:tc>
          <w:tcPr>
            <w:tcW w:type="dxa" w:w="1871"/>
            <w:vAlign w:val="center"/>
            <w:shd w:val="clear" w:color="auto" w:fill="EAF0FB"/>
          </w:tcPr>
          <w:p>
            <w:pPr>
              <w:spacing w:after="40" w:before="40" w:line="240" w:lineRule="auto"/>
              <w:jc w:val="center"/>
            </w:pPr>
            <w:r>
              <w:rPr>
                <w:rFonts w:ascii="Calibri" w:hAnsi="Calibri"/>
                <w:b/>
                <w:sz w:val="19"/>
              </w:rPr>
              <w:t>2.603</w:t>
            </w:r>
          </w:p>
        </w:tc>
        <w:tc>
          <w:tcPr>
            <w:tcW w:type="dxa" w:w="1871"/>
            <w:vAlign w:val="center"/>
            <w:shd w:val="clear" w:color="auto" w:fill="EAF0FB"/>
          </w:tcPr>
          <w:p>
            <w:pPr>
              <w:spacing w:after="40" w:before="40" w:line="240" w:lineRule="auto"/>
              <w:jc w:val="center"/>
            </w:pPr>
            <w:r>
              <w:rPr>
                <w:rFonts w:ascii="Calibri" w:hAnsi="Calibri"/>
                <w:b/>
                <w:sz w:val="19"/>
              </w:rPr>
              <w:t>14.43</w:t>
            </w:r>
          </w:p>
        </w:tc>
        <w:tc>
          <w:tcPr>
            <w:tcW w:type="dxa" w:w="1871"/>
            <w:vAlign w:val="center"/>
            <w:shd w:val="clear" w:color="auto" w:fill="EAF0FB"/>
          </w:tcPr>
          <w:p>
            <w:pPr>
              <w:spacing w:after="40" w:before="40" w:line="240" w:lineRule="auto"/>
              <w:jc w:val="center"/>
            </w:pPr>
            <w:r>
              <w:rPr>
                <w:rFonts w:ascii="Calibri" w:hAnsi="Calibri"/>
                <w:b/>
                <w:sz w:val="19"/>
              </w:rPr>
              <w:t>27.16</w:t>
            </w:r>
          </w:p>
        </w:tc>
        <w:tc>
          <w:tcPr>
            <w:tcW w:type="dxa" w:w="1871"/>
            <w:vAlign w:val="center"/>
            <w:shd w:val="clear" w:color="auto" w:fill="EAF0FB"/>
          </w:tcPr>
          <w:p>
            <w:pPr>
              <w:spacing w:after="40" w:before="40" w:line="240" w:lineRule="auto"/>
              <w:jc w:val="center"/>
            </w:pPr>
            <w:r>
              <w:rPr>
                <w:rFonts w:ascii="Calibri" w:hAnsi="Calibri"/>
                <w:b/>
                <w:sz w:val="19"/>
              </w:rPr>
              <w:t>26.09</w:t>
            </w:r>
          </w:p>
        </w:tc>
      </w:tr>
    </w:tbl>
    <w:p>
      <w:pPr>
        <w:spacing w:after="40"/>
      </w:pPr>
    </w:p>
    <w:p>
      <w:r>
        <w:t>Para un par ausente del preentrenamiento de NLLB, con ~1.2k pares y 3 épocas, chrF ≈ 27 en ambas direcciones es consistente con la literatura (cf. AmericasNLP, donde la línea base NLLB fine-tuneada para aymara y guaraní queda en chrF 25–35 con corpus de tamaño similar). La val loss cae monotónicamente sin rebote dentro del horizonte de 900 pasos: la pendiente final aún es negativa, señal de que el modelo no terminó de converger, observación que motivó directamente el Avance 4.</w:t>
      </w:r>
    </w:p>
    <w:p>
      <w:pPr>
        <w:spacing w:before="120"/>
        <w:jc w:val="center"/>
      </w:pPr>
      <w:r>
        <w:drawing>
          <wp:inline xmlns:a="http://schemas.openxmlformats.org/drawingml/2006/main" xmlns:pic="http://schemas.openxmlformats.org/drawingml/2006/picture">
            <wp:extent cx="5760720" cy="1280160"/>
            <wp:docPr id="2" name="Picture 2"/>
            <wp:cNvGraphicFramePr>
              <a:graphicFrameLocks noChangeAspect="1"/>
            </wp:cNvGraphicFramePr>
            <a:graphic>
              <a:graphicData uri="http://schemas.openxmlformats.org/drawingml/2006/picture">
                <pic:pic>
                  <pic:nvPicPr>
                    <pic:cNvPr id="0" name="training_curves.png"/>
                    <pic:cNvPicPr/>
                  </pic:nvPicPr>
                  <pic:blipFill>
                    <a:blip r:embed="rId10"/>
                    <a:stretch>
                      <a:fillRect/>
                    </a:stretch>
                  </pic:blipFill>
                  <pic:spPr>
                    <a:xfrm>
                      <a:off x="0" y="0"/>
                      <a:ext cx="5760720" cy="1280160"/>
                    </a:xfrm>
                    <a:prstGeom prst="rect"/>
                  </pic:spPr>
                </pic:pic>
              </a:graphicData>
            </a:graphic>
          </wp:inline>
        </w:drawing>
      </w:r>
    </w:p>
    <w:p>
      <w:pPr>
        <w:spacing w:after="200"/>
        <w:jc w:val="center"/>
      </w:pPr>
      <w:r>
        <w:rPr>
          <w:i/>
          <w:color w:val="5A6068"/>
          <w:sz w:val="18"/>
        </w:rPr>
        <w:t>Figura 1. Curvas de entrenamiento del Avance 3 (val loss, spBLEU y chrF++ por pasos de optimización). chrF++ crece de forma estable; spBLEU mesetea con alta varianza por el reducido número de referencias.</w:t>
      </w:r>
    </w:p>
    <w:p>
      <w:pPr>
        <w:pStyle w:val="Heading2"/>
      </w:pPr>
      <w:r>
        <w:t>6.2 Avance 4 — Reentrenamiento en H100 (8 épocas, lr 2e-4)</w:t>
      </w:r>
    </w:p>
    <w:p>
      <w:r>
        <w:t>Motivado por la no-convergencia del Avance 3, se reentrenó NLLB-200 en el servidor H100 de CENIA modificando únicamente épocas (3 → 8) y learning rate (5e-4 → 2e-4). Es el modelo seleccionado del proyecto.</w:t>
      </w:r>
    </w:p>
    <w:tbl>
      <w:tblPr>
        <w:tblStyle w:val="TableGrid"/>
        <w:tblW w:type="auto" w:w="0"/>
        <w:jc w:val="center"/>
        <w:tblLayout w:type="autofit"/>
        <w:tblLook w:firstColumn="1" w:firstRow="1" w:lastColumn="0" w:lastRow="0" w:noHBand="0" w:noVBand="1" w:val="04A0"/>
      </w:tblPr>
      <w:tblGrid>
        <w:gridCol w:w="1858"/>
        <w:gridCol w:w="1858"/>
        <w:gridCol w:w="1858"/>
        <w:gridCol w:w="1858"/>
        <w:gridCol w:w="1858"/>
      </w:tblGrid>
      <w:tr>
        <w:tc>
          <w:tcPr>
            <w:tcW w:type="dxa" w:w="1814"/>
            <w:vAlign w:val="center"/>
            <w:shd w:val="clear" w:color="auto" w:fill="DCE3F0"/>
          </w:tcPr>
          <w:p>
            <w:pPr>
              <w:spacing w:after="40" w:before="40" w:line="240" w:lineRule="auto"/>
              <w:jc w:val="center"/>
            </w:pPr>
            <w:r>
              <w:rPr>
                <w:rFonts w:ascii="Calibri" w:hAnsi="Calibri"/>
                <w:b/>
                <w:color w:val="0C2340"/>
                <w:sz w:val="19"/>
              </w:rPr>
              <w:t>Dirección</w:t>
            </w:r>
          </w:p>
        </w:tc>
        <w:tc>
          <w:tcPr>
            <w:tcW w:type="dxa" w:w="1871"/>
            <w:vAlign w:val="center"/>
            <w:shd w:val="clear" w:color="auto" w:fill="DCE3F0"/>
          </w:tcPr>
          <w:p>
            <w:pPr>
              <w:spacing w:after="40" w:before="40" w:line="240" w:lineRule="auto"/>
              <w:jc w:val="center"/>
            </w:pPr>
            <w:r>
              <w:rPr>
                <w:rFonts w:ascii="Calibri" w:hAnsi="Calibri"/>
                <w:b/>
                <w:color w:val="0C2340"/>
                <w:sz w:val="19"/>
              </w:rPr>
              <w:t>eval_loss ↓</w:t>
            </w:r>
          </w:p>
        </w:tc>
        <w:tc>
          <w:tcPr>
            <w:tcW w:type="dxa" w:w="1871"/>
            <w:vAlign w:val="center"/>
            <w:shd w:val="clear" w:color="auto" w:fill="DCE3F0"/>
          </w:tcPr>
          <w:p>
            <w:pPr>
              <w:spacing w:after="40" w:before="40" w:line="240" w:lineRule="auto"/>
              <w:jc w:val="center"/>
            </w:pPr>
            <w:r>
              <w:rPr>
                <w:rFonts w:ascii="Calibri" w:hAnsi="Calibri"/>
                <w:b/>
                <w:color w:val="0C2340"/>
                <w:sz w:val="19"/>
              </w:rPr>
              <w:t>spBLEU ↑</w:t>
            </w:r>
          </w:p>
        </w:tc>
        <w:tc>
          <w:tcPr>
            <w:tcW w:type="dxa" w:w="1871"/>
            <w:vAlign w:val="center"/>
            <w:shd w:val="clear" w:color="auto" w:fill="DCE3F0"/>
          </w:tcPr>
          <w:p>
            <w:pPr>
              <w:spacing w:after="40" w:before="40" w:line="240" w:lineRule="auto"/>
              <w:jc w:val="center"/>
            </w:pPr>
            <w:r>
              <w:rPr>
                <w:rFonts w:ascii="Calibri" w:hAnsi="Calibri"/>
                <w:b/>
                <w:color w:val="0C2340"/>
                <w:sz w:val="19"/>
              </w:rPr>
              <w:t>chrF ↑</w:t>
            </w:r>
          </w:p>
        </w:tc>
        <w:tc>
          <w:tcPr>
            <w:tcW w:type="dxa" w:w="1871"/>
            <w:vAlign w:val="center"/>
            <w:shd w:val="clear" w:color="auto" w:fill="DCE3F0"/>
          </w:tcPr>
          <w:p>
            <w:pPr>
              <w:spacing w:after="40" w:before="40" w:line="240" w:lineRule="auto"/>
              <w:jc w:val="center"/>
            </w:pPr>
            <w:r>
              <w:rPr>
                <w:rFonts w:ascii="Calibri" w:hAnsi="Calibri"/>
                <w:b/>
                <w:color w:val="0C2340"/>
                <w:sz w:val="19"/>
              </w:rPr>
              <w:t>chrF++ ↑</w:t>
            </w:r>
          </w:p>
        </w:tc>
      </w:tr>
      <w:tr>
        <w:tc>
          <w:tcPr>
            <w:tcW w:type="dxa" w:w="1814"/>
            <w:vAlign w:val="center"/>
          </w:tcPr>
          <w:p>
            <w:pPr>
              <w:spacing w:after="40" w:before="40" w:line="240" w:lineRule="auto"/>
              <w:jc w:val="left"/>
            </w:pPr>
            <w:r>
              <w:rPr>
                <w:rFonts w:ascii="Calibri" w:hAnsi="Calibri"/>
                <w:b w:val="0"/>
                <w:sz w:val="19"/>
              </w:rPr>
              <w:t>es → bri</w:t>
            </w:r>
          </w:p>
        </w:tc>
        <w:tc>
          <w:tcPr>
            <w:tcW w:type="dxa" w:w="1871"/>
            <w:vAlign w:val="center"/>
          </w:tcPr>
          <w:p>
            <w:pPr>
              <w:spacing w:after="40" w:before="40" w:line="240" w:lineRule="auto"/>
              <w:jc w:val="center"/>
            </w:pPr>
            <w:r>
              <w:rPr>
                <w:rFonts w:ascii="Calibri" w:hAnsi="Calibri"/>
                <w:b w:val="0"/>
                <w:sz w:val="19"/>
              </w:rPr>
              <w:t>2.674</w:t>
            </w:r>
          </w:p>
        </w:tc>
        <w:tc>
          <w:tcPr>
            <w:tcW w:type="dxa" w:w="1871"/>
            <w:vAlign w:val="center"/>
          </w:tcPr>
          <w:p>
            <w:pPr>
              <w:spacing w:after="40" w:before="40" w:line="240" w:lineRule="auto"/>
              <w:jc w:val="center"/>
            </w:pPr>
            <w:r>
              <w:rPr>
                <w:rFonts w:ascii="Calibri" w:hAnsi="Calibri"/>
                <w:b w:val="0"/>
                <w:sz w:val="19"/>
              </w:rPr>
              <w:t>28.74</w:t>
            </w:r>
          </w:p>
        </w:tc>
        <w:tc>
          <w:tcPr>
            <w:tcW w:type="dxa" w:w="1871"/>
            <w:vAlign w:val="center"/>
          </w:tcPr>
          <w:p>
            <w:pPr>
              <w:spacing w:after="40" w:before="40" w:line="240" w:lineRule="auto"/>
              <w:jc w:val="center"/>
            </w:pPr>
            <w:r>
              <w:rPr>
                <w:rFonts w:ascii="Calibri" w:hAnsi="Calibri"/>
                <w:b w:val="0"/>
                <w:sz w:val="19"/>
              </w:rPr>
              <w:t>32.86</w:t>
            </w:r>
          </w:p>
        </w:tc>
        <w:tc>
          <w:tcPr>
            <w:tcW w:type="dxa" w:w="1871"/>
            <w:vAlign w:val="center"/>
          </w:tcPr>
          <w:p>
            <w:pPr>
              <w:spacing w:after="40" w:before="40" w:line="240" w:lineRule="auto"/>
              <w:jc w:val="center"/>
            </w:pPr>
            <w:r>
              <w:rPr>
                <w:rFonts w:ascii="Calibri" w:hAnsi="Calibri"/>
                <w:b w:val="0"/>
                <w:sz w:val="19"/>
              </w:rPr>
              <w:t>32.35</w:t>
            </w:r>
          </w:p>
        </w:tc>
      </w:tr>
      <w:tr>
        <w:tc>
          <w:tcPr>
            <w:tcW w:type="dxa" w:w="1814"/>
            <w:vAlign w:val="center"/>
          </w:tcPr>
          <w:p>
            <w:pPr>
              <w:spacing w:after="40" w:before="40" w:line="240" w:lineRule="auto"/>
              <w:jc w:val="left"/>
            </w:pPr>
            <w:r>
              <w:rPr>
                <w:rFonts w:ascii="Calibri" w:hAnsi="Calibri"/>
                <w:b w:val="0"/>
                <w:sz w:val="19"/>
              </w:rPr>
              <w:t>bri → es</w:t>
            </w:r>
          </w:p>
        </w:tc>
        <w:tc>
          <w:tcPr>
            <w:tcW w:type="dxa" w:w="1871"/>
            <w:vAlign w:val="center"/>
          </w:tcPr>
          <w:p>
            <w:pPr>
              <w:spacing w:after="40" w:before="40" w:line="240" w:lineRule="auto"/>
              <w:jc w:val="center"/>
            </w:pPr>
            <w:r>
              <w:rPr>
                <w:rFonts w:ascii="Calibri" w:hAnsi="Calibri"/>
                <w:b w:val="0"/>
                <w:sz w:val="19"/>
              </w:rPr>
              <w:t>3.657</w:t>
            </w:r>
          </w:p>
        </w:tc>
        <w:tc>
          <w:tcPr>
            <w:tcW w:type="dxa" w:w="1871"/>
            <w:vAlign w:val="center"/>
          </w:tcPr>
          <w:p>
            <w:pPr>
              <w:spacing w:after="40" w:before="40" w:line="240" w:lineRule="auto"/>
              <w:jc w:val="center"/>
            </w:pPr>
            <w:r>
              <w:rPr>
                <w:rFonts w:ascii="Calibri" w:hAnsi="Calibri"/>
                <w:b w:val="0"/>
                <w:sz w:val="19"/>
              </w:rPr>
              <w:t>13.57</w:t>
            </w:r>
          </w:p>
        </w:tc>
        <w:tc>
          <w:tcPr>
            <w:tcW w:type="dxa" w:w="1871"/>
            <w:vAlign w:val="center"/>
          </w:tcPr>
          <w:p>
            <w:pPr>
              <w:spacing w:after="40" w:before="40" w:line="240" w:lineRule="auto"/>
              <w:jc w:val="center"/>
            </w:pPr>
            <w:r>
              <w:rPr>
                <w:rFonts w:ascii="Calibri" w:hAnsi="Calibri"/>
                <w:b w:val="0"/>
                <w:sz w:val="19"/>
              </w:rPr>
              <w:t>30.00</w:t>
            </w:r>
          </w:p>
        </w:tc>
        <w:tc>
          <w:tcPr>
            <w:tcW w:type="dxa" w:w="1871"/>
            <w:vAlign w:val="center"/>
          </w:tcPr>
          <w:p>
            <w:pPr>
              <w:spacing w:after="40" w:before="40" w:line="240" w:lineRule="auto"/>
              <w:jc w:val="center"/>
            </w:pPr>
            <w:r>
              <w:rPr>
                <w:rFonts w:ascii="Calibri" w:hAnsi="Calibri"/>
                <w:b w:val="0"/>
                <w:sz w:val="19"/>
              </w:rPr>
              <w:t>28.58</w:t>
            </w:r>
          </w:p>
        </w:tc>
      </w:tr>
      <w:tr>
        <w:tc>
          <w:tcPr>
            <w:tcW w:type="dxa" w:w="1814"/>
            <w:vAlign w:val="center"/>
            <w:shd w:val="clear" w:color="auto" w:fill="EAF0FB"/>
          </w:tcPr>
          <w:p>
            <w:pPr>
              <w:spacing w:after="40" w:before="40" w:line="240" w:lineRule="auto"/>
              <w:jc w:val="left"/>
            </w:pPr>
            <w:r>
              <w:rPr>
                <w:rFonts w:ascii="Calibri" w:hAnsi="Calibri"/>
                <w:b/>
                <w:sz w:val="19"/>
              </w:rPr>
              <w:t>promedio</w:t>
            </w:r>
          </w:p>
        </w:tc>
        <w:tc>
          <w:tcPr>
            <w:tcW w:type="dxa" w:w="1871"/>
            <w:vAlign w:val="center"/>
            <w:shd w:val="clear" w:color="auto" w:fill="EAF0FB"/>
          </w:tcPr>
          <w:p>
            <w:pPr>
              <w:spacing w:after="40" w:before="40" w:line="240" w:lineRule="auto"/>
              <w:jc w:val="center"/>
            </w:pPr>
            <w:r>
              <w:rPr>
                <w:rFonts w:ascii="Calibri" w:hAnsi="Calibri"/>
                <w:b/>
                <w:sz w:val="19"/>
              </w:rPr>
              <w:t>3.166</w:t>
            </w:r>
          </w:p>
        </w:tc>
        <w:tc>
          <w:tcPr>
            <w:tcW w:type="dxa" w:w="1871"/>
            <w:vAlign w:val="center"/>
            <w:shd w:val="clear" w:color="auto" w:fill="EAF0FB"/>
          </w:tcPr>
          <w:p>
            <w:pPr>
              <w:spacing w:after="40" w:before="40" w:line="240" w:lineRule="auto"/>
              <w:jc w:val="center"/>
            </w:pPr>
            <w:r>
              <w:rPr>
                <w:rFonts w:ascii="Calibri" w:hAnsi="Calibri"/>
                <w:b/>
                <w:sz w:val="19"/>
              </w:rPr>
              <w:t>21.16</w:t>
            </w:r>
          </w:p>
        </w:tc>
        <w:tc>
          <w:tcPr>
            <w:tcW w:type="dxa" w:w="1871"/>
            <w:vAlign w:val="center"/>
            <w:shd w:val="clear" w:color="auto" w:fill="EAF0FB"/>
          </w:tcPr>
          <w:p>
            <w:pPr>
              <w:spacing w:after="40" w:before="40" w:line="240" w:lineRule="auto"/>
              <w:jc w:val="center"/>
            </w:pPr>
            <w:r>
              <w:rPr>
                <w:rFonts w:ascii="Calibri" w:hAnsi="Calibri"/>
                <w:b/>
                <w:sz w:val="19"/>
              </w:rPr>
              <w:t>31.43</w:t>
            </w:r>
          </w:p>
        </w:tc>
        <w:tc>
          <w:tcPr>
            <w:tcW w:type="dxa" w:w="1871"/>
            <w:vAlign w:val="center"/>
            <w:shd w:val="clear" w:color="auto" w:fill="EAF0FB"/>
          </w:tcPr>
          <w:p>
            <w:pPr>
              <w:spacing w:after="40" w:before="40" w:line="240" w:lineRule="auto"/>
              <w:jc w:val="center"/>
            </w:pPr>
            <w:r>
              <w:rPr>
                <w:rFonts w:ascii="Calibri" w:hAnsi="Calibri"/>
                <w:b/>
                <w:sz w:val="19"/>
              </w:rPr>
              <w:t>30.47</w:t>
            </w:r>
          </w:p>
        </w:tc>
      </w:tr>
    </w:tbl>
    <w:p>
      <w:pPr>
        <w:spacing w:after="40"/>
      </w:pPr>
    </w:p>
    <w:p>
      <w:r>
        <w:t>La mejora respecto al Avance 3 es sustancial: chrF +15.7 % (27.16 → 31.43), chrF++ +16.8 % y spBLEU +46.6 %. Las épocas adicionales que el Avance 3 no ejecutó son las que producen la ganancia: chrF++ mesetea recién hacia el paso 1300–1500, mucho después de donde la val loss toca su mínimo.</w:t>
      </w:r>
    </w:p>
    <w:p>
      <w:pPr>
        <w:spacing w:before="120"/>
        <w:jc w:val="center"/>
      </w:pPr>
      <w:r>
        <w:drawing>
          <wp:inline xmlns:a="http://schemas.openxmlformats.org/drawingml/2006/main" xmlns:pic="http://schemas.openxmlformats.org/drawingml/2006/picture">
            <wp:extent cx="5760720" cy="1280160"/>
            <wp:docPr id="3" name="Picture 3"/>
            <wp:cNvGraphicFramePr>
              <a:graphicFrameLocks noChangeAspect="1"/>
            </wp:cNvGraphicFramePr>
            <a:graphic>
              <a:graphicData uri="http://schemas.openxmlformats.org/drawingml/2006/picture">
                <pic:pic>
                  <pic:nvPicPr>
                    <pic:cNvPr id="0" name="training_curves_nllb_h100.png"/>
                    <pic:cNvPicPr/>
                  </pic:nvPicPr>
                  <pic:blipFill>
                    <a:blip r:embed="rId11"/>
                    <a:stretch>
                      <a:fillRect/>
                    </a:stretch>
                  </pic:blipFill>
                  <pic:spPr>
                    <a:xfrm>
                      <a:off x="0" y="0"/>
                      <a:ext cx="5760720" cy="1280160"/>
                    </a:xfrm>
                    <a:prstGeom prst="rect"/>
                  </pic:spPr>
                </pic:pic>
              </a:graphicData>
            </a:graphic>
          </wp:inline>
        </w:drawing>
      </w:r>
    </w:p>
    <w:p>
      <w:pPr>
        <w:spacing w:after="200"/>
        <w:jc w:val="center"/>
      </w:pPr>
      <w:r>
        <w:rPr>
          <w:i/>
          <w:color w:val="5A6068"/>
          <w:sz w:val="18"/>
        </w:rPr>
        <w:t>Figura 2. Curvas de entrenamiento NLLB-H100 (24 evaluaciones, 100→2400 pasos). chrF++ sigue subiendo mucho después del mínimo de la val loss.</w:t>
      </w:r>
    </w:p>
    <w:p>
      <w:pPr>
        <w:pStyle w:val="Heading2"/>
      </w:pPr>
      <w:r>
        <w:t>6.3 El fenómeno del val loss creciente</w:t>
      </w:r>
    </w:p>
    <w:p>
      <w:r>
        <w:t>Un resultado contraintuitivo y central: la corrida H100 tiene peor eval_loss (3.17 vs 2.60) y al mismo tiempo mejor chrF/spBLEU. No es un error, sino el comportamiento conocido del entrenamiento prolongado de modelos de generación. La cross-entropy de validación penaliza la confianza del modelo: al entrenar más épocas produce distribuciones más picudas (sobreconfiadas), de modo que cuando falla la penalización es mayor y la CE media sube. En cambio chrF/spBLEU miden el texto generado por decodificación, no la probabilidad token a token. La conclusión metodológica es que, en regímenes de bajo recurso, chrF/chrF++ deben gobernar la selección del modelo, no el val loss: seleccionar por val loss habría descartado el mejor modelo de traducción. Como efecto secundario, los bucles de repetición degenerada del Avance 3 desaparecen en la corrida H100.</w:t>
      </w:r>
    </w:p>
    <w:p>
      <w:pPr>
        <w:pStyle w:val="Heading2"/>
      </w:pPr>
      <w:r>
        <w:t>6.4 Baseline comparativo M2M-100 (418M)</w:t>
      </w:r>
    </w:p>
    <w:p>
      <w:r>
        <w:t>Para validar empíricamente la elección de NLLB-200 se fine-tuneó M2M-100 (Meta) con idéntico pipeline, splits y métricas, y los mismos hiperparámetros del Avance 3. M2M-100 cubre 100 idiomas y no incluye ninguna lengua indígena americana; se usó br (bretón) como proxy. El resultado es drásticamente inferior y reincide en bucles de repetición masivos.</w:t>
      </w:r>
    </w:p>
    <w:tbl>
      <w:tblPr>
        <w:tblStyle w:val="TableGrid"/>
        <w:tblW w:type="auto" w:w="0"/>
        <w:jc w:val="center"/>
        <w:tblLayout w:type="autofit"/>
        <w:tblLook w:firstColumn="1" w:firstRow="1" w:lastColumn="0" w:lastRow="0" w:noHBand="0" w:noVBand="1" w:val="04A0"/>
      </w:tblPr>
      <w:tblGrid>
        <w:gridCol w:w="1858"/>
        <w:gridCol w:w="1858"/>
        <w:gridCol w:w="1858"/>
        <w:gridCol w:w="1858"/>
        <w:gridCol w:w="1858"/>
      </w:tblGrid>
      <w:tr>
        <w:tc>
          <w:tcPr>
            <w:tcW w:type="dxa" w:w="1814"/>
            <w:vAlign w:val="center"/>
            <w:shd w:val="clear" w:color="auto" w:fill="DCE3F0"/>
          </w:tcPr>
          <w:p>
            <w:pPr>
              <w:spacing w:after="40" w:before="40" w:line="240" w:lineRule="auto"/>
              <w:jc w:val="center"/>
            </w:pPr>
            <w:r>
              <w:rPr>
                <w:rFonts w:ascii="Calibri" w:hAnsi="Calibri"/>
                <w:b/>
                <w:color w:val="0C2340"/>
                <w:sz w:val="19"/>
              </w:rPr>
              <w:t>Dirección</w:t>
            </w:r>
          </w:p>
        </w:tc>
        <w:tc>
          <w:tcPr>
            <w:tcW w:type="dxa" w:w="1871"/>
            <w:vAlign w:val="center"/>
            <w:shd w:val="clear" w:color="auto" w:fill="DCE3F0"/>
          </w:tcPr>
          <w:p>
            <w:pPr>
              <w:spacing w:after="40" w:before="40" w:line="240" w:lineRule="auto"/>
              <w:jc w:val="center"/>
            </w:pPr>
            <w:r>
              <w:rPr>
                <w:rFonts w:ascii="Calibri" w:hAnsi="Calibri"/>
                <w:b/>
                <w:color w:val="0C2340"/>
                <w:sz w:val="19"/>
              </w:rPr>
              <w:t>eval_loss ↓</w:t>
            </w:r>
          </w:p>
        </w:tc>
        <w:tc>
          <w:tcPr>
            <w:tcW w:type="dxa" w:w="1871"/>
            <w:vAlign w:val="center"/>
            <w:shd w:val="clear" w:color="auto" w:fill="DCE3F0"/>
          </w:tcPr>
          <w:p>
            <w:pPr>
              <w:spacing w:after="40" w:before="40" w:line="240" w:lineRule="auto"/>
              <w:jc w:val="center"/>
            </w:pPr>
            <w:r>
              <w:rPr>
                <w:rFonts w:ascii="Calibri" w:hAnsi="Calibri"/>
                <w:b/>
                <w:color w:val="0C2340"/>
                <w:sz w:val="19"/>
              </w:rPr>
              <w:t>spBLEU ↑</w:t>
            </w:r>
          </w:p>
        </w:tc>
        <w:tc>
          <w:tcPr>
            <w:tcW w:type="dxa" w:w="1871"/>
            <w:vAlign w:val="center"/>
            <w:shd w:val="clear" w:color="auto" w:fill="DCE3F0"/>
          </w:tcPr>
          <w:p>
            <w:pPr>
              <w:spacing w:after="40" w:before="40" w:line="240" w:lineRule="auto"/>
              <w:jc w:val="center"/>
            </w:pPr>
            <w:r>
              <w:rPr>
                <w:rFonts w:ascii="Calibri" w:hAnsi="Calibri"/>
                <w:b/>
                <w:color w:val="0C2340"/>
                <w:sz w:val="19"/>
              </w:rPr>
              <w:t>chrF ↑</w:t>
            </w:r>
          </w:p>
        </w:tc>
        <w:tc>
          <w:tcPr>
            <w:tcW w:type="dxa" w:w="1871"/>
            <w:vAlign w:val="center"/>
            <w:shd w:val="clear" w:color="auto" w:fill="DCE3F0"/>
          </w:tcPr>
          <w:p>
            <w:pPr>
              <w:spacing w:after="40" w:before="40" w:line="240" w:lineRule="auto"/>
              <w:jc w:val="center"/>
            </w:pPr>
            <w:r>
              <w:rPr>
                <w:rFonts w:ascii="Calibri" w:hAnsi="Calibri"/>
                <w:b/>
                <w:color w:val="0C2340"/>
                <w:sz w:val="19"/>
              </w:rPr>
              <w:t>chrF++ ↑</w:t>
            </w:r>
          </w:p>
        </w:tc>
      </w:tr>
      <w:tr>
        <w:tc>
          <w:tcPr>
            <w:tcW w:type="dxa" w:w="1814"/>
            <w:vAlign w:val="center"/>
          </w:tcPr>
          <w:p>
            <w:pPr>
              <w:spacing w:after="40" w:before="40" w:line="240" w:lineRule="auto"/>
              <w:jc w:val="left"/>
            </w:pPr>
            <w:r>
              <w:rPr>
                <w:rFonts w:ascii="Calibri" w:hAnsi="Calibri"/>
                <w:b w:val="0"/>
                <w:sz w:val="19"/>
              </w:rPr>
              <w:t>es → bri</w:t>
            </w:r>
          </w:p>
        </w:tc>
        <w:tc>
          <w:tcPr>
            <w:tcW w:type="dxa" w:w="1871"/>
            <w:vAlign w:val="center"/>
          </w:tcPr>
          <w:p>
            <w:pPr>
              <w:spacing w:after="40" w:before="40" w:line="240" w:lineRule="auto"/>
              <w:jc w:val="center"/>
            </w:pPr>
            <w:r>
              <w:rPr>
                <w:rFonts w:ascii="Calibri" w:hAnsi="Calibri"/>
                <w:b w:val="0"/>
                <w:sz w:val="19"/>
              </w:rPr>
              <w:t>2.901</w:t>
            </w:r>
          </w:p>
        </w:tc>
        <w:tc>
          <w:tcPr>
            <w:tcW w:type="dxa" w:w="1871"/>
            <w:vAlign w:val="center"/>
          </w:tcPr>
          <w:p>
            <w:pPr>
              <w:spacing w:after="40" w:before="40" w:line="240" w:lineRule="auto"/>
              <w:jc w:val="center"/>
            </w:pPr>
            <w:r>
              <w:rPr>
                <w:rFonts w:ascii="Calibri" w:hAnsi="Calibri"/>
                <w:b w:val="0"/>
                <w:sz w:val="19"/>
              </w:rPr>
              <w:t>2.45</w:t>
            </w:r>
          </w:p>
        </w:tc>
        <w:tc>
          <w:tcPr>
            <w:tcW w:type="dxa" w:w="1871"/>
            <w:vAlign w:val="center"/>
          </w:tcPr>
          <w:p>
            <w:pPr>
              <w:spacing w:after="40" w:before="40" w:line="240" w:lineRule="auto"/>
              <w:jc w:val="center"/>
            </w:pPr>
            <w:r>
              <w:rPr>
                <w:rFonts w:ascii="Calibri" w:hAnsi="Calibri"/>
                <w:b w:val="0"/>
                <w:sz w:val="19"/>
              </w:rPr>
              <w:t>10.49</w:t>
            </w:r>
          </w:p>
        </w:tc>
        <w:tc>
          <w:tcPr>
            <w:tcW w:type="dxa" w:w="1871"/>
            <w:vAlign w:val="center"/>
          </w:tcPr>
          <w:p>
            <w:pPr>
              <w:spacing w:after="40" w:before="40" w:line="240" w:lineRule="auto"/>
              <w:jc w:val="center"/>
            </w:pPr>
            <w:r>
              <w:rPr>
                <w:rFonts w:ascii="Calibri" w:hAnsi="Calibri"/>
                <w:b w:val="0"/>
                <w:sz w:val="19"/>
              </w:rPr>
              <w:t>9.40</w:t>
            </w:r>
          </w:p>
        </w:tc>
      </w:tr>
      <w:tr>
        <w:tc>
          <w:tcPr>
            <w:tcW w:type="dxa" w:w="1814"/>
            <w:vAlign w:val="center"/>
          </w:tcPr>
          <w:p>
            <w:pPr>
              <w:spacing w:after="40" w:before="40" w:line="240" w:lineRule="auto"/>
              <w:jc w:val="left"/>
            </w:pPr>
            <w:r>
              <w:rPr>
                <w:rFonts w:ascii="Calibri" w:hAnsi="Calibri"/>
                <w:b w:val="0"/>
                <w:sz w:val="19"/>
              </w:rPr>
              <w:t>bri → es</w:t>
            </w:r>
          </w:p>
        </w:tc>
        <w:tc>
          <w:tcPr>
            <w:tcW w:type="dxa" w:w="1871"/>
            <w:vAlign w:val="center"/>
          </w:tcPr>
          <w:p>
            <w:pPr>
              <w:spacing w:after="40" w:before="40" w:line="240" w:lineRule="auto"/>
              <w:jc w:val="center"/>
            </w:pPr>
            <w:r>
              <w:rPr>
                <w:rFonts w:ascii="Calibri" w:hAnsi="Calibri"/>
                <w:b w:val="0"/>
                <w:sz w:val="19"/>
              </w:rPr>
              <w:t>4.348</w:t>
            </w:r>
          </w:p>
        </w:tc>
        <w:tc>
          <w:tcPr>
            <w:tcW w:type="dxa" w:w="1871"/>
            <w:vAlign w:val="center"/>
          </w:tcPr>
          <w:p>
            <w:pPr>
              <w:spacing w:after="40" w:before="40" w:line="240" w:lineRule="auto"/>
              <w:jc w:val="center"/>
            </w:pPr>
            <w:r>
              <w:rPr>
                <w:rFonts w:ascii="Calibri" w:hAnsi="Calibri"/>
                <w:b w:val="0"/>
                <w:sz w:val="19"/>
              </w:rPr>
              <w:t>0.20</w:t>
            </w:r>
          </w:p>
        </w:tc>
        <w:tc>
          <w:tcPr>
            <w:tcW w:type="dxa" w:w="1871"/>
            <w:vAlign w:val="center"/>
          </w:tcPr>
          <w:p>
            <w:pPr>
              <w:spacing w:after="40" w:before="40" w:line="240" w:lineRule="auto"/>
              <w:jc w:val="center"/>
            </w:pPr>
            <w:r>
              <w:rPr>
                <w:rFonts w:ascii="Calibri" w:hAnsi="Calibri"/>
                <w:b w:val="0"/>
                <w:sz w:val="19"/>
              </w:rPr>
              <w:t>8.27</w:t>
            </w:r>
          </w:p>
        </w:tc>
        <w:tc>
          <w:tcPr>
            <w:tcW w:type="dxa" w:w="1871"/>
            <w:vAlign w:val="center"/>
          </w:tcPr>
          <w:p>
            <w:pPr>
              <w:spacing w:after="40" w:before="40" w:line="240" w:lineRule="auto"/>
              <w:jc w:val="center"/>
            </w:pPr>
            <w:r>
              <w:rPr>
                <w:rFonts w:ascii="Calibri" w:hAnsi="Calibri"/>
                <w:b w:val="0"/>
                <w:sz w:val="19"/>
              </w:rPr>
              <w:t>7.26</w:t>
            </w:r>
          </w:p>
        </w:tc>
      </w:tr>
      <w:tr>
        <w:tc>
          <w:tcPr>
            <w:tcW w:type="dxa" w:w="1814"/>
            <w:vAlign w:val="center"/>
            <w:shd w:val="clear" w:color="auto" w:fill="EAF0FB"/>
          </w:tcPr>
          <w:p>
            <w:pPr>
              <w:spacing w:after="40" w:before="40" w:line="240" w:lineRule="auto"/>
              <w:jc w:val="left"/>
            </w:pPr>
            <w:r>
              <w:rPr>
                <w:rFonts w:ascii="Calibri" w:hAnsi="Calibri"/>
                <w:b/>
                <w:sz w:val="19"/>
              </w:rPr>
              <w:t>promedio</w:t>
            </w:r>
          </w:p>
        </w:tc>
        <w:tc>
          <w:tcPr>
            <w:tcW w:type="dxa" w:w="1871"/>
            <w:vAlign w:val="center"/>
            <w:shd w:val="clear" w:color="auto" w:fill="EAF0FB"/>
          </w:tcPr>
          <w:p>
            <w:pPr>
              <w:spacing w:after="40" w:before="40" w:line="240" w:lineRule="auto"/>
              <w:jc w:val="center"/>
            </w:pPr>
            <w:r>
              <w:rPr>
                <w:rFonts w:ascii="Calibri" w:hAnsi="Calibri"/>
                <w:b/>
                <w:sz w:val="19"/>
              </w:rPr>
              <w:t>3.624</w:t>
            </w:r>
          </w:p>
        </w:tc>
        <w:tc>
          <w:tcPr>
            <w:tcW w:type="dxa" w:w="1871"/>
            <w:vAlign w:val="center"/>
            <w:shd w:val="clear" w:color="auto" w:fill="EAF0FB"/>
          </w:tcPr>
          <w:p>
            <w:pPr>
              <w:spacing w:after="40" w:before="40" w:line="240" w:lineRule="auto"/>
              <w:jc w:val="center"/>
            </w:pPr>
            <w:r>
              <w:rPr>
                <w:rFonts w:ascii="Calibri" w:hAnsi="Calibri"/>
                <w:b/>
                <w:sz w:val="19"/>
              </w:rPr>
              <w:t>1.33</w:t>
            </w:r>
          </w:p>
        </w:tc>
        <w:tc>
          <w:tcPr>
            <w:tcW w:type="dxa" w:w="1871"/>
            <w:vAlign w:val="center"/>
            <w:shd w:val="clear" w:color="auto" w:fill="EAF0FB"/>
          </w:tcPr>
          <w:p>
            <w:pPr>
              <w:spacing w:after="40" w:before="40" w:line="240" w:lineRule="auto"/>
              <w:jc w:val="center"/>
            </w:pPr>
            <w:r>
              <w:rPr>
                <w:rFonts w:ascii="Calibri" w:hAnsi="Calibri"/>
                <w:b/>
                <w:sz w:val="19"/>
              </w:rPr>
              <w:t>9.38</w:t>
            </w:r>
          </w:p>
        </w:tc>
        <w:tc>
          <w:tcPr>
            <w:tcW w:type="dxa" w:w="1871"/>
            <w:vAlign w:val="center"/>
            <w:shd w:val="clear" w:color="auto" w:fill="EAF0FB"/>
          </w:tcPr>
          <w:p>
            <w:pPr>
              <w:spacing w:after="40" w:before="40" w:line="240" w:lineRule="auto"/>
              <w:jc w:val="center"/>
            </w:pPr>
            <w:r>
              <w:rPr>
                <w:rFonts w:ascii="Calibri" w:hAnsi="Calibri"/>
                <w:b/>
                <w:sz w:val="19"/>
              </w:rPr>
              <w:t>8.33</w:t>
            </w:r>
          </w:p>
        </w:tc>
      </w:tr>
    </w:tbl>
    <w:p>
      <w:pPr>
        <w:spacing w:after="40"/>
      </w:pPr>
    </w:p>
    <w:p>
      <w:pPr>
        <w:pStyle w:val="Heading2"/>
      </w:pPr>
      <w:r>
        <w:t>6.5 Comparación de las tres corridas</w:t>
      </w:r>
    </w:p>
    <w:tbl>
      <w:tblPr>
        <w:tblStyle w:val="TableGrid"/>
        <w:tblW w:type="auto" w:w="0"/>
        <w:jc w:val="center"/>
        <w:tblLayout w:type="autofit"/>
        <w:tblLook w:firstColumn="1" w:firstRow="1" w:lastColumn="0" w:lastRow="0" w:noHBand="0" w:noVBand="1" w:val="04A0"/>
      </w:tblPr>
      <w:tblGrid>
        <w:gridCol w:w="1549"/>
        <w:gridCol w:w="1549"/>
        <w:gridCol w:w="1549"/>
        <w:gridCol w:w="1549"/>
        <w:gridCol w:w="1549"/>
        <w:gridCol w:w="1549"/>
      </w:tblGrid>
      <w:tr>
        <w:tc>
          <w:tcPr>
            <w:tcW w:type="dxa" w:w="2041"/>
            <w:vAlign w:val="center"/>
            <w:shd w:val="clear" w:color="auto" w:fill="DCE3F0"/>
          </w:tcPr>
          <w:p>
            <w:pPr>
              <w:spacing w:after="40" w:before="40" w:line="240" w:lineRule="auto"/>
              <w:jc w:val="center"/>
            </w:pPr>
            <w:r>
              <w:rPr>
                <w:rFonts w:ascii="Calibri" w:hAnsi="Calibri"/>
                <w:b/>
                <w:color w:val="0C2340"/>
                <w:sz w:val="19"/>
              </w:rPr>
              <w:t>Modelo</w:t>
            </w:r>
          </w:p>
        </w:tc>
        <w:tc>
          <w:tcPr>
            <w:tcW w:type="dxa" w:w="1701"/>
            <w:vAlign w:val="center"/>
            <w:shd w:val="clear" w:color="auto" w:fill="DCE3F0"/>
          </w:tcPr>
          <w:p>
            <w:pPr>
              <w:spacing w:after="40" w:before="40" w:line="240" w:lineRule="auto"/>
              <w:jc w:val="center"/>
            </w:pPr>
            <w:r>
              <w:rPr>
                <w:rFonts w:ascii="Calibri" w:hAnsi="Calibri"/>
                <w:b/>
                <w:color w:val="0C2340"/>
                <w:sz w:val="19"/>
              </w:rPr>
              <w:t>Configuración</w:t>
            </w:r>
          </w:p>
        </w:tc>
        <w:tc>
          <w:tcPr>
            <w:tcW w:type="dxa" w:w="1417"/>
            <w:vAlign w:val="center"/>
            <w:shd w:val="clear" w:color="auto" w:fill="DCE3F0"/>
          </w:tcPr>
          <w:p>
            <w:pPr>
              <w:spacing w:after="40" w:before="40" w:line="240" w:lineRule="auto"/>
              <w:jc w:val="center"/>
            </w:pPr>
            <w:r>
              <w:rPr>
                <w:rFonts w:ascii="Calibri" w:hAnsi="Calibri"/>
                <w:b/>
                <w:color w:val="0C2340"/>
                <w:sz w:val="19"/>
              </w:rPr>
              <w:t>spBLEU ↑</w:t>
            </w:r>
          </w:p>
        </w:tc>
        <w:tc>
          <w:tcPr>
            <w:tcW w:type="dxa" w:w="1361"/>
            <w:vAlign w:val="center"/>
            <w:shd w:val="clear" w:color="auto" w:fill="DCE3F0"/>
          </w:tcPr>
          <w:p>
            <w:pPr>
              <w:spacing w:after="40" w:before="40" w:line="240" w:lineRule="auto"/>
              <w:jc w:val="center"/>
            </w:pPr>
            <w:r>
              <w:rPr>
                <w:rFonts w:ascii="Calibri" w:hAnsi="Calibri"/>
                <w:b/>
                <w:color w:val="0C2340"/>
                <w:sz w:val="19"/>
              </w:rPr>
              <w:t>chrF ↑</w:t>
            </w:r>
          </w:p>
        </w:tc>
        <w:tc>
          <w:tcPr>
            <w:tcW w:type="dxa" w:w="1417"/>
            <w:vAlign w:val="center"/>
            <w:shd w:val="clear" w:color="auto" w:fill="DCE3F0"/>
          </w:tcPr>
          <w:p>
            <w:pPr>
              <w:spacing w:after="40" w:before="40" w:line="240" w:lineRule="auto"/>
              <w:jc w:val="center"/>
            </w:pPr>
            <w:r>
              <w:rPr>
                <w:rFonts w:ascii="Calibri" w:hAnsi="Calibri"/>
                <w:b/>
                <w:color w:val="0C2340"/>
                <w:sz w:val="19"/>
              </w:rPr>
              <w:t>chrF++ ↑</w:t>
            </w:r>
          </w:p>
        </w:tc>
        <w:tc>
          <w:tcPr>
            <w:tcW w:type="dxa" w:w="1417"/>
            <w:vAlign w:val="center"/>
            <w:shd w:val="clear" w:color="auto" w:fill="DCE3F0"/>
          </w:tcPr>
          <w:p>
            <w:pPr>
              <w:spacing w:after="40" w:before="40" w:line="240" w:lineRule="auto"/>
              <w:jc w:val="center"/>
            </w:pPr>
            <w:r>
              <w:rPr>
                <w:rFonts w:ascii="Calibri" w:hAnsi="Calibri"/>
                <w:b/>
                <w:color w:val="0C2340"/>
                <w:sz w:val="19"/>
              </w:rPr>
              <w:t>val_loss ↓</w:t>
            </w:r>
          </w:p>
        </w:tc>
      </w:tr>
      <w:tr>
        <w:tc>
          <w:tcPr>
            <w:tcW w:type="dxa" w:w="2041"/>
            <w:vAlign w:val="center"/>
            <w:shd w:val="clear" w:color="auto" w:fill="EAF0FB"/>
          </w:tcPr>
          <w:p>
            <w:pPr>
              <w:spacing w:after="40" w:before="40" w:line="240" w:lineRule="auto"/>
              <w:jc w:val="left"/>
            </w:pPr>
            <w:r>
              <w:rPr>
                <w:rFonts w:ascii="Calibri" w:hAnsi="Calibri"/>
                <w:b/>
                <w:sz w:val="19"/>
              </w:rPr>
              <w:t>NLLB-200 (H100)</w:t>
            </w:r>
          </w:p>
        </w:tc>
        <w:tc>
          <w:tcPr>
            <w:tcW w:type="dxa" w:w="1701"/>
            <w:vAlign w:val="center"/>
            <w:shd w:val="clear" w:color="auto" w:fill="EAF0FB"/>
          </w:tcPr>
          <w:p>
            <w:pPr>
              <w:spacing w:after="40" w:before="40" w:line="240" w:lineRule="auto"/>
              <w:jc w:val="left"/>
            </w:pPr>
            <w:r>
              <w:rPr>
                <w:rFonts w:ascii="Calibri" w:hAnsi="Calibri"/>
                <w:b/>
                <w:sz w:val="19"/>
              </w:rPr>
              <w:t>8 ep · lr 2e-4</w:t>
            </w:r>
          </w:p>
        </w:tc>
        <w:tc>
          <w:tcPr>
            <w:tcW w:type="dxa" w:w="1417"/>
            <w:vAlign w:val="center"/>
            <w:shd w:val="clear" w:color="auto" w:fill="EAF0FB"/>
          </w:tcPr>
          <w:p>
            <w:pPr>
              <w:spacing w:after="40" w:before="40" w:line="240" w:lineRule="auto"/>
              <w:jc w:val="center"/>
            </w:pPr>
            <w:r>
              <w:rPr>
                <w:rFonts w:ascii="Calibri" w:hAnsi="Calibri"/>
                <w:b/>
                <w:sz w:val="19"/>
              </w:rPr>
              <w:t>21.16</w:t>
            </w:r>
          </w:p>
        </w:tc>
        <w:tc>
          <w:tcPr>
            <w:tcW w:type="dxa" w:w="1361"/>
            <w:vAlign w:val="center"/>
            <w:shd w:val="clear" w:color="auto" w:fill="EAF0FB"/>
          </w:tcPr>
          <w:p>
            <w:pPr>
              <w:spacing w:after="40" w:before="40" w:line="240" w:lineRule="auto"/>
              <w:jc w:val="center"/>
            </w:pPr>
            <w:r>
              <w:rPr>
                <w:rFonts w:ascii="Calibri" w:hAnsi="Calibri"/>
                <w:b/>
                <w:sz w:val="19"/>
              </w:rPr>
              <w:t>31.43</w:t>
            </w:r>
          </w:p>
        </w:tc>
        <w:tc>
          <w:tcPr>
            <w:tcW w:type="dxa" w:w="1417"/>
            <w:vAlign w:val="center"/>
            <w:shd w:val="clear" w:color="auto" w:fill="EAF0FB"/>
          </w:tcPr>
          <w:p>
            <w:pPr>
              <w:spacing w:after="40" w:before="40" w:line="240" w:lineRule="auto"/>
              <w:jc w:val="center"/>
            </w:pPr>
            <w:r>
              <w:rPr>
                <w:rFonts w:ascii="Calibri" w:hAnsi="Calibri"/>
                <w:b/>
                <w:sz w:val="19"/>
              </w:rPr>
              <w:t>30.47</w:t>
            </w:r>
          </w:p>
        </w:tc>
        <w:tc>
          <w:tcPr>
            <w:tcW w:type="dxa" w:w="1417"/>
            <w:vAlign w:val="center"/>
            <w:shd w:val="clear" w:color="auto" w:fill="EAF0FB"/>
          </w:tcPr>
          <w:p>
            <w:pPr>
              <w:spacing w:after="40" w:before="40" w:line="240" w:lineRule="auto"/>
              <w:jc w:val="center"/>
            </w:pPr>
            <w:r>
              <w:rPr>
                <w:rFonts w:ascii="Calibri" w:hAnsi="Calibri"/>
                <w:b/>
                <w:sz w:val="19"/>
              </w:rPr>
              <w:t>3.17</w:t>
            </w:r>
          </w:p>
        </w:tc>
      </w:tr>
      <w:tr>
        <w:tc>
          <w:tcPr>
            <w:tcW w:type="dxa" w:w="2041"/>
            <w:vAlign w:val="center"/>
          </w:tcPr>
          <w:p>
            <w:pPr>
              <w:spacing w:after="40" w:before="40" w:line="240" w:lineRule="auto"/>
              <w:jc w:val="left"/>
            </w:pPr>
            <w:r>
              <w:rPr>
                <w:rFonts w:ascii="Calibri" w:hAnsi="Calibri"/>
                <w:b w:val="0"/>
                <w:sz w:val="19"/>
              </w:rPr>
              <w:t>NLLB-200 (Colab)</w:t>
            </w:r>
          </w:p>
        </w:tc>
        <w:tc>
          <w:tcPr>
            <w:tcW w:type="dxa" w:w="1701"/>
            <w:vAlign w:val="center"/>
          </w:tcPr>
          <w:p>
            <w:pPr>
              <w:spacing w:after="40" w:before="40" w:line="240" w:lineRule="auto"/>
              <w:jc w:val="left"/>
            </w:pPr>
            <w:r>
              <w:rPr>
                <w:rFonts w:ascii="Calibri" w:hAnsi="Calibri"/>
                <w:b w:val="0"/>
                <w:sz w:val="19"/>
              </w:rPr>
              <w:t>3 ep · lr 5e-4</w:t>
            </w:r>
          </w:p>
        </w:tc>
        <w:tc>
          <w:tcPr>
            <w:tcW w:type="dxa" w:w="1417"/>
            <w:vAlign w:val="center"/>
          </w:tcPr>
          <w:p>
            <w:pPr>
              <w:spacing w:after="40" w:before="40" w:line="240" w:lineRule="auto"/>
              <w:jc w:val="center"/>
            </w:pPr>
            <w:r>
              <w:rPr>
                <w:rFonts w:ascii="Calibri" w:hAnsi="Calibri"/>
                <w:b w:val="0"/>
                <w:sz w:val="19"/>
              </w:rPr>
              <w:t>14.43</w:t>
            </w:r>
          </w:p>
        </w:tc>
        <w:tc>
          <w:tcPr>
            <w:tcW w:type="dxa" w:w="1361"/>
            <w:vAlign w:val="center"/>
          </w:tcPr>
          <w:p>
            <w:pPr>
              <w:spacing w:after="40" w:before="40" w:line="240" w:lineRule="auto"/>
              <w:jc w:val="center"/>
            </w:pPr>
            <w:r>
              <w:rPr>
                <w:rFonts w:ascii="Calibri" w:hAnsi="Calibri"/>
                <w:b w:val="0"/>
                <w:sz w:val="19"/>
              </w:rPr>
              <w:t>27.16</w:t>
            </w:r>
          </w:p>
        </w:tc>
        <w:tc>
          <w:tcPr>
            <w:tcW w:type="dxa" w:w="1417"/>
            <w:vAlign w:val="center"/>
          </w:tcPr>
          <w:p>
            <w:pPr>
              <w:spacing w:after="40" w:before="40" w:line="240" w:lineRule="auto"/>
              <w:jc w:val="center"/>
            </w:pPr>
            <w:r>
              <w:rPr>
                <w:rFonts w:ascii="Calibri" w:hAnsi="Calibri"/>
                <w:b w:val="0"/>
                <w:sz w:val="19"/>
              </w:rPr>
              <w:t>26.09</w:t>
            </w:r>
          </w:p>
        </w:tc>
        <w:tc>
          <w:tcPr>
            <w:tcW w:type="dxa" w:w="1417"/>
            <w:vAlign w:val="center"/>
          </w:tcPr>
          <w:p>
            <w:pPr>
              <w:spacing w:after="40" w:before="40" w:line="240" w:lineRule="auto"/>
              <w:jc w:val="center"/>
            </w:pPr>
            <w:r>
              <w:rPr>
                <w:rFonts w:ascii="Calibri" w:hAnsi="Calibri"/>
                <w:b w:val="0"/>
                <w:sz w:val="19"/>
              </w:rPr>
              <w:t>2.60</w:t>
            </w:r>
          </w:p>
        </w:tc>
      </w:tr>
      <w:tr>
        <w:tc>
          <w:tcPr>
            <w:tcW w:type="dxa" w:w="2041"/>
            <w:vAlign w:val="center"/>
          </w:tcPr>
          <w:p>
            <w:pPr>
              <w:spacing w:after="40" w:before="40" w:line="240" w:lineRule="auto"/>
              <w:jc w:val="left"/>
            </w:pPr>
            <w:r>
              <w:rPr>
                <w:rFonts w:ascii="Calibri" w:hAnsi="Calibri"/>
                <w:b w:val="0"/>
                <w:sz w:val="19"/>
              </w:rPr>
              <w:t>M2M-100</w:t>
            </w:r>
          </w:p>
        </w:tc>
        <w:tc>
          <w:tcPr>
            <w:tcW w:type="dxa" w:w="1701"/>
            <w:vAlign w:val="center"/>
          </w:tcPr>
          <w:p>
            <w:pPr>
              <w:spacing w:after="40" w:before="40" w:line="240" w:lineRule="auto"/>
              <w:jc w:val="left"/>
            </w:pPr>
            <w:r>
              <w:rPr>
                <w:rFonts w:ascii="Calibri" w:hAnsi="Calibri"/>
                <w:b w:val="0"/>
                <w:sz w:val="19"/>
              </w:rPr>
              <w:t>3 ep · lr 5e-4</w:t>
            </w:r>
          </w:p>
        </w:tc>
        <w:tc>
          <w:tcPr>
            <w:tcW w:type="dxa" w:w="1417"/>
            <w:vAlign w:val="center"/>
          </w:tcPr>
          <w:p>
            <w:pPr>
              <w:spacing w:after="40" w:before="40" w:line="240" w:lineRule="auto"/>
              <w:jc w:val="center"/>
            </w:pPr>
            <w:r>
              <w:rPr>
                <w:rFonts w:ascii="Calibri" w:hAnsi="Calibri"/>
                <w:b w:val="0"/>
                <w:sz w:val="19"/>
              </w:rPr>
              <w:t>1.33</w:t>
            </w:r>
          </w:p>
        </w:tc>
        <w:tc>
          <w:tcPr>
            <w:tcW w:type="dxa" w:w="1361"/>
            <w:vAlign w:val="center"/>
          </w:tcPr>
          <w:p>
            <w:pPr>
              <w:spacing w:after="40" w:before="40" w:line="240" w:lineRule="auto"/>
              <w:jc w:val="center"/>
            </w:pPr>
            <w:r>
              <w:rPr>
                <w:rFonts w:ascii="Calibri" w:hAnsi="Calibri"/>
                <w:b w:val="0"/>
                <w:sz w:val="19"/>
              </w:rPr>
              <w:t>9.38</w:t>
            </w:r>
          </w:p>
        </w:tc>
        <w:tc>
          <w:tcPr>
            <w:tcW w:type="dxa" w:w="1417"/>
            <w:vAlign w:val="center"/>
          </w:tcPr>
          <w:p>
            <w:pPr>
              <w:spacing w:after="40" w:before="40" w:line="240" w:lineRule="auto"/>
              <w:jc w:val="center"/>
            </w:pPr>
            <w:r>
              <w:rPr>
                <w:rFonts w:ascii="Calibri" w:hAnsi="Calibri"/>
                <w:b w:val="0"/>
                <w:sz w:val="19"/>
              </w:rPr>
              <w:t>8.33</w:t>
            </w:r>
          </w:p>
        </w:tc>
        <w:tc>
          <w:tcPr>
            <w:tcW w:type="dxa" w:w="1417"/>
            <w:vAlign w:val="center"/>
          </w:tcPr>
          <w:p>
            <w:pPr>
              <w:spacing w:after="40" w:before="40" w:line="240" w:lineRule="auto"/>
              <w:jc w:val="center"/>
            </w:pPr>
            <w:r>
              <w:rPr>
                <w:rFonts w:ascii="Calibri" w:hAnsi="Calibri"/>
                <w:b w:val="0"/>
                <w:sz w:val="19"/>
              </w:rPr>
              <w:t>3.62</w:t>
            </w:r>
          </w:p>
        </w:tc>
      </w:tr>
    </w:tbl>
    <w:p>
      <w:pPr>
        <w:spacing w:after="40"/>
      </w:pPr>
    </w:p>
    <w:p>
      <w:pPr>
        <w:spacing w:before="120"/>
        <w:jc w:val="center"/>
      </w:pPr>
      <w:r>
        <w:drawing>
          <wp:inline xmlns:a="http://schemas.openxmlformats.org/drawingml/2006/main" xmlns:pic="http://schemas.openxmlformats.org/drawingml/2006/picture">
            <wp:extent cx="5120640" cy="1514442"/>
            <wp:docPr id="4" name="Picture 4"/>
            <wp:cNvGraphicFramePr>
              <a:graphicFrameLocks noChangeAspect="1"/>
            </wp:cNvGraphicFramePr>
            <a:graphic>
              <a:graphicData uri="http://schemas.openxmlformats.org/drawingml/2006/picture">
                <pic:pic>
                  <pic:nvPicPr>
                    <pic:cNvPr id="0" name="comparison_bars_3way.png"/>
                    <pic:cNvPicPr/>
                  </pic:nvPicPr>
                  <pic:blipFill>
                    <a:blip r:embed="rId12"/>
                    <a:stretch>
                      <a:fillRect/>
                    </a:stretch>
                  </pic:blipFill>
                  <pic:spPr>
                    <a:xfrm>
                      <a:off x="0" y="0"/>
                      <a:ext cx="5120640" cy="1514442"/>
                    </a:xfrm>
                    <a:prstGeom prst="rect"/>
                  </pic:spPr>
                </pic:pic>
              </a:graphicData>
            </a:graphic>
          </wp:inline>
        </w:drawing>
      </w:r>
    </w:p>
    <w:p>
      <w:pPr>
        <w:spacing w:after="200"/>
        <w:jc w:val="center"/>
      </w:pPr>
      <w:r>
        <w:rPr>
          <w:i/>
          <w:color w:val="5A6068"/>
          <w:sz w:val="18"/>
        </w:rPr>
        <w:t>Figura 3. Comparación de las tres corridas individuales. El baseline M2M-100 rinde muy por debajo (chrF 9.38 vs 31.43), confirmando que la cobertura lingüística de NLLB-200 es determinante para el bribri.</w:t>
      </w:r>
    </w:p>
    <w:p>
      <w:r>
        <w:t>El baseline M2M-100 rinde drásticamente por debajo, confirmando empíricamente que la mayor cobertura lingüística de NLLB-200 —y en particular la disponibilidad de un proxy indígena americano real— es determinante. El modelo seleccionado para producción y ensamble es NLLB-200-distilled-600M reentrenado (8 épocas, lr 2e-4).</w:t>
      </w:r>
    </w:p>
    <w:p>
      <w:r>
        <w:br w:type="page"/>
      </w:r>
    </w:p>
    <w:p>
      <w:pPr>
        <w:pStyle w:val="Heading1"/>
      </w:pPr>
      <w:r>
        <w:t>7. Modelos de ensamble</w:t>
      </w:r>
    </w:p>
    <w:p>
      <w:r>
        <w:t>La rúbrica de ensamble está formulada para clasificación/regresión (curva ROC, matriz de confusión, importancia de características). En NMT —tarea de generación de secuencias— esas herramientas no tienen análogo directo, pero las estrategias de ensamble sí existen y se documentan con sus equivalentes apropiados, evaluados con chrF/chrF++.</w:t>
      </w:r>
    </w:p>
    <w:p>
      <w:pPr>
        <w:spacing w:after="40"/>
      </w:pPr>
      <w:r>
        <w:t>Se implementaron dos estrategias:</w:t>
      </w:r>
    </w:p>
    <w:p>
      <w:pPr>
        <w:pStyle w:val="ListBullet"/>
      </w:pPr>
      <w:r>
        <w:rPr>
          <w:b/>
        </w:rPr>
        <w:t xml:space="preserve">Ensamble homogéneo — checkpoint averaging.  </w:t>
      </w:r>
      <w:r>
        <w:t>Promedia los pesos de los N mejores checkpoints de la corrida NLLB-H100. Es la analogía del bagging sobre el mismo modelo: reduce la varianza del punto final de entrenamiento sin coste de inferencia adicional (resulta un único modelo). Sólo es válido entre checkpoints del mismo vocabulario.</w:t>
      </w:r>
    </w:p>
    <w:p>
      <w:pPr>
        <w:pStyle w:val="ListBullet"/>
      </w:pPr>
      <w:r>
        <w:rPr>
          <w:b/>
        </w:rPr>
        <w:t xml:space="preserve">Ensamble heterogéneo — system combination por MBR.  </w:t>
      </w:r>
      <w:r>
        <w:t>Como NLLB-200 y M2M-100 tienen vocabularios distintos, la combinación se hace a nivel de hipótesis: cada sistema genera su n-best, se juntan en un pool y se elige por sentencia la hipótesis de consenso (máxima chrF promedio contra el resto, Minimum Bayes Risk sin referencia). Es la analogía del voting/blending, anclada en el mejor modelo individual.</w:t>
      </w:r>
    </w:p>
    <w:p>
      <w:r>
        <w:t>El objetivo de negocio del Programa Voces es preservación y revitalización, no traducción de producción a gran escala. En ese marco priman la calidad morfológica de la salida bribri (chrF), la estabilidad (ausencia de repeticiones) y un coste de inferencia bajo. El modelo individual NLLB-200 H100 ya domina las métricas y es de inferencia simple; el checkpoint averaging es el candidato natural de ensamble por no añadir coste de inferencia, mientras que el system combination heterogéneo, aunque puede subir chrF, duplica el coste de generación.</w:t>
      </w:r>
    </w:p>
    <w:p>
      <w:r>
        <w:br w:type="page"/>
      </w:r>
    </w:p>
    <w:p>
      <w:pPr>
        <w:pStyle w:val="Heading1"/>
      </w:pPr>
      <w:r>
        <w:t>8. Evaluación y despliegue</w:t>
      </w:r>
    </w:p>
    <w:p>
      <w:r>
        <w:t>Esta sección corresponde a la fase de Evaluación y Despliegue de CRISP-ML(Q). Su propósito es triple: determinar si el modelo es apto para implementarse o si es necesario retroceder a fases previas; exponer las decisiones y accionables derivados de los hallazgos, asignados a sus stakeholders; y proponer un entorno de producción fiable, escalable y eficiente.</w:t>
      </w:r>
    </w:p>
    <w:p>
      <w:pPr>
        <w:pStyle w:val="Heading2"/>
      </w:pPr>
      <w:r>
        <w:t>8.1 Criterios de éxito: formalización de la meta de Fase 0</w:t>
      </w:r>
    </w:p>
    <w:p>
      <w:r>
        <w:t>En la Fase 0 el objetivo de negocio se definió cualitativamente —preservación lingüística asistida por tecnología— sin un umbral cuantitativo único. Esta ausencia es metodológicamente habitual y recomendable en escenarios de muy bajo recurso, donde fijar a priori un umbral tipo «chrF ≥ 50» sería arbitrario y desconectado del estado del arte para la lengua objetivo (Mager et al., 2018; Haddow et al., 2022). La fase de evaluación formaliza retroactivamente y de manera transparente el criterio de éxito, derivándolo del objetivo de negocio declarado, del estado del arte documentado (AmericasNLP; Ebrahimi et al., 2022) y de la naturaleza de prueba de concepto del Componente B.</w:t>
      </w:r>
    </w:p>
    <w:tbl>
      <w:tblPr>
        <w:tblStyle w:val="TableGrid"/>
        <w:tblW w:type="auto" w:w="0"/>
        <w:jc w:val="center"/>
        <w:tblLayout w:type="autofit"/>
        <w:tblLook w:firstColumn="1" w:firstRow="1" w:lastColumn="0" w:lastRow="0" w:noHBand="0" w:noVBand="1" w:val="04A0"/>
      </w:tblPr>
      <w:tblGrid>
        <w:gridCol w:w="3097"/>
        <w:gridCol w:w="3097"/>
        <w:gridCol w:w="3097"/>
      </w:tblGrid>
      <w:tr>
        <w:tc>
          <w:tcPr>
            <w:tcW w:type="dxa" w:w="2041"/>
            <w:vAlign w:val="center"/>
            <w:shd w:val="clear" w:color="auto" w:fill="DCE3F0"/>
          </w:tcPr>
          <w:p>
            <w:pPr>
              <w:spacing w:after="40" w:before="40" w:line="240" w:lineRule="auto"/>
              <w:jc w:val="center"/>
            </w:pPr>
            <w:r>
              <w:rPr>
                <w:rFonts w:ascii="Calibri" w:hAnsi="Calibri"/>
                <w:b/>
                <w:color w:val="0C2340"/>
                <w:sz w:val="18"/>
              </w:rPr>
              <w:t>Nivel de criterio</w:t>
            </w:r>
          </w:p>
        </w:tc>
        <w:tc>
          <w:tcPr>
            <w:tcW w:type="dxa" w:w="4082"/>
            <w:vAlign w:val="center"/>
            <w:shd w:val="clear" w:color="auto" w:fill="DCE3F0"/>
          </w:tcPr>
          <w:p>
            <w:pPr>
              <w:spacing w:after="40" w:before="40" w:line="240" w:lineRule="auto"/>
              <w:jc w:val="center"/>
            </w:pPr>
            <w:r>
              <w:rPr>
                <w:rFonts w:ascii="Calibri" w:hAnsi="Calibri"/>
                <w:b/>
                <w:color w:val="0C2340"/>
                <w:sz w:val="18"/>
              </w:rPr>
              <w:t>Definición operativa</w:t>
            </w:r>
          </w:p>
        </w:tc>
        <w:tc>
          <w:tcPr>
            <w:tcW w:type="dxa" w:w="3231"/>
            <w:vAlign w:val="center"/>
            <w:shd w:val="clear" w:color="auto" w:fill="DCE3F0"/>
          </w:tcPr>
          <w:p>
            <w:pPr>
              <w:spacing w:after="40" w:before="40" w:line="240" w:lineRule="auto"/>
              <w:jc w:val="center"/>
            </w:pPr>
            <w:r>
              <w:rPr>
                <w:rFonts w:ascii="Calibri" w:hAnsi="Calibri"/>
                <w:b/>
                <w:color w:val="0C2340"/>
                <w:sz w:val="18"/>
              </w:rPr>
              <w:t>Umbral / evidencia</w:t>
            </w:r>
          </w:p>
        </w:tc>
      </w:tr>
      <w:tr>
        <w:tc>
          <w:tcPr>
            <w:tcW w:type="dxa" w:w="2041"/>
            <w:vAlign w:val="center"/>
          </w:tcPr>
          <w:p>
            <w:pPr>
              <w:spacing w:after="40" w:before="40" w:line="240" w:lineRule="auto"/>
              <w:jc w:val="left"/>
            </w:pPr>
            <w:r>
              <w:rPr>
                <w:rFonts w:ascii="Calibri" w:hAnsi="Calibri"/>
                <w:b w:val="0"/>
                <w:sz w:val="18"/>
              </w:rPr>
              <w:t>Criterio mínimo (PoC aceptable)</w:t>
            </w:r>
          </w:p>
        </w:tc>
        <w:tc>
          <w:tcPr>
            <w:tcW w:type="dxa" w:w="4082"/>
            <w:vAlign w:val="center"/>
          </w:tcPr>
          <w:p>
            <w:pPr>
              <w:spacing w:after="40" w:before="40" w:line="240" w:lineRule="auto"/>
              <w:jc w:val="left"/>
            </w:pPr>
            <w:r>
              <w:rPr>
                <w:rFonts w:ascii="Calibri" w:hAnsi="Calibri"/>
                <w:b w:val="0"/>
                <w:sz w:val="18"/>
              </w:rPr>
              <w:t>Valida que el enfoque (NLLB + fine-tuning) es viable para bribri y produce salida morfológicamente plausible, no degenerada, mejor que un baseline alternativo.</w:t>
            </w:r>
          </w:p>
        </w:tc>
        <w:tc>
          <w:tcPr>
            <w:tcW w:type="dxa" w:w="3231"/>
            <w:vAlign w:val="center"/>
          </w:tcPr>
          <w:p>
            <w:pPr>
              <w:spacing w:after="40" w:before="40" w:line="240" w:lineRule="auto"/>
              <w:jc w:val="left"/>
            </w:pPr>
            <w:r>
              <w:rPr>
                <w:rFonts w:ascii="Calibri" w:hAnsi="Calibri"/>
                <w:b w:val="0"/>
                <w:sz w:val="18"/>
              </w:rPr>
              <w:t>chrF en el rango de la literatura (≈ 25–35); ausencia de bucles de repetición; superioridad sobre M2M-100.  ✓ Cumplido</w:t>
            </w:r>
          </w:p>
        </w:tc>
      </w:tr>
      <w:tr>
        <w:tc>
          <w:tcPr>
            <w:tcW w:type="dxa" w:w="2041"/>
            <w:vAlign w:val="center"/>
          </w:tcPr>
          <w:p>
            <w:pPr>
              <w:spacing w:after="40" w:before="40" w:line="240" w:lineRule="auto"/>
              <w:jc w:val="left"/>
            </w:pPr>
            <w:r>
              <w:rPr>
                <w:rFonts w:ascii="Calibri" w:hAnsi="Calibri"/>
                <w:b w:val="0"/>
                <w:sz w:val="18"/>
              </w:rPr>
              <w:t>Criterio objetivo (utilidad asistida)</w:t>
            </w:r>
          </w:p>
        </w:tc>
        <w:tc>
          <w:tcPr>
            <w:tcW w:type="dxa" w:w="4082"/>
            <w:vAlign w:val="center"/>
          </w:tcPr>
          <w:p>
            <w:pPr>
              <w:spacing w:after="40" w:before="40" w:line="240" w:lineRule="auto"/>
              <w:jc w:val="left"/>
            </w:pPr>
            <w:r>
              <w:rPr>
                <w:rFonts w:ascii="Calibri" w:hAnsi="Calibri"/>
                <w:b w:val="0"/>
                <w:sz w:val="18"/>
              </w:rPr>
              <w:t>Genera borradores útiles como insumo para un humano (lexicógrafo, docente, documentalista) que revisa y corrige, reduciendo su esfuerzo frente a partir de cero.</w:t>
            </w:r>
          </w:p>
        </w:tc>
        <w:tc>
          <w:tcPr>
            <w:tcW w:type="dxa" w:w="3231"/>
            <w:vAlign w:val="center"/>
          </w:tcPr>
          <w:p>
            <w:pPr>
              <w:spacing w:after="40" w:before="40" w:line="240" w:lineRule="auto"/>
              <w:jc w:val="left"/>
            </w:pPr>
            <w:r>
              <w:rPr>
                <w:rFonts w:ascii="Calibri" w:hAnsi="Calibri"/>
                <w:b w:val="0"/>
                <w:sz w:val="18"/>
              </w:rPr>
              <w:t>Salida estructuralmente correcta en una proporción material de casos; léxico y morfología verificables.  ✓ Cumplido parcialmente</w:t>
            </w:r>
          </w:p>
        </w:tc>
      </w:tr>
      <w:tr>
        <w:tc>
          <w:tcPr>
            <w:tcW w:type="dxa" w:w="2041"/>
            <w:vAlign w:val="center"/>
          </w:tcPr>
          <w:p>
            <w:pPr>
              <w:spacing w:after="40" w:before="40" w:line="240" w:lineRule="auto"/>
              <w:jc w:val="left"/>
            </w:pPr>
            <w:r>
              <w:rPr>
                <w:rFonts w:ascii="Calibri" w:hAnsi="Calibri"/>
                <w:b w:val="0"/>
                <w:sz w:val="18"/>
              </w:rPr>
              <w:t>Criterio NO pretendido (producción autónoma)</w:t>
            </w:r>
          </w:p>
        </w:tc>
        <w:tc>
          <w:tcPr>
            <w:tcW w:type="dxa" w:w="4082"/>
            <w:vAlign w:val="center"/>
          </w:tcPr>
          <w:p>
            <w:pPr>
              <w:spacing w:after="40" w:before="40" w:line="240" w:lineRule="auto"/>
              <w:jc w:val="left"/>
            </w:pPr>
            <w:r>
              <w:rPr>
                <w:rFonts w:ascii="Calibri" w:hAnsi="Calibri"/>
                <w:b w:val="0"/>
                <w:sz w:val="18"/>
              </w:rPr>
              <w:t>Traducción confiable sin supervisión humana, apta para publicación directa o uso por usuario final.</w:t>
            </w:r>
          </w:p>
        </w:tc>
        <w:tc>
          <w:tcPr>
            <w:tcW w:type="dxa" w:w="3231"/>
            <w:vAlign w:val="center"/>
          </w:tcPr>
          <w:p>
            <w:pPr>
              <w:spacing w:after="40" w:before="40" w:line="240" w:lineRule="auto"/>
              <w:jc w:val="left"/>
            </w:pPr>
            <w:r>
              <w:rPr>
                <w:rFonts w:ascii="Calibri" w:hAnsi="Calibri"/>
                <w:b w:val="0"/>
                <w:sz w:val="18"/>
              </w:rPr>
              <w:t>Requeriría chrF ≈ 50–60+ y control de alucinación.  ✗ Fuera de alcance declarado</w:t>
            </w:r>
          </w:p>
        </w:tc>
      </w:tr>
    </w:tbl>
    <w:p>
      <w:pPr>
        <w:spacing w:after="40"/>
      </w:pPr>
    </w:p>
    <w:p>
      <w:r>
        <w:rPr>
          <w:i/>
          <w:color w:val="5A6068"/>
          <w:sz w:val="20"/>
        </w:rPr>
        <w:t>Nota de honestidad metodológica. Se documenta explícitamente que el umbral cuantitativo no preexistía a esta fase. Construirlo aquí, anclado en el estado del arte y no en un número conveniente, es preferible a presentar un umbral inventado a posteriori que el modelo «casualmente» supere. La trazabilidad de esta decisión es, en sí misma, parte del criterio de calidad CRISP-ML(Q).</w:t>
      </w:r>
    </w:p>
    <w:p>
      <w:pPr>
        <w:pStyle w:val="Heading2"/>
      </w:pPr>
      <w:r>
        <w:t>8.2 ¿Es el rendimiento suficiente para producción?</w:t>
      </w:r>
    </w:p>
    <w:p>
      <w:r>
        <w:t>La respuesta es condicionada al criterio de éxito. Para producción autónoma de propósito general: No. Un chrF de 31.43 está sustancialmente por debajo del rango de fluidez usable (chrF ≈ 50–60+ en pares de recurso medio; Goyal et al., 2022), y el análisis cualitativo evidenció tres patrones de error que prohíben el uso sin supervisión: traducción estructuralmente correcta pero parcial, alucinación temática (anclaje al dominio religioso mayoritario ante entradas ambiguas) y, en la corrida sub-entrenada, colapso a repetición.</w:t>
      </w:r>
    </w:p>
    <w:p>
      <w:r>
        <w:t>Para producción restringida como prueba de concepto asistida: Sí. Bajo el criterio formalizado, el modelo cumple. Es confiable dentro de un dominio acotado y con validación humana en el bucle: asistencia a lexicógrafos, generación de borradores que un hablante revisa, apoyo pedagógico supervisado. Tras el reentrenamiento en H100 los bucles de repetición desaparecen, el modelo recupera estructuras y léxico en una proporción material de casos, y la dirección es→bri alcanza spBLEU 28.74, suficiente para que un revisor parta de un borrador y no de una página en blanco. La confiabilidad es condicional al flujo humano-en-el-bucle, no absoluta.</w:t>
      </w:r>
    </w:p>
    <w:p>
      <w:pPr>
        <w:pStyle w:val="Heading2"/>
      </w:pPr>
      <w:r>
        <w:t>8.3 ¿Hay margen de mejora?</w:t>
      </w:r>
    </w:p>
    <w:p>
      <w:r>
        <w:t>Sí, y es amplio. El modelo no es un punto final, sino una base con palancas de mejora predecibles, ordenadas por relación esfuerzo/impacto:</w:t>
      </w:r>
    </w:p>
    <w:tbl>
      <w:tblPr>
        <w:tblStyle w:val="TableGrid"/>
        <w:tblW w:type="auto" w:w="0"/>
        <w:jc w:val="center"/>
        <w:tblLayout w:type="autofit"/>
        <w:tblLook w:firstColumn="1" w:firstRow="1" w:lastColumn="0" w:lastRow="0" w:noHBand="0" w:noVBand="1" w:val="04A0"/>
      </w:tblPr>
      <w:tblGrid>
        <w:gridCol w:w="3097"/>
        <w:gridCol w:w="3097"/>
        <w:gridCol w:w="3097"/>
      </w:tblGrid>
      <w:tr>
        <w:tc>
          <w:tcPr>
            <w:tcW w:type="dxa" w:w="2154"/>
            <w:vAlign w:val="center"/>
            <w:shd w:val="clear" w:color="auto" w:fill="DCE3F0"/>
          </w:tcPr>
          <w:p>
            <w:pPr>
              <w:spacing w:after="40" w:before="40" w:line="240" w:lineRule="auto"/>
              <w:jc w:val="center"/>
            </w:pPr>
            <w:r>
              <w:rPr>
                <w:rFonts w:ascii="Calibri" w:hAnsi="Calibri"/>
                <w:b/>
                <w:color w:val="0C2340"/>
                <w:sz w:val="18"/>
              </w:rPr>
              <w:t>Palanca de mejora</w:t>
            </w:r>
          </w:p>
        </w:tc>
        <w:tc>
          <w:tcPr>
            <w:tcW w:type="dxa" w:w="5102"/>
            <w:vAlign w:val="center"/>
            <w:shd w:val="clear" w:color="auto" w:fill="DCE3F0"/>
          </w:tcPr>
          <w:p>
            <w:pPr>
              <w:spacing w:after="40" w:before="40" w:line="240" w:lineRule="auto"/>
              <w:jc w:val="center"/>
            </w:pPr>
            <w:r>
              <w:rPr>
                <w:rFonts w:ascii="Calibri" w:hAnsi="Calibri"/>
                <w:b/>
                <w:color w:val="0C2340"/>
                <w:sz w:val="18"/>
              </w:rPr>
              <w:t>Fundamento</w:t>
            </w:r>
          </w:p>
        </w:tc>
        <w:tc>
          <w:tcPr>
            <w:tcW w:type="dxa" w:w="2098"/>
            <w:vAlign w:val="center"/>
            <w:shd w:val="clear" w:color="auto" w:fill="DCE3F0"/>
          </w:tcPr>
          <w:p>
            <w:pPr>
              <w:spacing w:after="40" w:before="40" w:line="240" w:lineRule="auto"/>
              <w:jc w:val="center"/>
            </w:pPr>
            <w:r>
              <w:rPr>
                <w:rFonts w:ascii="Calibri" w:hAnsi="Calibri"/>
                <w:b/>
                <w:color w:val="0C2340"/>
                <w:sz w:val="18"/>
              </w:rPr>
              <w:t>Esfuerzo / impacto</w:t>
            </w:r>
          </w:p>
        </w:tc>
      </w:tr>
      <w:tr>
        <w:tc>
          <w:tcPr>
            <w:tcW w:type="dxa" w:w="2154"/>
            <w:vAlign w:val="center"/>
          </w:tcPr>
          <w:p>
            <w:pPr>
              <w:spacing w:after="40" w:before="40" w:line="240" w:lineRule="auto"/>
              <w:jc w:val="left"/>
            </w:pPr>
            <w:r>
              <w:rPr>
                <w:rFonts w:ascii="Calibri" w:hAnsi="Calibri"/>
                <w:b w:val="0"/>
                <w:sz w:val="18"/>
              </w:rPr>
              <w:t>Ampliar el corpus</w:t>
            </w:r>
          </w:p>
        </w:tc>
        <w:tc>
          <w:tcPr>
            <w:tcW w:type="dxa" w:w="5102"/>
            <w:vAlign w:val="center"/>
          </w:tcPr>
          <w:p>
            <w:pPr>
              <w:spacing w:after="40" w:before="40" w:line="240" w:lineRule="auto"/>
              <w:jc w:val="left"/>
            </w:pPr>
            <w:r>
              <w:rPr>
                <w:rFonts w:ascii="Calibri" w:hAnsi="Calibri"/>
                <w:b w:val="0"/>
                <w:sz w:val="18"/>
              </w:rPr>
              <w:t>1 201 pares están 1–2 órdenes de magnitud por debajo de lo típico. Incorporar la fuente web pendiente, aplicar OCR a fuentes escaneadas y digitalizar materiales del MEP elevaría el volumen.</w:t>
            </w:r>
          </w:p>
        </w:tc>
        <w:tc>
          <w:tcPr>
            <w:tcW w:type="dxa" w:w="2098"/>
            <w:vAlign w:val="center"/>
          </w:tcPr>
          <w:p>
            <w:pPr>
              <w:spacing w:after="40" w:before="40" w:line="240" w:lineRule="auto"/>
              <w:jc w:val="left"/>
            </w:pPr>
            <w:r>
              <w:rPr>
                <w:rFonts w:ascii="Calibri" w:hAnsi="Calibri"/>
                <w:b w:val="0"/>
                <w:sz w:val="18"/>
              </w:rPr>
              <w:t>Alto / Muy alto</w:t>
            </w:r>
          </w:p>
        </w:tc>
      </w:tr>
      <w:tr>
        <w:tc>
          <w:tcPr>
            <w:tcW w:type="dxa" w:w="2154"/>
            <w:vAlign w:val="center"/>
          </w:tcPr>
          <w:p>
            <w:pPr>
              <w:spacing w:after="40" w:before="40" w:line="240" w:lineRule="auto"/>
              <w:jc w:val="left"/>
            </w:pPr>
            <w:r>
              <w:rPr>
                <w:rFonts w:ascii="Calibri" w:hAnsi="Calibri"/>
                <w:b w:val="0"/>
                <w:sz w:val="18"/>
              </w:rPr>
              <w:t>Filtrado por confianza y data augmentation</w:t>
            </w:r>
          </w:p>
        </w:tc>
        <w:tc>
          <w:tcPr>
            <w:tcW w:type="dxa" w:w="5102"/>
            <w:vAlign w:val="center"/>
          </w:tcPr>
          <w:p>
            <w:pPr>
              <w:spacing w:after="40" w:before="40" w:line="240" w:lineRule="auto"/>
              <w:jc w:val="left"/>
            </w:pPr>
            <w:r>
              <w:rPr>
                <w:rFonts w:ascii="Calibri" w:hAnsi="Calibri"/>
                <w:b w:val="0"/>
                <w:sz w:val="18"/>
              </w:rPr>
              <w:t>El 49 % del corpus es confidence=low (glosas). Ablaciones por confianza y back-translation mejorarían la señal sin nuevas fuentes.</w:t>
            </w:r>
          </w:p>
        </w:tc>
        <w:tc>
          <w:tcPr>
            <w:tcW w:type="dxa" w:w="2098"/>
            <w:vAlign w:val="center"/>
          </w:tcPr>
          <w:p>
            <w:pPr>
              <w:spacing w:after="40" w:before="40" w:line="240" w:lineRule="auto"/>
              <w:jc w:val="left"/>
            </w:pPr>
            <w:r>
              <w:rPr>
                <w:rFonts w:ascii="Calibri" w:hAnsi="Calibri"/>
                <w:b w:val="0"/>
                <w:sz w:val="18"/>
              </w:rPr>
              <w:t>Medio / Medio-alto</w:t>
            </w:r>
          </w:p>
        </w:tc>
      </w:tr>
      <w:tr>
        <w:tc>
          <w:tcPr>
            <w:tcW w:type="dxa" w:w="2154"/>
            <w:vAlign w:val="center"/>
          </w:tcPr>
          <w:p>
            <w:pPr>
              <w:spacing w:after="40" w:before="40" w:line="240" w:lineRule="auto"/>
              <w:jc w:val="left"/>
            </w:pPr>
            <w:r>
              <w:rPr>
                <w:rFonts w:ascii="Calibri" w:hAnsi="Calibri"/>
                <w:b w:val="0"/>
                <w:sz w:val="18"/>
              </w:rPr>
              <w:t>Optimización del proxy de idioma</w:t>
            </w:r>
          </w:p>
        </w:tc>
        <w:tc>
          <w:tcPr>
            <w:tcW w:type="dxa" w:w="5102"/>
            <w:vAlign w:val="center"/>
          </w:tcPr>
          <w:p>
            <w:pPr>
              <w:spacing w:after="40" w:before="40" w:line="240" w:lineRule="auto"/>
              <w:jc w:val="left"/>
            </w:pPr>
            <w:r>
              <w:rPr>
                <w:rFonts w:ascii="Calibri" w:hAnsi="Calibri"/>
                <w:b w:val="0"/>
                <w:sz w:val="18"/>
              </w:rPr>
              <w:t>Se usó quy_Latn como proxy; alternativas incluyen extender el vocabulario con un token reasignado para bribri.</w:t>
            </w:r>
          </w:p>
        </w:tc>
        <w:tc>
          <w:tcPr>
            <w:tcW w:type="dxa" w:w="2098"/>
            <w:vAlign w:val="center"/>
          </w:tcPr>
          <w:p>
            <w:pPr>
              <w:spacing w:after="40" w:before="40" w:line="240" w:lineRule="auto"/>
              <w:jc w:val="left"/>
            </w:pPr>
            <w:r>
              <w:rPr>
                <w:rFonts w:ascii="Calibri" w:hAnsi="Calibri"/>
                <w:b w:val="0"/>
                <w:sz w:val="18"/>
              </w:rPr>
              <w:t>Medio / Medio</w:t>
            </w:r>
          </w:p>
        </w:tc>
      </w:tr>
      <w:tr>
        <w:tc>
          <w:tcPr>
            <w:tcW w:type="dxa" w:w="2154"/>
            <w:vAlign w:val="center"/>
          </w:tcPr>
          <w:p>
            <w:pPr>
              <w:spacing w:after="40" w:before="40" w:line="240" w:lineRule="auto"/>
              <w:jc w:val="left"/>
            </w:pPr>
            <w:r>
              <w:rPr>
                <w:rFonts w:ascii="Calibri" w:hAnsi="Calibri"/>
                <w:b w:val="0"/>
                <w:sz w:val="18"/>
              </w:rPr>
              <w:t>Ensamble (Avance 5)</w:t>
            </w:r>
          </w:p>
        </w:tc>
        <w:tc>
          <w:tcPr>
            <w:tcW w:type="dxa" w:w="5102"/>
            <w:vAlign w:val="center"/>
          </w:tcPr>
          <w:p>
            <w:pPr>
              <w:spacing w:after="40" w:before="40" w:line="240" w:lineRule="auto"/>
              <w:jc w:val="left"/>
            </w:pPr>
            <w:r>
              <w:rPr>
                <w:rFonts w:ascii="Calibri" w:hAnsi="Calibri"/>
                <w:b w:val="0"/>
                <w:sz w:val="18"/>
              </w:rPr>
              <w:t>El checkpoint averaging reduce varianza sin coste extra; el MBR puede subir chrF duplicando el coste de generación.</w:t>
            </w:r>
          </w:p>
        </w:tc>
        <w:tc>
          <w:tcPr>
            <w:tcW w:type="dxa" w:w="2098"/>
            <w:vAlign w:val="center"/>
          </w:tcPr>
          <w:p>
            <w:pPr>
              <w:spacing w:after="40" w:before="40" w:line="240" w:lineRule="auto"/>
              <w:jc w:val="left"/>
            </w:pPr>
            <w:r>
              <w:rPr>
                <w:rFonts w:ascii="Calibri" w:hAnsi="Calibri"/>
                <w:b w:val="0"/>
                <w:sz w:val="18"/>
              </w:rPr>
              <w:t>Bajo / Bajo-medio</w:t>
            </w:r>
          </w:p>
        </w:tc>
      </w:tr>
      <w:tr>
        <w:tc>
          <w:tcPr>
            <w:tcW w:type="dxa" w:w="2154"/>
            <w:vAlign w:val="center"/>
          </w:tcPr>
          <w:p>
            <w:pPr>
              <w:spacing w:after="40" w:before="40" w:line="240" w:lineRule="auto"/>
              <w:jc w:val="left"/>
            </w:pPr>
            <w:r>
              <w:rPr>
                <w:rFonts w:ascii="Calibri" w:hAnsi="Calibri"/>
                <w:b w:val="0"/>
                <w:sz w:val="18"/>
              </w:rPr>
              <w:t>Scheduler y búsqueda de hiperparámetros</w:t>
            </w:r>
          </w:p>
        </w:tc>
        <w:tc>
          <w:tcPr>
            <w:tcW w:type="dxa" w:w="5102"/>
            <w:vAlign w:val="center"/>
          </w:tcPr>
          <w:p>
            <w:pPr>
              <w:spacing w:after="40" w:before="40" w:line="240" w:lineRule="auto"/>
              <w:jc w:val="left"/>
            </w:pPr>
            <w:r>
              <w:rPr>
                <w:rFonts w:ascii="Calibri" w:hAnsi="Calibri"/>
                <w:b w:val="0"/>
                <w:sz w:val="18"/>
              </w:rPr>
              <w:t>El salto de +15.7 % al pasar de 3 a 8 épocas sugiere que la curva no está saturada; warmup y scheduler no se exploraron sistemáticamente.</w:t>
            </w:r>
          </w:p>
        </w:tc>
        <w:tc>
          <w:tcPr>
            <w:tcW w:type="dxa" w:w="2098"/>
            <w:vAlign w:val="center"/>
          </w:tcPr>
          <w:p>
            <w:pPr>
              <w:spacing w:after="40" w:before="40" w:line="240" w:lineRule="auto"/>
              <w:jc w:val="left"/>
            </w:pPr>
            <w:r>
              <w:rPr>
                <w:rFonts w:ascii="Calibri" w:hAnsi="Calibri"/>
                <w:b w:val="0"/>
                <w:sz w:val="18"/>
              </w:rPr>
              <w:t>Bajo / Medio</w:t>
            </w:r>
          </w:p>
        </w:tc>
      </w:tr>
    </w:tbl>
    <w:p>
      <w:pPr>
        <w:spacing w:after="40"/>
      </w:pPr>
    </w:p>
    <w:p>
      <w:r>
        <w:t>La existencia de palancas de alto impacto aún sin agotar es, paradójicamente, un argumento a favor de implementar la PoC ahora: demuestra que la base actual no es un techo, sino un punto de partida con trayectoria de mejora identificada.</w:t>
      </w:r>
    </w:p>
    <w:p>
      <w:pPr>
        <w:pStyle w:val="Heading2"/>
      </w:pPr>
      <w:r>
        <w:t>8.4 Decisión: ¿implementar, iterar o retroceder?</w:t>
      </w:r>
    </w:p>
    <w:p>
      <w:r>
        <w:t>La decisión fundamentada es no retroceder, sino implementar en producción restringida e iterar en paralelo:</w:t>
      </w:r>
    </w:p>
    <w:p>
      <w:pPr>
        <w:pStyle w:val="ListBullet"/>
      </w:pPr>
      <w:r>
        <w:rPr>
          <w:b/>
        </w:rPr>
        <w:t xml:space="preserve">No se retrocede a modelado:  </w:t>
      </w:r>
      <w:r>
        <w:t>el modelado cumplió su objetivo. NLLB-200 fue validado contra un baseline alternativo (M2M-100) y lo supera por 3.3×; la selección por chrF/chrF++ está justificada para el régimen de bajo recurso. No hay error que corregir.</w:t>
      </w:r>
    </w:p>
    <w:p>
      <w:pPr>
        <w:pStyle w:val="ListBullet"/>
      </w:pPr>
      <w:r>
        <w:rPr>
          <w:b/>
        </w:rPr>
        <w:t xml:space="preserve">No se retrocede a preparación de datos como bloqueante:  </w:t>
      </w:r>
      <w:r>
        <w:t>el corpus v0 es limitado pero suficiente para una PoC, y su ampliación es una mejora futura planificada, no la corrección de un defecto.</w:t>
      </w:r>
    </w:p>
    <w:p>
      <w:pPr>
        <w:pStyle w:val="ListBullet"/>
      </w:pPr>
      <w:r>
        <w:rPr>
          <w:b/>
        </w:rPr>
        <w:t xml:space="preserve">Sí se implementa, con alcance restringido:  </w:t>
      </w:r>
      <w:r>
        <w:t>la demo Streamlit ya operacionaliza el modelo; el despliegue entrega valor inmediato y genera retroalimentación —correcciones de hablantes— que alimenta la siguiente iteración del corpus.</w:t>
      </w:r>
    </w:p>
    <w:p>
      <w:pPr>
        <w:spacing w:after="40"/>
      </w:pPr>
      <w:r>
        <w:rPr>
          <w:b/>
          <w:color w:val="0C2340"/>
        </w:rPr>
        <w:t>Recomendaciones clave de implementación:</w:t>
      </w:r>
    </w:p>
    <w:p>
      <w:pPr>
        <w:pStyle w:val="ListBullet"/>
      </w:pPr>
      <w:r>
        <w:t>Desplegar bajo encuadre explícito de PoC asistida: toda interfaz debe comunicar que las salidas son borradores que requieren validación humana.</w:t>
      </w:r>
    </w:p>
    <w:p>
      <w:pPr>
        <w:pStyle w:val="ListBullet"/>
      </w:pPr>
      <w:r>
        <w:t>Mantener el human-in-the-loop como requisito de diseño, no como opción.</w:t>
      </w:r>
    </w:p>
    <w:p>
      <w:pPr>
        <w:pStyle w:val="ListBullet"/>
      </w:pPr>
      <w:r>
        <w:t>Restringir el dominio de uso al documental/pedagógico, evitando usos de alto riesgo (legal, médico, oficial).</w:t>
      </w:r>
    </w:p>
    <w:p>
      <w:pPr>
        <w:pStyle w:val="ListBullet"/>
      </w:pPr>
      <w:r>
        <w:t>Instrumentar la captura de correcciones de usuario (active learning de bajo coste).</w:t>
      </w:r>
    </w:p>
    <w:p>
      <w:pPr>
        <w:pStyle w:val="ListBullet"/>
      </w:pPr>
      <w:r>
        <w:t>Gobernar los datos lingüísticos bajo principios CARE de soberanía de datos indígenas (Carroll et al., 2020), coordinando con ADITIBRI.</w:t>
      </w:r>
    </w:p>
    <w:p>
      <w:pPr>
        <w:pStyle w:val="ListBullet"/>
      </w:pPr>
      <w:r>
        <w:t>Priorizar la ampliación del corpus como inversión de mayor retorno.</w:t>
      </w:r>
    </w:p>
    <w:p>
      <w:pPr>
        <w:pStyle w:val="Heading2"/>
      </w:pPr>
      <w:r>
        <w:t>8.5 Accionables por stakeholder</w:t>
      </w:r>
    </w:p>
    <w:p>
      <w:r>
        <w:t>Tareas específicas asignadas al actor responsable, siguiendo el marco de Miller (2022) para la identificación de stakeholders en proyectos de IA.</w:t>
      </w:r>
    </w:p>
    <w:tbl>
      <w:tblPr>
        <w:tblStyle w:val="TableGrid"/>
        <w:tblW w:type="auto" w:w="0"/>
        <w:jc w:val="center"/>
        <w:tblLayout w:type="autofit"/>
        <w:tblLook w:firstColumn="1" w:firstRow="1" w:lastColumn="0" w:lastRow="0" w:noHBand="0" w:noVBand="1" w:val="04A0"/>
      </w:tblPr>
      <w:tblGrid>
        <w:gridCol w:w="1858"/>
        <w:gridCol w:w="1858"/>
        <w:gridCol w:w="1858"/>
        <w:gridCol w:w="1858"/>
        <w:gridCol w:w="1858"/>
      </w:tblGrid>
      <w:tr>
        <w:tc>
          <w:tcPr>
            <w:tcW w:type="dxa" w:w="454"/>
            <w:vAlign w:val="center"/>
            <w:shd w:val="clear" w:color="auto" w:fill="DCE3F0"/>
          </w:tcPr>
          <w:p>
            <w:pPr>
              <w:spacing w:after="40" w:before="40" w:line="240" w:lineRule="auto"/>
              <w:jc w:val="center"/>
            </w:pPr>
            <w:r>
              <w:rPr>
                <w:rFonts w:ascii="Calibri" w:hAnsi="Calibri"/>
                <w:b/>
                <w:color w:val="0C2340"/>
                <w:sz w:val="17"/>
              </w:rPr>
              <w:t>#</w:t>
            </w:r>
          </w:p>
        </w:tc>
        <w:tc>
          <w:tcPr>
            <w:tcW w:type="dxa" w:w="3402"/>
            <w:vAlign w:val="center"/>
            <w:shd w:val="clear" w:color="auto" w:fill="DCE3F0"/>
          </w:tcPr>
          <w:p>
            <w:pPr>
              <w:spacing w:after="40" w:before="40" w:line="240" w:lineRule="auto"/>
              <w:jc w:val="center"/>
            </w:pPr>
            <w:r>
              <w:rPr>
                <w:rFonts w:ascii="Calibri" w:hAnsi="Calibri"/>
                <w:b/>
                <w:color w:val="0C2340"/>
                <w:sz w:val="17"/>
              </w:rPr>
              <w:t>Accionable</w:t>
            </w:r>
          </w:p>
        </w:tc>
        <w:tc>
          <w:tcPr>
            <w:tcW w:type="dxa" w:w="2041"/>
            <w:vAlign w:val="center"/>
            <w:shd w:val="clear" w:color="auto" w:fill="DCE3F0"/>
          </w:tcPr>
          <w:p>
            <w:pPr>
              <w:spacing w:after="40" w:before="40" w:line="240" w:lineRule="auto"/>
              <w:jc w:val="center"/>
            </w:pPr>
            <w:r>
              <w:rPr>
                <w:rFonts w:ascii="Calibri" w:hAnsi="Calibri"/>
                <w:b/>
                <w:color w:val="0C2340"/>
                <w:sz w:val="17"/>
              </w:rPr>
              <w:t>Stakeholder responsable</w:t>
            </w:r>
          </w:p>
        </w:tc>
        <w:tc>
          <w:tcPr>
            <w:tcW w:type="dxa" w:w="2438"/>
            <w:vAlign w:val="center"/>
            <w:shd w:val="clear" w:color="auto" w:fill="DCE3F0"/>
          </w:tcPr>
          <w:p>
            <w:pPr>
              <w:spacing w:after="40" w:before="40" w:line="240" w:lineRule="auto"/>
              <w:jc w:val="center"/>
            </w:pPr>
            <w:r>
              <w:rPr>
                <w:rFonts w:ascii="Calibri" w:hAnsi="Calibri"/>
                <w:b/>
                <w:color w:val="0C2340"/>
                <w:sz w:val="17"/>
              </w:rPr>
              <w:t>Entregable / cierre</w:t>
            </w:r>
          </w:p>
        </w:tc>
        <w:tc>
          <w:tcPr>
            <w:tcW w:type="dxa" w:w="1020"/>
            <w:vAlign w:val="center"/>
            <w:shd w:val="clear" w:color="auto" w:fill="DCE3F0"/>
          </w:tcPr>
          <w:p>
            <w:pPr>
              <w:spacing w:after="40" w:before="40" w:line="240" w:lineRule="auto"/>
              <w:jc w:val="center"/>
            </w:pPr>
            <w:r>
              <w:rPr>
                <w:rFonts w:ascii="Calibri" w:hAnsi="Calibri"/>
                <w:b/>
                <w:color w:val="0C2340"/>
                <w:sz w:val="17"/>
              </w:rPr>
              <w:t>Horizonte</w:t>
            </w:r>
          </w:p>
        </w:tc>
      </w:tr>
      <w:tr>
        <w:tc>
          <w:tcPr>
            <w:tcW w:type="dxa" w:w="454"/>
            <w:vAlign w:val="center"/>
          </w:tcPr>
          <w:p>
            <w:pPr>
              <w:spacing w:after="40" w:before="40" w:line="240" w:lineRule="auto"/>
              <w:jc w:val="center"/>
            </w:pPr>
            <w:r>
              <w:rPr>
                <w:rFonts w:ascii="Calibri" w:hAnsi="Calibri"/>
                <w:b w:val="0"/>
                <w:sz w:val="17"/>
              </w:rPr>
              <w:t>A1</w:t>
            </w:r>
          </w:p>
        </w:tc>
        <w:tc>
          <w:tcPr>
            <w:tcW w:type="dxa" w:w="3402"/>
            <w:vAlign w:val="center"/>
          </w:tcPr>
          <w:p>
            <w:pPr>
              <w:spacing w:after="40" w:before="40" w:line="240" w:lineRule="auto"/>
              <w:jc w:val="left"/>
            </w:pPr>
            <w:r>
              <w:rPr>
                <w:rFonts w:ascii="Calibri" w:hAnsi="Calibri"/>
                <w:b w:val="0"/>
                <w:sz w:val="17"/>
              </w:rPr>
              <w:t>Desplegar la demo Streamlit en cloud gestionado con encuadre de PoC y aviso de validación humana.</w:t>
            </w:r>
          </w:p>
        </w:tc>
        <w:tc>
          <w:tcPr>
            <w:tcW w:type="dxa" w:w="2041"/>
            <w:vAlign w:val="center"/>
          </w:tcPr>
          <w:p>
            <w:pPr>
              <w:spacing w:after="40" w:before="40" w:line="240" w:lineRule="auto"/>
              <w:jc w:val="left"/>
            </w:pPr>
            <w:r>
              <w:rPr>
                <w:rFonts w:ascii="Calibri" w:hAnsi="Calibri"/>
                <w:b w:val="0"/>
                <w:sz w:val="17"/>
              </w:rPr>
              <w:t>Equipo CR — ingeniería</w:t>
            </w:r>
          </w:p>
        </w:tc>
        <w:tc>
          <w:tcPr>
            <w:tcW w:type="dxa" w:w="2438"/>
            <w:vAlign w:val="center"/>
          </w:tcPr>
          <w:p>
            <w:pPr>
              <w:spacing w:after="40" w:before="40" w:line="240" w:lineRule="auto"/>
              <w:jc w:val="left"/>
            </w:pPr>
            <w:r>
              <w:rPr>
                <w:rFonts w:ascii="Calibri" w:hAnsi="Calibri"/>
                <w:b w:val="0"/>
                <w:sz w:val="17"/>
              </w:rPr>
              <w:t>URL pública con el checkpoint NLLB-H100 cargado.</w:t>
            </w:r>
          </w:p>
        </w:tc>
        <w:tc>
          <w:tcPr>
            <w:tcW w:type="dxa" w:w="1020"/>
            <w:vAlign w:val="center"/>
          </w:tcPr>
          <w:p>
            <w:pPr>
              <w:spacing w:after="40" w:before="40" w:line="240" w:lineRule="auto"/>
              <w:jc w:val="left"/>
            </w:pPr>
            <w:r>
              <w:rPr>
                <w:rFonts w:ascii="Calibri" w:hAnsi="Calibri"/>
                <w:b w:val="0"/>
                <w:sz w:val="17"/>
              </w:rPr>
              <w:t>Corto</w:t>
            </w:r>
          </w:p>
        </w:tc>
      </w:tr>
      <w:tr>
        <w:tc>
          <w:tcPr>
            <w:tcW w:type="dxa" w:w="454"/>
            <w:vAlign w:val="center"/>
          </w:tcPr>
          <w:p>
            <w:pPr>
              <w:spacing w:after="40" w:before="40" w:line="240" w:lineRule="auto"/>
              <w:jc w:val="center"/>
            </w:pPr>
            <w:r>
              <w:rPr>
                <w:rFonts w:ascii="Calibri" w:hAnsi="Calibri"/>
                <w:b w:val="0"/>
                <w:sz w:val="17"/>
              </w:rPr>
              <w:t>A2</w:t>
            </w:r>
          </w:p>
        </w:tc>
        <w:tc>
          <w:tcPr>
            <w:tcW w:type="dxa" w:w="3402"/>
            <w:vAlign w:val="center"/>
          </w:tcPr>
          <w:p>
            <w:pPr>
              <w:spacing w:after="40" w:before="40" w:line="240" w:lineRule="auto"/>
              <w:jc w:val="left"/>
            </w:pPr>
            <w:r>
              <w:rPr>
                <w:rFonts w:ascii="Calibri" w:hAnsi="Calibri"/>
                <w:b w:val="0"/>
                <w:sz w:val="17"/>
              </w:rPr>
              <w:t>Validar cualitativamente una muestra estratificada con hablantes nativos.</w:t>
            </w:r>
          </w:p>
        </w:tc>
        <w:tc>
          <w:tcPr>
            <w:tcW w:type="dxa" w:w="2041"/>
            <w:vAlign w:val="center"/>
          </w:tcPr>
          <w:p>
            <w:pPr>
              <w:spacing w:after="40" w:before="40" w:line="240" w:lineRule="auto"/>
              <w:jc w:val="left"/>
            </w:pPr>
            <w:r>
              <w:rPr>
                <w:rFonts w:ascii="Calibri" w:hAnsi="Calibri"/>
                <w:b w:val="0"/>
                <w:sz w:val="17"/>
              </w:rPr>
              <w:t>ADITIBRI + hablantes, coord. D. Leiva</w:t>
            </w:r>
          </w:p>
        </w:tc>
        <w:tc>
          <w:tcPr>
            <w:tcW w:type="dxa" w:w="2438"/>
            <w:vAlign w:val="center"/>
          </w:tcPr>
          <w:p>
            <w:pPr>
              <w:spacing w:after="40" w:before="40" w:line="240" w:lineRule="auto"/>
              <w:jc w:val="left"/>
            </w:pPr>
            <w:r>
              <w:rPr>
                <w:rFonts w:ascii="Calibri" w:hAnsi="Calibri"/>
                <w:b w:val="0"/>
                <w:sz w:val="17"/>
              </w:rPr>
              <w:t>Protocolo + reporte de aceptabilidad por dominio.</w:t>
            </w:r>
          </w:p>
        </w:tc>
        <w:tc>
          <w:tcPr>
            <w:tcW w:type="dxa" w:w="1020"/>
            <w:vAlign w:val="center"/>
          </w:tcPr>
          <w:p>
            <w:pPr>
              <w:spacing w:after="40" w:before="40" w:line="240" w:lineRule="auto"/>
              <w:jc w:val="left"/>
            </w:pPr>
            <w:r>
              <w:rPr>
                <w:rFonts w:ascii="Calibri" w:hAnsi="Calibri"/>
                <w:b w:val="0"/>
                <w:sz w:val="17"/>
              </w:rPr>
              <w:t>Corto-medio</w:t>
            </w:r>
          </w:p>
        </w:tc>
      </w:tr>
      <w:tr>
        <w:tc>
          <w:tcPr>
            <w:tcW w:type="dxa" w:w="454"/>
            <w:vAlign w:val="center"/>
          </w:tcPr>
          <w:p>
            <w:pPr>
              <w:spacing w:after="40" w:before="40" w:line="240" w:lineRule="auto"/>
              <w:jc w:val="center"/>
            </w:pPr>
            <w:r>
              <w:rPr>
                <w:rFonts w:ascii="Calibri" w:hAnsi="Calibri"/>
                <w:b w:val="0"/>
                <w:sz w:val="17"/>
              </w:rPr>
              <w:t>A3</w:t>
            </w:r>
          </w:p>
        </w:tc>
        <w:tc>
          <w:tcPr>
            <w:tcW w:type="dxa" w:w="3402"/>
            <w:vAlign w:val="center"/>
          </w:tcPr>
          <w:p>
            <w:pPr>
              <w:spacing w:after="40" w:before="40" w:line="240" w:lineRule="auto"/>
              <w:jc w:val="left"/>
            </w:pPr>
            <w:r>
              <w:rPr>
                <w:rFonts w:ascii="Calibri" w:hAnsi="Calibri"/>
                <w:b w:val="0"/>
                <w:sz w:val="17"/>
              </w:rPr>
              <w:t>Incorporar la fuente web pendiente y aplicar OCR a fuentes escaneadas para ampliar el corpus.</w:t>
            </w:r>
          </w:p>
        </w:tc>
        <w:tc>
          <w:tcPr>
            <w:tcW w:type="dxa" w:w="2041"/>
            <w:vAlign w:val="center"/>
          </w:tcPr>
          <w:p>
            <w:pPr>
              <w:spacing w:after="40" w:before="40" w:line="240" w:lineRule="auto"/>
              <w:jc w:val="left"/>
            </w:pPr>
            <w:r>
              <w:rPr>
                <w:rFonts w:ascii="Calibri" w:hAnsi="Calibri"/>
                <w:b w:val="0"/>
                <w:sz w:val="17"/>
              </w:rPr>
              <w:t>Equipo CR — datos</w:t>
            </w:r>
          </w:p>
        </w:tc>
        <w:tc>
          <w:tcPr>
            <w:tcW w:type="dxa" w:w="2438"/>
            <w:vAlign w:val="center"/>
          </w:tcPr>
          <w:p>
            <w:pPr>
              <w:spacing w:after="40" w:before="40" w:line="240" w:lineRule="auto"/>
              <w:jc w:val="left"/>
            </w:pPr>
            <w:r>
              <w:rPr>
                <w:rFonts w:ascii="Calibri" w:hAnsi="Calibri"/>
                <w:b w:val="0"/>
                <w:sz w:val="17"/>
              </w:rPr>
              <w:t>Corpus v1 con volumen ≥ 2× y reporte actualizado.</w:t>
            </w:r>
          </w:p>
        </w:tc>
        <w:tc>
          <w:tcPr>
            <w:tcW w:type="dxa" w:w="1020"/>
            <w:vAlign w:val="center"/>
          </w:tcPr>
          <w:p>
            <w:pPr>
              <w:spacing w:after="40" w:before="40" w:line="240" w:lineRule="auto"/>
              <w:jc w:val="left"/>
            </w:pPr>
            <w:r>
              <w:rPr>
                <w:rFonts w:ascii="Calibri" w:hAnsi="Calibri"/>
                <w:b w:val="0"/>
                <w:sz w:val="17"/>
              </w:rPr>
              <w:t>Medio</w:t>
            </w:r>
          </w:p>
        </w:tc>
      </w:tr>
      <w:tr>
        <w:tc>
          <w:tcPr>
            <w:tcW w:type="dxa" w:w="454"/>
            <w:vAlign w:val="center"/>
          </w:tcPr>
          <w:p>
            <w:pPr>
              <w:spacing w:after="40" w:before="40" w:line="240" w:lineRule="auto"/>
              <w:jc w:val="center"/>
            </w:pPr>
            <w:r>
              <w:rPr>
                <w:rFonts w:ascii="Calibri" w:hAnsi="Calibri"/>
                <w:b w:val="0"/>
                <w:sz w:val="17"/>
              </w:rPr>
              <w:t>A4</w:t>
            </w:r>
          </w:p>
        </w:tc>
        <w:tc>
          <w:tcPr>
            <w:tcW w:type="dxa" w:w="3402"/>
            <w:vAlign w:val="center"/>
          </w:tcPr>
          <w:p>
            <w:pPr>
              <w:spacing w:after="40" w:before="40" w:line="240" w:lineRule="auto"/>
              <w:jc w:val="left"/>
            </w:pPr>
            <w:r>
              <w:rPr>
                <w:rFonts w:ascii="Calibri" w:hAnsi="Calibri"/>
                <w:b w:val="0"/>
                <w:sz w:val="17"/>
              </w:rPr>
              <w:t>Proveer presupuesto de inferencia y reentrenamiento (H100) para escalamiento.</w:t>
            </w:r>
          </w:p>
        </w:tc>
        <w:tc>
          <w:tcPr>
            <w:tcW w:type="dxa" w:w="2041"/>
            <w:vAlign w:val="center"/>
          </w:tcPr>
          <w:p>
            <w:pPr>
              <w:spacing w:after="40" w:before="40" w:line="240" w:lineRule="auto"/>
              <w:jc w:val="left"/>
            </w:pPr>
            <w:r>
              <w:rPr>
                <w:rFonts w:ascii="Calibri" w:hAnsi="Calibri"/>
                <w:b w:val="0"/>
                <w:sz w:val="17"/>
              </w:rPr>
              <w:t>CENIA — C. Aspillaga (sponsor)</w:t>
            </w:r>
          </w:p>
        </w:tc>
        <w:tc>
          <w:tcPr>
            <w:tcW w:type="dxa" w:w="2438"/>
            <w:vAlign w:val="center"/>
          </w:tcPr>
          <w:p>
            <w:pPr>
              <w:spacing w:after="40" w:before="40" w:line="240" w:lineRule="auto"/>
              <w:jc w:val="left"/>
            </w:pPr>
            <w:r>
              <w:rPr>
                <w:rFonts w:ascii="Calibri" w:hAnsi="Calibri"/>
                <w:b w:val="0"/>
                <w:sz w:val="17"/>
              </w:rPr>
              <w:t>Asignación de cómputo y línea presupuestaria.</w:t>
            </w:r>
          </w:p>
        </w:tc>
        <w:tc>
          <w:tcPr>
            <w:tcW w:type="dxa" w:w="1020"/>
            <w:vAlign w:val="center"/>
          </w:tcPr>
          <w:p>
            <w:pPr>
              <w:spacing w:after="40" w:before="40" w:line="240" w:lineRule="auto"/>
              <w:jc w:val="left"/>
            </w:pPr>
            <w:r>
              <w:rPr>
                <w:rFonts w:ascii="Calibri" w:hAnsi="Calibri"/>
                <w:b w:val="0"/>
                <w:sz w:val="17"/>
              </w:rPr>
              <w:t>Medio</w:t>
            </w:r>
          </w:p>
        </w:tc>
      </w:tr>
      <w:tr>
        <w:tc>
          <w:tcPr>
            <w:tcW w:type="dxa" w:w="454"/>
            <w:vAlign w:val="center"/>
          </w:tcPr>
          <w:p>
            <w:pPr>
              <w:spacing w:after="40" w:before="40" w:line="240" w:lineRule="auto"/>
              <w:jc w:val="center"/>
            </w:pPr>
            <w:r>
              <w:rPr>
                <w:rFonts w:ascii="Calibri" w:hAnsi="Calibri"/>
                <w:b w:val="0"/>
                <w:sz w:val="17"/>
              </w:rPr>
              <w:t>A5</w:t>
            </w:r>
          </w:p>
        </w:tc>
        <w:tc>
          <w:tcPr>
            <w:tcW w:type="dxa" w:w="3402"/>
            <w:vAlign w:val="center"/>
          </w:tcPr>
          <w:p>
            <w:pPr>
              <w:spacing w:after="40" w:before="40" w:line="240" w:lineRule="auto"/>
              <w:jc w:val="left"/>
            </w:pPr>
            <w:r>
              <w:rPr>
                <w:rFonts w:ascii="Calibri" w:hAnsi="Calibri"/>
                <w:b w:val="0"/>
                <w:sz w:val="17"/>
              </w:rPr>
              <w:t>Instrumentar la captura de correcciones de usuario como insumo de active learning.</w:t>
            </w:r>
          </w:p>
        </w:tc>
        <w:tc>
          <w:tcPr>
            <w:tcW w:type="dxa" w:w="2041"/>
            <w:vAlign w:val="center"/>
          </w:tcPr>
          <w:p>
            <w:pPr>
              <w:spacing w:after="40" w:before="40" w:line="240" w:lineRule="auto"/>
              <w:jc w:val="left"/>
            </w:pPr>
            <w:r>
              <w:rPr>
                <w:rFonts w:ascii="Calibri" w:hAnsi="Calibri"/>
                <w:b w:val="0"/>
                <w:sz w:val="17"/>
              </w:rPr>
              <w:t>Equipo CR — ingeniería</w:t>
            </w:r>
          </w:p>
        </w:tc>
        <w:tc>
          <w:tcPr>
            <w:tcW w:type="dxa" w:w="2438"/>
            <w:vAlign w:val="center"/>
          </w:tcPr>
          <w:p>
            <w:pPr>
              <w:spacing w:after="40" w:before="40" w:line="240" w:lineRule="auto"/>
              <w:jc w:val="left"/>
            </w:pPr>
            <w:r>
              <w:rPr>
                <w:rFonts w:ascii="Calibri" w:hAnsi="Calibri"/>
                <w:b w:val="0"/>
                <w:sz w:val="17"/>
              </w:rPr>
              <w:t>Log estructurado (origen / borrador / corrección).</w:t>
            </w:r>
          </w:p>
        </w:tc>
        <w:tc>
          <w:tcPr>
            <w:tcW w:type="dxa" w:w="1020"/>
            <w:vAlign w:val="center"/>
          </w:tcPr>
          <w:p>
            <w:pPr>
              <w:spacing w:after="40" w:before="40" w:line="240" w:lineRule="auto"/>
              <w:jc w:val="left"/>
            </w:pPr>
            <w:r>
              <w:rPr>
                <w:rFonts w:ascii="Calibri" w:hAnsi="Calibri"/>
                <w:b w:val="0"/>
                <w:sz w:val="17"/>
              </w:rPr>
              <w:t>Medio</w:t>
            </w:r>
          </w:p>
        </w:tc>
      </w:tr>
      <w:tr>
        <w:tc>
          <w:tcPr>
            <w:tcW w:type="dxa" w:w="454"/>
            <w:vAlign w:val="center"/>
          </w:tcPr>
          <w:p>
            <w:pPr>
              <w:spacing w:after="40" w:before="40" w:line="240" w:lineRule="auto"/>
              <w:jc w:val="center"/>
            </w:pPr>
            <w:r>
              <w:rPr>
                <w:rFonts w:ascii="Calibri" w:hAnsi="Calibri"/>
                <w:b w:val="0"/>
                <w:sz w:val="17"/>
              </w:rPr>
              <w:t>A6</w:t>
            </w:r>
          </w:p>
        </w:tc>
        <w:tc>
          <w:tcPr>
            <w:tcW w:type="dxa" w:w="3402"/>
            <w:vAlign w:val="center"/>
          </w:tcPr>
          <w:p>
            <w:pPr>
              <w:spacing w:after="40" w:before="40" w:line="240" w:lineRule="auto"/>
              <w:jc w:val="left"/>
            </w:pPr>
            <w:r>
              <w:rPr>
                <w:rFonts w:ascii="Calibri" w:hAnsi="Calibri"/>
                <w:b w:val="0"/>
                <w:sz w:val="17"/>
              </w:rPr>
              <w:t>Establecer el marco de gobernanza de datos bajo principios CARE.</w:t>
            </w:r>
          </w:p>
        </w:tc>
        <w:tc>
          <w:tcPr>
            <w:tcW w:type="dxa" w:w="2041"/>
            <w:vAlign w:val="center"/>
          </w:tcPr>
          <w:p>
            <w:pPr>
              <w:spacing w:after="40" w:before="40" w:line="240" w:lineRule="auto"/>
              <w:jc w:val="left"/>
            </w:pPr>
            <w:r>
              <w:rPr>
                <w:rFonts w:ascii="Calibri" w:hAnsi="Calibri"/>
                <w:b w:val="0"/>
                <w:sz w:val="17"/>
              </w:rPr>
              <w:t>CENIA + PUC + ADITIBRI; superv. C. Villaseñor</w:t>
            </w:r>
          </w:p>
        </w:tc>
        <w:tc>
          <w:tcPr>
            <w:tcW w:type="dxa" w:w="2438"/>
            <w:vAlign w:val="center"/>
          </w:tcPr>
          <w:p>
            <w:pPr>
              <w:spacing w:after="40" w:before="40" w:line="240" w:lineRule="auto"/>
              <w:jc w:val="left"/>
            </w:pPr>
            <w:r>
              <w:rPr>
                <w:rFonts w:ascii="Calibri" w:hAnsi="Calibri"/>
                <w:b w:val="0"/>
                <w:sz w:val="17"/>
              </w:rPr>
              <w:t>Acuerdo de gobernanza y licenciamiento del corpus.</w:t>
            </w:r>
          </w:p>
        </w:tc>
        <w:tc>
          <w:tcPr>
            <w:tcW w:type="dxa" w:w="1020"/>
            <w:vAlign w:val="center"/>
          </w:tcPr>
          <w:p>
            <w:pPr>
              <w:spacing w:after="40" w:before="40" w:line="240" w:lineRule="auto"/>
              <w:jc w:val="left"/>
            </w:pPr>
            <w:r>
              <w:rPr>
                <w:rFonts w:ascii="Calibri" w:hAnsi="Calibri"/>
                <w:b w:val="0"/>
                <w:sz w:val="17"/>
              </w:rPr>
              <w:t>Medio-largo</w:t>
            </w:r>
          </w:p>
        </w:tc>
      </w:tr>
      <w:tr>
        <w:tc>
          <w:tcPr>
            <w:tcW w:type="dxa" w:w="454"/>
            <w:vAlign w:val="center"/>
          </w:tcPr>
          <w:p>
            <w:pPr>
              <w:spacing w:after="40" w:before="40" w:line="240" w:lineRule="auto"/>
              <w:jc w:val="center"/>
            </w:pPr>
            <w:r>
              <w:rPr>
                <w:rFonts w:ascii="Calibri" w:hAnsi="Calibri"/>
                <w:b w:val="0"/>
                <w:sz w:val="17"/>
              </w:rPr>
              <w:t>A7</w:t>
            </w:r>
          </w:p>
        </w:tc>
        <w:tc>
          <w:tcPr>
            <w:tcW w:type="dxa" w:w="3402"/>
            <w:vAlign w:val="center"/>
          </w:tcPr>
          <w:p>
            <w:pPr>
              <w:spacing w:after="40" w:before="40" w:line="240" w:lineRule="auto"/>
              <w:jc w:val="left"/>
            </w:pPr>
            <w:r>
              <w:rPr>
                <w:rFonts w:ascii="Calibri" w:hAnsi="Calibri"/>
                <w:b w:val="0"/>
                <w:sz w:val="17"/>
              </w:rPr>
              <w:t>Validar la pertinencia científica de las decisiones metodológicas de cara a publicación.</w:t>
            </w:r>
          </w:p>
        </w:tc>
        <w:tc>
          <w:tcPr>
            <w:tcW w:type="dxa" w:w="2041"/>
            <w:vAlign w:val="center"/>
          </w:tcPr>
          <w:p>
            <w:pPr>
              <w:spacing w:after="40" w:before="40" w:line="240" w:lineRule="auto"/>
              <w:jc w:val="left"/>
            </w:pPr>
            <w:r>
              <w:rPr>
                <w:rFonts w:ascii="Calibri" w:hAnsi="Calibri"/>
                <w:b w:val="0"/>
                <w:sz w:val="17"/>
              </w:rPr>
              <w:t>Asesoría académica (C. Villaseñor) + Tec</w:t>
            </w:r>
          </w:p>
        </w:tc>
        <w:tc>
          <w:tcPr>
            <w:tcW w:type="dxa" w:w="2438"/>
            <w:vAlign w:val="center"/>
          </w:tcPr>
          <w:p>
            <w:pPr>
              <w:spacing w:after="40" w:before="40" w:line="240" w:lineRule="auto"/>
              <w:jc w:val="left"/>
            </w:pPr>
            <w:r>
              <w:rPr>
                <w:rFonts w:ascii="Calibri" w:hAnsi="Calibri"/>
                <w:b w:val="0"/>
                <w:sz w:val="17"/>
              </w:rPr>
              <w:t>Visto bueno metodológico / borrador de artículo.</w:t>
            </w:r>
          </w:p>
        </w:tc>
        <w:tc>
          <w:tcPr>
            <w:tcW w:type="dxa" w:w="1020"/>
            <w:vAlign w:val="center"/>
          </w:tcPr>
          <w:p>
            <w:pPr>
              <w:spacing w:after="40" w:before="40" w:line="240" w:lineRule="auto"/>
              <w:jc w:val="left"/>
            </w:pPr>
            <w:r>
              <w:rPr>
                <w:rFonts w:ascii="Calibri" w:hAnsi="Calibri"/>
                <w:b w:val="0"/>
                <w:sz w:val="17"/>
              </w:rPr>
              <w:t>Largo</w:t>
            </w:r>
          </w:p>
        </w:tc>
      </w:tr>
    </w:tbl>
    <w:p>
      <w:pPr>
        <w:spacing w:after="40"/>
      </w:pPr>
    </w:p>
    <w:p>
      <w:pPr>
        <w:pStyle w:val="Heading2"/>
      </w:pPr>
      <w:r>
        <w:t>8.6 Análisis de plataformas cloud</w:t>
      </w:r>
    </w:p>
    <w:p>
      <w:r>
        <w:t>Se evalúan los cuatro proveedores señalados por la actividad —AWS, Microsoft Azure, Google Cloud (GCP) e IBM watsonx— frente a los requisitos de la solución: servir un modelo Transformer de ~2.4 GB para inferencia, con capacidad puntual de reentrenamiento en GPU, a coste contenido y con baja fricción operativa para un equipo pequeño. Los factores de evaluación son facilidad de uso, servicios de ML/NMT, escalabilidad, costos/capa académica y continuidad con la infraestructura existente.</w:t>
      </w:r>
    </w:p>
    <w:tbl>
      <w:tblPr>
        <w:tblStyle w:val="TableGrid"/>
        <w:tblW w:type="auto" w:w="0"/>
        <w:jc w:val="center"/>
        <w:tblLayout w:type="autofit"/>
        <w:tblLook w:firstColumn="1" w:firstRow="1" w:lastColumn="0" w:lastRow="0" w:noHBand="0" w:noVBand="1" w:val="04A0"/>
      </w:tblPr>
      <w:tblGrid>
        <w:gridCol w:w="1858"/>
        <w:gridCol w:w="1858"/>
        <w:gridCol w:w="1858"/>
        <w:gridCol w:w="1858"/>
        <w:gridCol w:w="1858"/>
      </w:tblGrid>
      <w:tr>
        <w:tc>
          <w:tcPr>
            <w:tcW w:type="dxa" w:w="1928"/>
            <w:vAlign w:val="center"/>
            <w:shd w:val="clear" w:color="auto" w:fill="DCE3F0"/>
          </w:tcPr>
          <w:p>
            <w:pPr>
              <w:spacing w:after="40" w:before="40" w:line="240" w:lineRule="auto"/>
              <w:jc w:val="center"/>
            </w:pPr>
            <w:r>
              <w:rPr>
                <w:rFonts w:ascii="Calibri" w:hAnsi="Calibri"/>
                <w:b/>
                <w:color w:val="0C2340"/>
                <w:sz w:val="17"/>
              </w:rPr>
              <w:t>Factor</w:t>
            </w:r>
          </w:p>
        </w:tc>
        <w:tc>
          <w:tcPr>
            <w:tcW w:type="dxa" w:w="1871"/>
            <w:vAlign w:val="center"/>
            <w:shd w:val="clear" w:color="auto" w:fill="DCE3F0"/>
          </w:tcPr>
          <w:p>
            <w:pPr>
              <w:spacing w:after="40" w:before="40" w:line="240" w:lineRule="auto"/>
              <w:jc w:val="center"/>
            </w:pPr>
            <w:r>
              <w:rPr>
                <w:rFonts w:ascii="Calibri" w:hAnsi="Calibri"/>
                <w:b/>
                <w:color w:val="0C2340"/>
                <w:sz w:val="17"/>
              </w:rPr>
              <w:t>AWS</w:t>
            </w:r>
          </w:p>
        </w:tc>
        <w:tc>
          <w:tcPr>
            <w:tcW w:type="dxa" w:w="1928"/>
            <w:vAlign w:val="center"/>
            <w:shd w:val="clear" w:color="auto" w:fill="DCE3F0"/>
          </w:tcPr>
          <w:p>
            <w:pPr>
              <w:spacing w:after="40" w:before="40" w:line="240" w:lineRule="auto"/>
              <w:jc w:val="center"/>
            </w:pPr>
            <w:r>
              <w:rPr>
                <w:rFonts w:ascii="Calibri" w:hAnsi="Calibri"/>
                <w:b/>
                <w:color w:val="0C2340"/>
                <w:sz w:val="17"/>
              </w:rPr>
              <w:t>Microsoft Azure</w:t>
            </w:r>
          </w:p>
        </w:tc>
        <w:tc>
          <w:tcPr>
            <w:tcW w:type="dxa" w:w="1814"/>
            <w:vAlign w:val="center"/>
            <w:shd w:val="clear" w:color="auto" w:fill="DCE3F0"/>
          </w:tcPr>
          <w:p>
            <w:pPr>
              <w:spacing w:after="40" w:before="40" w:line="240" w:lineRule="auto"/>
              <w:jc w:val="center"/>
            </w:pPr>
            <w:r>
              <w:rPr>
                <w:rFonts w:ascii="Calibri" w:hAnsi="Calibri"/>
                <w:b/>
                <w:color w:val="0C2340"/>
                <w:sz w:val="17"/>
              </w:rPr>
              <w:t>Google Cloud</w:t>
            </w:r>
          </w:p>
        </w:tc>
        <w:tc>
          <w:tcPr>
            <w:tcW w:type="dxa" w:w="1814"/>
            <w:vAlign w:val="center"/>
            <w:shd w:val="clear" w:color="auto" w:fill="DCE3F0"/>
          </w:tcPr>
          <w:p>
            <w:pPr>
              <w:spacing w:after="40" w:before="40" w:line="240" w:lineRule="auto"/>
              <w:jc w:val="center"/>
            </w:pPr>
            <w:r>
              <w:rPr>
                <w:rFonts w:ascii="Calibri" w:hAnsi="Calibri"/>
                <w:b/>
                <w:color w:val="0C2340"/>
                <w:sz w:val="17"/>
              </w:rPr>
              <w:t>IBM watsonx</w:t>
            </w:r>
          </w:p>
        </w:tc>
      </w:tr>
      <w:tr>
        <w:tc>
          <w:tcPr>
            <w:tcW w:type="dxa" w:w="1928"/>
            <w:vAlign w:val="center"/>
          </w:tcPr>
          <w:p>
            <w:pPr>
              <w:spacing w:after="40" w:before="40" w:line="240" w:lineRule="auto"/>
              <w:jc w:val="left"/>
            </w:pPr>
            <w:r>
              <w:rPr>
                <w:rFonts w:ascii="Calibri" w:hAnsi="Calibri"/>
                <w:b w:val="0"/>
                <w:sz w:val="17"/>
              </w:rPr>
              <w:t>Servicio ML principal</w:t>
            </w:r>
          </w:p>
        </w:tc>
        <w:tc>
          <w:tcPr>
            <w:tcW w:type="dxa" w:w="1871"/>
            <w:vAlign w:val="center"/>
          </w:tcPr>
          <w:p>
            <w:pPr>
              <w:spacing w:after="40" w:before="40" w:line="240" w:lineRule="auto"/>
              <w:jc w:val="center"/>
            </w:pPr>
            <w:r>
              <w:rPr>
                <w:rFonts w:ascii="Calibri" w:hAnsi="Calibri"/>
                <w:b w:val="0"/>
                <w:sz w:val="17"/>
              </w:rPr>
              <w:t>SageMaker (suite madura)</w:t>
            </w:r>
          </w:p>
        </w:tc>
        <w:tc>
          <w:tcPr>
            <w:tcW w:type="dxa" w:w="1928"/>
            <w:vAlign w:val="center"/>
          </w:tcPr>
          <w:p>
            <w:pPr>
              <w:spacing w:after="40" w:before="40" w:line="240" w:lineRule="auto"/>
              <w:jc w:val="center"/>
            </w:pPr>
            <w:r>
              <w:rPr>
                <w:rFonts w:ascii="Calibri" w:hAnsi="Calibri"/>
                <w:b w:val="0"/>
                <w:sz w:val="17"/>
              </w:rPr>
              <w:t>Azure ML + AI Foundry</w:t>
            </w:r>
          </w:p>
        </w:tc>
        <w:tc>
          <w:tcPr>
            <w:tcW w:type="dxa" w:w="1814"/>
            <w:vAlign w:val="center"/>
          </w:tcPr>
          <w:p>
            <w:pPr>
              <w:spacing w:after="40" w:before="40" w:line="240" w:lineRule="auto"/>
              <w:jc w:val="center"/>
            </w:pPr>
            <w:r>
              <w:rPr>
                <w:rFonts w:ascii="Calibri" w:hAnsi="Calibri"/>
                <w:b w:val="0"/>
                <w:sz w:val="17"/>
              </w:rPr>
              <w:t>Vertex AI (GenAI/MLOps)</w:t>
            </w:r>
          </w:p>
        </w:tc>
        <w:tc>
          <w:tcPr>
            <w:tcW w:type="dxa" w:w="1814"/>
            <w:vAlign w:val="center"/>
          </w:tcPr>
          <w:p>
            <w:pPr>
              <w:spacing w:after="40" w:before="40" w:line="240" w:lineRule="auto"/>
              <w:jc w:val="center"/>
            </w:pPr>
            <w:r>
              <w:rPr>
                <w:rFonts w:ascii="Calibri" w:hAnsi="Calibri"/>
                <w:b w:val="0"/>
                <w:sz w:val="17"/>
              </w:rPr>
              <w:t>watsonx.ai (empresarial)</w:t>
            </w:r>
          </w:p>
        </w:tc>
      </w:tr>
      <w:tr>
        <w:tc>
          <w:tcPr>
            <w:tcW w:type="dxa" w:w="1928"/>
            <w:vAlign w:val="center"/>
          </w:tcPr>
          <w:p>
            <w:pPr>
              <w:spacing w:after="40" w:before="40" w:line="240" w:lineRule="auto"/>
              <w:jc w:val="left"/>
            </w:pPr>
            <w:r>
              <w:rPr>
                <w:rFonts w:ascii="Calibri" w:hAnsi="Calibri"/>
                <w:b w:val="0"/>
                <w:sz w:val="17"/>
              </w:rPr>
              <w:t>GPU bajo demanda</w:t>
            </w:r>
          </w:p>
        </w:tc>
        <w:tc>
          <w:tcPr>
            <w:tcW w:type="dxa" w:w="1871"/>
            <w:vAlign w:val="center"/>
          </w:tcPr>
          <w:p>
            <w:pPr>
              <w:spacing w:after="40" w:before="40" w:line="240" w:lineRule="auto"/>
              <w:jc w:val="center"/>
            </w:pPr>
            <w:r>
              <w:rPr>
                <w:rFonts w:ascii="Calibri" w:hAnsi="Calibri"/>
                <w:b w:val="0"/>
                <w:sz w:val="17"/>
              </w:rPr>
              <w:t>Amplio (A100, H100)</w:t>
            </w:r>
          </w:p>
        </w:tc>
        <w:tc>
          <w:tcPr>
            <w:tcW w:type="dxa" w:w="1928"/>
            <w:vAlign w:val="center"/>
          </w:tcPr>
          <w:p>
            <w:pPr>
              <w:spacing w:after="40" w:before="40" w:line="240" w:lineRule="auto"/>
              <w:jc w:val="center"/>
            </w:pPr>
            <w:r>
              <w:rPr>
                <w:rFonts w:ascii="Calibri" w:hAnsi="Calibri"/>
                <w:b w:val="0"/>
                <w:sz w:val="17"/>
              </w:rPr>
              <w:t>Amplio (H100, ND)</w:t>
            </w:r>
          </w:p>
        </w:tc>
        <w:tc>
          <w:tcPr>
            <w:tcW w:type="dxa" w:w="1814"/>
            <w:vAlign w:val="center"/>
          </w:tcPr>
          <w:p>
            <w:pPr>
              <w:spacing w:after="40" w:before="40" w:line="240" w:lineRule="auto"/>
              <w:jc w:val="center"/>
            </w:pPr>
            <w:r>
              <w:rPr>
                <w:rFonts w:ascii="Calibri" w:hAnsi="Calibri"/>
                <w:b w:val="0"/>
                <w:sz w:val="17"/>
              </w:rPr>
              <w:t>A100/H100 y TPUs</w:t>
            </w:r>
          </w:p>
        </w:tc>
        <w:tc>
          <w:tcPr>
            <w:tcW w:type="dxa" w:w="1814"/>
            <w:vAlign w:val="center"/>
          </w:tcPr>
          <w:p>
            <w:pPr>
              <w:spacing w:after="40" w:before="40" w:line="240" w:lineRule="auto"/>
              <w:jc w:val="center"/>
            </w:pPr>
            <w:r>
              <w:rPr>
                <w:rFonts w:ascii="Calibri" w:hAnsi="Calibri"/>
                <w:b w:val="0"/>
                <w:sz w:val="17"/>
              </w:rPr>
              <w:t>Disponible, acotado</w:t>
            </w:r>
          </w:p>
        </w:tc>
      </w:tr>
      <w:tr>
        <w:tc>
          <w:tcPr>
            <w:tcW w:type="dxa" w:w="1928"/>
            <w:vAlign w:val="center"/>
          </w:tcPr>
          <w:p>
            <w:pPr>
              <w:spacing w:after="40" w:before="40" w:line="240" w:lineRule="auto"/>
              <w:jc w:val="left"/>
            </w:pPr>
            <w:r>
              <w:rPr>
                <w:rFonts w:ascii="Calibri" w:hAnsi="Calibri"/>
                <w:b w:val="0"/>
                <w:sz w:val="17"/>
              </w:rPr>
              <w:t>Integración Hugging Face</w:t>
            </w:r>
          </w:p>
        </w:tc>
        <w:tc>
          <w:tcPr>
            <w:tcW w:type="dxa" w:w="1871"/>
            <w:vAlign w:val="center"/>
          </w:tcPr>
          <w:p>
            <w:pPr>
              <w:spacing w:after="40" w:before="40" w:line="240" w:lineRule="auto"/>
              <w:jc w:val="center"/>
            </w:pPr>
            <w:r>
              <w:rPr>
                <w:rFonts w:ascii="Calibri" w:hAnsi="Calibri"/>
                <w:b w:val="0"/>
                <w:sz w:val="17"/>
              </w:rPr>
              <w:t>Muy buena (DLC)</w:t>
            </w:r>
          </w:p>
        </w:tc>
        <w:tc>
          <w:tcPr>
            <w:tcW w:type="dxa" w:w="1928"/>
            <w:vAlign w:val="center"/>
          </w:tcPr>
          <w:p>
            <w:pPr>
              <w:spacing w:after="40" w:before="40" w:line="240" w:lineRule="auto"/>
              <w:jc w:val="center"/>
            </w:pPr>
            <w:r>
              <w:rPr>
                <w:rFonts w:ascii="Calibri" w:hAnsi="Calibri"/>
                <w:b w:val="0"/>
                <w:sz w:val="17"/>
              </w:rPr>
              <w:t>Buena (HF en AML)</w:t>
            </w:r>
          </w:p>
        </w:tc>
        <w:tc>
          <w:tcPr>
            <w:tcW w:type="dxa" w:w="1814"/>
            <w:vAlign w:val="center"/>
          </w:tcPr>
          <w:p>
            <w:pPr>
              <w:spacing w:after="40" w:before="40" w:line="240" w:lineRule="auto"/>
              <w:jc w:val="center"/>
            </w:pPr>
            <w:r>
              <w:rPr>
                <w:rFonts w:ascii="Calibri" w:hAnsi="Calibri"/>
                <w:b w:val="0"/>
                <w:sz w:val="17"/>
              </w:rPr>
              <w:t>Muy buena (Vertex+HF)</w:t>
            </w:r>
          </w:p>
        </w:tc>
        <w:tc>
          <w:tcPr>
            <w:tcW w:type="dxa" w:w="1814"/>
            <w:vAlign w:val="center"/>
          </w:tcPr>
          <w:p>
            <w:pPr>
              <w:spacing w:after="40" w:before="40" w:line="240" w:lineRule="auto"/>
              <w:jc w:val="center"/>
            </w:pPr>
            <w:r>
              <w:rPr>
                <w:rFonts w:ascii="Calibri" w:hAnsi="Calibri"/>
                <w:b w:val="0"/>
                <w:sz w:val="17"/>
              </w:rPr>
              <w:t>Limitada (Granite)</w:t>
            </w:r>
          </w:p>
        </w:tc>
      </w:tr>
      <w:tr>
        <w:tc>
          <w:tcPr>
            <w:tcW w:type="dxa" w:w="1928"/>
            <w:vAlign w:val="center"/>
          </w:tcPr>
          <w:p>
            <w:pPr>
              <w:spacing w:after="40" w:before="40" w:line="240" w:lineRule="auto"/>
              <w:jc w:val="left"/>
            </w:pPr>
            <w:r>
              <w:rPr>
                <w:rFonts w:ascii="Calibri" w:hAnsi="Calibri"/>
                <w:b w:val="0"/>
                <w:sz w:val="17"/>
              </w:rPr>
              <w:t>Facilidad de uso</w:t>
            </w:r>
          </w:p>
        </w:tc>
        <w:tc>
          <w:tcPr>
            <w:tcW w:type="dxa" w:w="1871"/>
            <w:vAlign w:val="center"/>
          </w:tcPr>
          <w:p>
            <w:pPr>
              <w:spacing w:after="40" w:before="40" w:line="240" w:lineRule="auto"/>
              <w:jc w:val="center"/>
            </w:pPr>
            <w:r>
              <w:rPr>
                <w:rFonts w:ascii="Calibri" w:hAnsi="Calibri"/>
                <w:b w:val="0"/>
                <w:sz w:val="17"/>
              </w:rPr>
              <w:t>Curva pronunciada</w:t>
            </w:r>
          </w:p>
        </w:tc>
        <w:tc>
          <w:tcPr>
            <w:tcW w:type="dxa" w:w="1928"/>
            <w:vAlign w:val="center"/>
          </w:tcPr>
          <w:p>
            <w:pPr>
              <w:spacing w:after="40" w:before="40" w:line="240" w:lineRule="auto"/>
              <w:jc w:val="center"/>
            </w:pPr>
            <w:r>
              <w:rPr>
                <w:rFonts w:ascii="Calibri" w:hAnsi="Calibri"/>
                <w:b w:val="0"/>
                <w:sz w:val="17"/>
              </w:rPr>
              <w:t>Buena, fluida</w:t>
            </w:r>
          </w:p>
        </w:tc>
        <w:tc>
          <w:tcPr>
            <w:tcW w:type="dxa" w:w="1814"/>
            <w:vAlign w:val="center"/>
          </w:tcPr>
          <w:p>
            <w:pPr>
              <w:spacing w:after="40" w:before="40" w:line="240" w:lineRule="auto"/>
              <w:jc w:val="center"/>
            </w:pPr>
            <w:r>
              <w:rPr>
                <w:rFonts w:ascii="Calibri" w:hAnsi="Calibri"/>
                <w:b w:val="0"/>
                <w:sz w:val="17"/>
              </w:rPr>
              <w:t>Buena, moderna</w:t>
            </w:r>
          </w:p>
        </w:tc>
        <w:tc>
          <w:tcPr>
            <w:tcW w:type="dxa" w:w="1814"/>
            <w:vAlign w:val="center"/>
          </w:tcPr>
          <w:p>
            <w:pPr>
              <w:spacing w:after="40" w:before="40" w:line="240" w:lineRule="auto"/>
              <w:jc w:val="center"/>
            </w:pPr>
            <w:r>
              <w:rPr>
                <w:rFonts w:ascii="Calibri" w:hAnsi="Calibri"/>
                <w:b w:val="0"/>
                <w:sz w:val="17"/>
              </w:rPr>
              <w:t>Media, orientada a TI</w:t>
            </w:r>
          </w:p>
        </w:tc>
      </w:tr>
      <w:tr>
        <w:tc>
          <w:tcPr>
            <w:tcW w:type="dxa" w:w="1928"/>
            <w:vAlign w:val="center"/>
          </w:tcPr>
          <w:p>
            <w:pPr>
              <w:spacing w:after="40" w:before="40" w:line="240" w:lineRule="auto"/>
              <w:jc w:val="left"/>
            </w:pPr>
            <w:r>
              <w:rPr>
                <w:rFonts w:ascii="Calibri" w:hAnsi="Calibri"/>
                <w:b w:val="0"/>
                <w:sz w:val="17"/>
              </w:rPr>
              <w:t>Escalabilidad</w:t>
            </w:r>
          </w:p>
        </w:tc>
        <w:tc>
          <w:tcPr>
            <w:tcW w:type="dxa" w:w="1871"/>
            <w:vAlign w:val="center"/>
          </w:tcPr>
          <w:p>
            <w:pPr>
              <w:spacing w:after="40" w:before="40" w:line="240" w:lineRule="auto"/>
              <w:jc w:val="center"/>
            </w:pPr>
            <w:r>
              <w:rPr>
                <w:rFonts w:ascii="Calibri" w:hAnsi="Calibri"/>
                <w:b w:val="0"/>
                <w:sz w:val="17"/>
              </w:rPr>
              <w:t>Excelente</w:t>
            </w:r>
          </w:p>
        </w:tc>
        <w:tc>
          <w:tcPr>
            <w:tcW w:type="dxa" w:w="1928"/>
            <w:vAlign w:val="center"/>
          </w:tcPr>
          <w:p>
            <w:pPr>
              <w:spacing w:after="40" w:before="40" w:line="240" w:lineRule="auto"/>
              <w:jc w:val="center"/>
            </w:pPr>
            <w:r>
              <w:rPr>
                <w:rFonts w:ascii="Calibri" w:hAnsi="Calibri"/>
                <w:b w:val="0"/>
                <w:sz w:val="17"/>
              </w:rPr>
              <w:t>Excelente</w:t>
            </w:r>
          </w:p>
        </w:tc>
        <w:tc>
          <w:tcPr>
            <w:tcW w:type="dxa" w:w="1814"/>
            <w:vAlign w:val="center"/>
          </w:tcPr>
          <w:p>
            <w:pPr>
              <w:spacing w:after="40" w:before="40" w:line="240" w:lineRule="auto"/>
              <w:jc w:val="center"/>
            </w:pPr>
            <w:r>
              <w:rPr>
                <w:rFonts w:ascii="Calibri" w:hAnsi="Calibri"/>
                <w:b w:val="0"/>
                <w:sz w:val="17"/>
              </w:rPr>
              <w:t>Excelente</w:t>
            </w:r>
          </w:p>
        </w:tc>
        <w:tc>
          <w:tcPr>
            <w:tcW w:type="dxa" w:w="1814"/>
            <w:vAlign w:val="center"/>
          </w:tcPr>
          <w:p>
            <w:pPr>
              <w:spacing w:after="40" w:before="40" w:line="240" w:lineRule="auto"/>
              <w:jc w:val="center"/>
            </w:pPr>
            <w:r>
              <w:rPr>
                <w:rFonts w:ascii="Calibri" w:hAnsi="Calibri"/>
                <w:b w:val="0"/>
                <w:sz w:val="17"/>
              </w:rPr>
              <w:t>Buena</w:t>
            </w:r>
          </w:p>
        </w:tc>
      </w:tr>
      <w:tr>
        <w:tc>
          <w:tcPr>
            <w:tcW w:type="dxa" w:w="1928"/>
            <w:vAlign w:val="center"/>
          </w:tcPr>
          <w:p>
            <w:pPr>
              <w:spacing w:after="40" w:before="40" w:line="240" w:lineRule="auto"/>
              <w:jc w:val="left"/>
            </w:pPr>
            <w:r>
              <w:rPr>
                <w:rFonts w:ascii="Calibri" w:hAnsi="Calibri"/>
                <w:b w:val="0"/>
                <w:sz w:val="17"/>
              </w:rPr>
              <w:t>Costos / capa académica</w:t>
            </w:r>
          </w:p>
        </w:tc>
        <w:tc>
          <w:tcPr>
            <w:tcW w:type="dxa" w:w="1871"/>
            <w:vAlign w:val="center"/>
          </w:tcPr>
          <w:p>
            <w:pPr>
              <w:spacing w:after="40" w:before="40" w:line="240" w:lineRule="auto"/>
              <w:jc w:val="center"/>
            </w:pPr>
            <w:r>
              <w:rPr>
                <w:rFonts w:ascii="Calibri" w:hAnsi="Calibri"/>
                <w:b w:val="0"/>
                <w:sz w:val="17"/>
              </w:rPr>
              <w:t>Free tier; Educate</w:t>
            </w:r>
          </w:p>
        </w:tc>
        <w:tc>
          <w:tcPr>
            <w:tcW w:type="dxa" w:w="1928"/>
            <w:vAlign w:val="center"/>
          </w:tcPr>
          <w:p>
            <w:pPr>
              <w:spacing w:after="40" w:before="40" w:line="240" w:lineRule="auto"/>
              <w:jc w:val="center"/>
            </w:pPr>
            <w:r>
              <w:rPr>
                <w:rFonts w:ascii="Calibri" w:hAnsi="Calibri"/>
                <w:b w:val="0"/>
                <w:sz w:val="17"/>
              </w:rPr>
              <w:t>Crédito + for Students</w:t>
            </w:r>
          </w:p>
        </w:tc>
        <w:tc>
          <w:tcPr>
            <w:tcW w:type="dxa" w:w="1814"/>
            <w:vAlign w:val="center"/>
          </w:tcPr>
          <w:p>
            <w:pPr>
              <w:spacing w:after="40" w:before="40" w:line="240" w:lineRule="auto"/>
              <w:jc w:val="center"/>
            </w:pPr>
            <w:r>
              <w:rPr>
                <w:rFonts w:ascii="Calibri" w:hAnsi="Calibri"/>
                <w:b w:val="0"/>
                <w:sz w:val="17"/>
              </w:rPr>
              <w:t>Free tier; for Education</w:t>
            </w:r>
          </w:p>
        </w:tc>
        <w:tc>
          <w:tcPr>
            <w:tcW w:type="dxa" w:w="1814"/>
            <w:vAlign w:val="center"/>
          </w:tcPr>
          <w:p>
            <w:pPr>
              <w:spacing w:after="40" w:before="40" w:line="240" w:lineRule="auto"/>
              <w:jc w:val="center"/>
            </w:pPr>
            <w:r>
              <w:rPr>
                <w:rFonts w:ascii="Calibri" w:hAnsi="Calibri"/>
                <w:b w:val="0"/>
                <w:sz w:val="17"/>
              </w:rPr>
              <w:t>Tier Lite acotado</w:t>
            </w:r>
          </w:p>
        </w:tc>
      </w:tr>
      <w:tr>
        <w:tc>
          <w:tcPr>
            <w:tcW w:type="dxa" w:w="1928"/>
            <w:vAlign w:val="center"/>
          </w:tcPr>
          <w:p>
            <w:pPr>
              <w:spacing w:after="40" w:before="40" w:line="240" w:lineRule="auto"/>
              <w:jc w:val="left"/>
            </w:pPr>
            <w:r>
              <w:rPr>
                <w:rFonts w:ascii="Calibri" w:hAnsi="Calibri"/>
                <w:b w:val="0"/>
                <w:sz w:val="17"/>
              </w:rPr>
              <w:t>Continuidad con el proyecto</w:t>
            </w:r>
          </w:p>
        </w:tc>
        <w:tc>
          <w:tcPr>
            <w:tcW w:type="dxa" w:w="1871"/>
            <w:vAlign w:val="center"/>
          </w:tcPr>
          <w:p>
            <w:pPr>
              <w:spacing w:after="40" w:before="40" w:line="240" w:lineRule="auto"/>
              <w:jc w:val="center"/>
            </w:pPr>
            <w:r>
              <w:rPr>
                <w:rFonts w:ascii="Calibri" w:hAnsi="Calibri"/>
                <w:b w:val="0"/>
                <w:sz w:val="17"/>
              </w:rPr>
              <w:t>Baja (migración)</w:t>
            </w:r>
          </w:p>
        </w:tc>
        <w:tc>
          <w:tcPr>
            <w:tcW w:type="dxa" w:w="1928"/>
            <w:vAlign w:val="center"/>
          </w:tcPr>
          <w:p>
            <w:pPr>
              <w:spacing w:after="40" w:before="40" w:line="240" w:lineRule="auto"/>
              <w:jc w:val="center"/>
            </w:pPr>
            <w:r>
              <w:rPr>
                <w:rFonts w:ascii="Calibri" w:hAnsi="Calibri"/>
                <w:b w:val="0"/>
                <w:sz w:val="17"/>
              </w:rPr>
              <w:t>Alta (H100 ya en Azure)</w:t>
            </w:r>
          </w:p>
        </w:tc>
        <w:tc>
          <w:tcPr>
            <w:tcW w:type="dxa" w:w="1814"/>
            <w:vAlign w:val="center"/>
          </w:tcPr>
          <w:p>
            <w:pPr>
              <w:spacing w:after="40" w:before="40" w:line="240" w:lineRule="auto"/>
              <w:jc w:val="center"/>
            </w:pPr>
            <w:r>
              <w:rPr>
                <w:rFonts w:ascii="Calibri" w:hAnsi="Calibri"/>
                <w:b w:val="0"/>
                <w:sz w:val="17"/>
              </w:rPr>
              <w:t>Media (exp. previa)</w:t>
            </w:r>
          </w:p>
        </w:tc>
        <w:tc>
          <w:tcPr>
            <w:tcW w:type="dxa" w:w="1814"/>
            <w:vAlign w:val="center"/>
          </w:tcPr>
          <w:p>
            <w:pPr>
              <w:spacing w:after="40" w:before="40" w:line="240" w:lineRule="auto"/>
              <w:jc w:val="center"/>
            </w:pPr>
            <w:r>
              <w:rPr>
                <w:rFonts w:ascii="Calibri" w:hAnsi="Calibri"/>
                <w:b w:val="0"/>
                <w:sz w:val="17"/>
              </w:rPr>
              <w:t>Baja</w:t>
            </w:r>
          </w:p>
        </w:tc>
      </w:tr>
    </w:tbl>
    <w:p>
      <w:pPr>
        <w:spacing w:after="40"/>
      </w:pPr>
    </w:p>
    <w:p>
      <w:r>
        <w:t>Proveedor recomendado: Microsoft Azure, con Google Cloud (Vertex AI) como alternativa secundaria. La elección no se sostiene en superioridad técnica absoluta —los cuatro hiperescaladores son comparables para servir un modelo de este tamaño— sino en el factor que minimiza riesgo y coste: la continuidad de infraestructura. El reentrenamiento que produjo el modelo se ejecutó en un servidor H100 provisto por CENIA en Azure; desplegar la inferencia en el mismo proveedor elimina migración de pesos y credenciales, reutiliza la relación institucional y mantiene datos y cómputo bajo una sola gobernanza, relevante para los principios de soberanía de datos (A6). Se descarta AWS por mayor coste de migración sin beneficio diferencial, e IBM watsonx por su orientación a modelos propios (Granite) y menor afinidad con el stack Hugging Face / NLLB.</w:t>
      </w:r>
    </w:p>
    <w:p>
      <w:pPr>
        <w:pStyle w:val="Heading2"/>
      </w:pPr>
      <w:r>
        <w:t>8.7 Arquitectura de producción propuesta</w:t>
      </w:r>
    </w:p>
    <w:p>
      <w:pPr>
        <w:spacing w:after="40"/>
      </w:pPr>
      <w:r>
        <w:t>Arquitectura de despliegue mínima viable, escalable por capas:</w:t>
      </w:r>
    </w:p>
    <w:p>
      <w:pPr>
        <w:pStyle w:val="ListBullet"/>
      </w:pPr>
      <w:r>
        <w:rPr>
          <w:b/>
        </w:rPr>
        <w:t xml:space="preserve">Capa de servicio:  </w:t>
      </w:r>
      <w:r>
        <w:t>la aplicación Streamlit (app.py) contenedurizada, sirviendo el checkpoint NLLB-200 fine-tuneado, como endpoint gestionado en Azure Machine Learning (o App Service con contenedor para la PoC inicial).</w:t>
      </w:r>
    </w:p>
    <w:p>
      <w:pPr>
        <w:pStyle w:val="ListBullet"/>
      </w:pPr>
      <w:r>
        <w:rPr>
          <w:b/>
        </w:rPr>
        <w:t xml:space="preserve">Capa de inferencia:  </w:t>
      </w:r>
      <w:r>
        <w:t>instancia con GPU bajo demanda para baja latencia, con fallback a CPU para contener costos; no_repeat_ngram_size=3 activo.</w:t>
      </w:r>
    </w:p>
    <w:p>
      <w:pPr>
        <w:pStyle w:val="ListBullet"/>
      </w:pPr>
      <w:r>
        <w:rPr>
          <w:b/>
        </w:rPr>
        <w:t xml:space="preserve">Capa de datos y registro:  </w:t>
      </w:r>
      <w:r>
        <w:t>almacenamiento de objetos para los pesos (~2.4 GB) y registro estructurado de correcciones de usuario (A5).</w:t>
      </w:r>
    </w:p>
    <w:p>
      <w:pPr>
        <w:pStyle w:val="ListBullet"/>
      </w:pPr>
      <w:r>
        <w:rPr>
          <w:b/>
        </w:rPr>
        <w:t xml:space="preserve">Capa de gobernanza:  </w:t>
      </w:r>
      <w:r>
        <w:t>control de acceso y versionado del corpus bajo el acuerdo de soberanía de datos (A6).</w:t>
      </w:r>
    </w:p>
    <w:p>
      <w:pPr>
        <w:pStyle w:val="ListBullet"/>
      </w:pPr>
      <w:r>
        <w:rPr>
          <w:b/>
        </w:rPr>
        <w:t xml:space="preserve">Confiabilidad y eficiencia:  </w:t>
      </w:r>
      <w:r>
        <w:t>escalado a cero en inactividad para uso intermitente; monitoreo de latencia y de tasa de salidas degeneradas como señal de regresión.</w:t>
      </w:r>
    </w:p>
    <w:p>
      <w:r>
        <w:br w:type="page"/>
      </w:r>
    </w:p>
    <w:p>
      <w:pPr>
        <w:pStyle w:val="Heading1"/>
      </w:pPr>
      <w:r>
        <w:t>9. Conclusiones generales</w:t>
      </w:r>
    </w:p>
    <w:p>
      <w:r>
        <w:t>El sistema NMT bribri–español alcanza, en su mejor configuración (NLLB-200-distilled-600M, H100, 8 épocas), chrF 31.43 / chrF++ 30.47 / spBLEU 21.16. Frente a los criterios de éxito formalizados, el modelo no es apto para traducción autónoma de propósito general, pero sí cumple como prueba de concepto funcional para asistencia documental y pedagógica con validación humana en el bucle. La decisión fundamentada es implementar en producción restringida e iterar en paralelo, sin retroceder a fases anteriores: el modelado cumplió su objetivo y la limitación del corpus es una mejora planificada, no un defecto a corregir.</w:t>
      </w:r>
    </w:p>
    <w:p>
      <w:pPr>
        <w:spacing w:after="40"/>
      </w:pPr>
      <w:r>
        <w:t>El valor del entregable para el Programa Voces es triple:</w:t>
      </w:r>
    </w:p>
    <w:p>
      <w:pPr>
        <w:pStyle w:val="ListBullet"/>
      </w:pPr>
      <w:r>
        <w:t>Valida empíricamente que el enfoque NLLB + fine-tuning es el camino correcto para bribri, descartando alternativas (M2M-100) con evidencia.</w:t>
      </w:r>
    </w:p>
    <w:p>
      <w:pPr>
        <w:pStyle w:val="ListBullet"/>
      </w:pPr>
      <w:r>
        <w:t>Entrega una base reproducible, trazable y medible sobre la cual CENIA puede escalar, con palancas de mejora ya identificadas y priorizadas.</w:t>
      </w:r>
    </w:p>
    <w:p>
      <w:pPr>
        <w:pStyle w:val="ListBullet"/>
      </w:pPr>
      <w:r>
        <w:t>Materializa una herramienta de asistencia que hoy no existe para la comunidad bribri, generando además, mediante su uso, los datos de corrección que alimentarán la siguiente iteración.</w:t>
      </w:r>
    </w:p>
    <w:p>
      <w:r>
        <w:t>La plataforma de despliegue recomendada es Microsoft Azure, por continuidad con la infraestructura de cómputo del proyecto, con Google Cloud (Vertex AI) como alternativa secundaria. Más allá del resultado métrico, el principal aporte metodológico del proyecto es haber demostrado, con trazabilidad completa, que en regímenes de muy bajo recurso la selección de modelo debe gobernarse por métricas robustas a morfología (chrF/chrF++) y no por la cross-entropy de validación, y que un criterio de éxito honesto, anclado en el estado del arte, es preferible a un umbral inventado a posteriori.</w:t>
      </w:r>
    </w:p>
    <w:p>
      <w:pPr>
        <w:pStyle w:val="Heading2"/>
      </w:pPr>
      <w:r>
        <w:t>9.1 Limitaciones y trabajo futuro</w:t>
      </w:r>
    </w:p>
    <w:p>
      <w:pPr>
        <w:pStyle w:val="ListBullet"/>
      </w:pPr>
      <w:r>
        <w:t>Tamaño del corpus: 1 201 pares de entrenamiento están 1–2 órdenes de magnitud por debajo de lo típico para fine-tuning estable de NLLB-200.</w:t>
      </w:r>
    </w:p>
    <w:p>
      <w:pPr>
        <w:pStyle w:val="ListBullet"/>
      </w:pPr>
      <w:r>
        <w:t>Ruido de glosas: el 49 % del corpus es confidence=low; no se filtró para no reducir el set a ~600 pares.</w:t>
      </w:r>
    </w:p>
    <w:p>
      <w:pPr>
        <w:pStyle w:val="ListBullet"/>
      </w:pPr>
      <w:r>
        <w:t>Proxy de idioma: quy_Latn se usó como ancla; extender el vocabulario con un token propio de bribri queda como exploración pendiente.</w:t>
      </w:r>
    </w:p>
    <w:p>
      <w:pPr>
        <w:pStyle w:val="ListBullet"/>
      </w:pPr>
      <w:r>
        <w:t>Fuente web no incorporada por política de red; su extracción ampliaría el corpus.</w:t>
      </w:r>
    </w:p>
    <w:p>
      <w:pPr>
        <w:pStyle w:val="ListBullet"/>
      </w:pPr>
      <w:r>
        <w:t>Trabajo futuro: ampliación del corpus (web + OCR + MEP), validación con hablantes nativos, back-translation, búsqueda sistemática de hiperparámetros y publicación de los resultados metodológicos.</w:t>
      </w:r>
    </w:p>
    <w:p>
      <w:r>
        <w:br w:type="page"/>
      </w:r>
    </w:p>
    <w:p>
      <w:pPr>
        <w:pStyle w:val="Heading1"/>
      </w:pPr>
      <w:r>
        <w:t>10. Referencias</w:t>
      </w:r>
    </w:p>
    <w:p>
      <w:pPr>
        <w:spacing w:after="120" w:line="264" w:lineRule="auto"/>
        <w:ind w:left="454" w:hanging="454"/>
        <w:jc w:val="left"/>
      </w:pPr>
      <w:r>
        <w:rPr>
          <w:sz w:val="19"/>
        </w:rPr>
        <w:t>Amazon Web Services. (2024). Amazon SageMaker: Machine learning service. https://aws.amazon.com/sagemaker/</w:t>
      </w:r>
    </w:p>
    <w:p>
      <w:pPr>
        <w:spacing w:after="120" w:line="264" w:lineRule="auto"/>
        <w:ind w:left="454" w:hanging="454"/>
        <w:jc w:val="left"/>
      </w:pPr>
      <w:r>
        <w:rPr>
          <w:sz w:val="19"/>
        </w:rPr>
        <w:t>Carroll, S. R., Garba, I., Figueroa-Rodríguez, O. L., Holbrook, J., Lovett, R., Materechera, S., Parsons, M., Raseroka, K., Rodriguez-Lonebear, D., Rowe, R., Sara, R., Walker, J. D., Anderson, J., &amp; Hudson, M. (2020). The CARE principles for indigenous data governance. Data Science Journal, 19(1), 43. https://doi.org/10.5334/dsj-2020-043</w:t>
      </w:r>
    </w:p>
    <w:p>
      <w:pPr>
        <w:spacing w:after="120" w:line="264" w:lineRule="auto"/>
        <w:ind w:left="454" w:hanging="454"/>
        <w:jc w:val="left"/>
      </w:pPr>
      <w:r>
        <w:rPr>
          <w:sz w:val="19"/>
        </w:rPr>
        <w:t>Ebrahimi, A., Mager, M., Oncevay, A., Chaudhary, V., Chiruzzo, L., Fan, A., Ortega, J., Ramos, R., Rios, A., Vladimir, M., Giménez-Lugo, G. A., Mager, E., Neubig, G., Palmer, A., Coto-Solano, R., Vu, N. T., &amp; Kann, K. (2022). AmericasNLI: Evaluating zero-shot natural language understanding of pretrained multilingual models in truly low-resource languages. Proceedings of the 60th Annual Meeting of the ACL, 6279–6299. https://doi.org/10.18653/v1/2022.acl-long.435</w:t>
      </w:r>
    </w:p>
    <w:p>
      <w:pPr>
        <w:spacing w:after="120" w:line="264" w:lineRule="auto"/>
        <w:ind w:left="454" w:hanging="454"/>
        <w:jc w:val="left"/>
      </w:pPr>
      <w:r>
        <w:rPr>
          <w:sz w:val="19"/>
        </w:rPr>
        <w:t>Goyal, N., Gao, C., Chaudhary, V., Chen, P.-J., Wenzek, G., Ju, D., Krishnan, S., Ranzato, M., Guzmán, F., &amp; Fan, A. (2022). The Flores-101 evaluation benchmark for low-resource and multilingual machine translation. Transactions of the ACL, 10, 522–538. https://doi.org/10.1162/tacl_a_00474</w:t>
      </w:r>
    </w:p>
    <w:p>
      <w:pPr>
        <w:spacing w:after="120" w:line="264" w:lineRule="auto"/>
        <w:ind w:left="454" w:hanging="454"/>
        <w:jc w:val="left"/>
      </w:pPr>
      <w:r>
        <w:rPr>
          <w:sz w:val="19"/>
        </w:rPr>
        <w:t>Google Cloud. (2024). Vertex AI: Unified platform for machine learning. https://cloud.google.com/vertex-ai</w:t>
      </w:r>
    </w:p>
    <w:p>
      <w:pPr>
        <w:spacing w:after="120" w:line="264" w:lineRule="auto"/>
        <w:ind w:left="454" w:hanging="454"/>
        <w:jc w:val="left"/>
      </w:pPr>
      <w:r>
        <w:rPr>
          <w:sz w:val="19"/>
        </w:rPr>
        <w:t>Haddow, B., Bawden, R., Miceli Barone, A. V., Helcl, J., &amp; Birch, A. (2022). Survey of low-resource machine translation. Computational Linguistics, 48(3), 673–732. https://doi.org/10.1162/coli_a_00446</w:t>
      </w:r>
    </w:p>
    <w:p>
      <w:pPr>
        <w:spacing w:after="120" w:line="264" w:lineRule="auto"/>
        <w:ind w:left="454" w:hanging="454"/>
        <w:jc w:val="left"/>
      </w:pPr>
      <w:r>
        <w:rPr>
          <w:sz w:val="19"/>
        </w:rPr>
        <w:t>IBM. (2024). watsonx.ai: Enterprise studio for AI builders. https://www.ibm.com/products/watsonx-ai</w:t>
      </w:r>
    </w:p>
    <w:p>
      <w:pPr>
        <w:spacing w:after="120" w:line="264" w:lineRule="auto"/>
        <w:ind w:left="454" w:hanging="454"/>
        <w:jc w:val="left"/>
      </w:pPr>
      <w:r>
        <w:rPr>
          <w:sz w:val="19"/>
        </w:rPr>
        <w:t>INEC. (2011). X Censo Nacional de Población y VI de Vivienda 2011. Instituto Nacional de Estadística y Censos de Costa Rica.</w:t>
      </w:r>
    </w:p>
    <w:p>
      <w:pPr>
        <w:spacing w:after="120" w:line="264" w:lineRule="auto"/>
        <w:ind w:left="454" w:hanging="454"/>
        <w:jc w:val="left"/>
      </w:pPr>
      <w:r>
        <w:rPr>
          <w:sz w:val="19"/>
        </w:rPr>
        <w:t>Jara Murillo, C. V. (2018). El bribri: Lengua en peligro. Revista de Filología y Lingüística de la Universidad de Costa Rica, 44(1), 15–32.</w:t>
      </w:r>
    </w:p>
    <w:p>
      <w:pPr>
        <w:spacing w:after="120" w:line="264" w:lineRule="auto"/>
        <w:ind w:left="454" w:hanging="454"/>
        <w:jc w:val="left"/>
      </w:pPr>
      <w:r>
        <w:rPr>
          <w:sz w:val="19"/>
        </w:rPr>
        <w:t>Jara Murillo, C. V., &amp; García Segura, A. (1997). Se'ttö': Hablemos bribri. Editorial de la Universidad de Costa Rica.</w:t>
      </w:r>
    </w:p>
    <w:p>
      <w:pPr>
        <w:spacing w:after="120" w:line="264" w:lineRule="auto"/>
        <w:ind w:left="454" w:hanging="454"/>
        <w:jc w:val="left"/>
      </w:pPr>
      <w:r>
        <w:rPr>
          <w:sz w:val="19"/>
        </w:rPr>
        <w:t>Mager, M., Gutierrez-Vasques, X., Sierra, G., &amp; Meza-Ruiz, I. (2018). Challenges of language technologies for the indigenous languages of the Americas. Proceedings of the 27th International Conference on Computational Linguistics, 55–69.</w:t>
      </w:r>
    </w:p>
    <w:p>
      <w:pPr>
        <w:spacing w:after="120" w:line="264" w:lineRule="auto"/>
        <w:ind w:left="454" w:hanging="454"/>
        <w:jc w:val="left"/>
      </w:pPr>
      <w:r>
        <w:rPr>
          <w:sz w:val="19"/>
        </w:rPr>
        <w:t>Margery Peña, E. (1989). Diccionario fraseológico bribri-español, español-bribri. Editorial de la Universidad de Costa Rica.</w:t>
      </w:r>
    </w:p>
    <w:p>
      <w:pPr>
        <w:spacing w:after="120" w:line="264" w:lineRule="auto"/>
        <w:ind w:left="454" w:hanging="454"/>
        <w:jc w:val="left"/>
      </w:pPr>
      <w:r>
        <w:rPr>
          <w:sz w:val="19"/>
        </w:rPr>
        <w:t>Microsoft. (2024). Azure Machine Learning: Enterprise-grade ML service. https://azure.microsoft.com/products/machine-learning</w:t>
      </w:r>
    </w:p>
    <w:p>
      <w:pPr>
        <w:spacing w:after="120" w:line="264" w:lineRule="auto"/>
        <w:ind w:left="454" w:hanging="454"/>
        <w:jc w:val="left"/>
      </w:pPr>
      <w:r>
        <w:rPr>
          <w:sz w:val="19"/>
        </w:rPr>
        <w:t>Miller, G. J. (2022). Stakeholder roles in artificial intelligence projects. Project Leadership and Society, 3, 100068. https://doi.org/10.1016/j.plas.2022.100068</w:t>
      </w:r>
    </w:p>
    <w:p>
      <w:pPr>
        <w:spacing w:after="120" w:line="264" w:lineRule="auto"/>
        <w:ind w:left="454" w:hanging="454"/>
        <w:jc w:val="left"/>
      </w:pPr>
      <w:r>
        <w:rPr>
          <w:sz w:val="19"/>
        </w:rPr>
        <w:t>NLLB Team, Costa-jussà, M. R., Cross, J., Çelebi, O., Elbayad, M., Heafield, K., et al. (2022). No language left behind: Scaling human-centered machine translation. arXiv. https://doi.org/10.48550/arXiv.2207.04672</w:t>
      </w:r>
    </w:p>
    <w:p>
      <w:pPr>
        <w:spacing w:after="120" w:line="264" w:lineRule="auto"/>
        <w:ind w:left="454" w:hanging="454"/>
        <w:jc w:val="left"/>
      </w:pPr>
      <w:r>
        <w:rPr>
          <w:sz w:val="19"/>
        </w:rPr>
        <w:t>Ortega, J., Maldonado, A., &amp; Mager, M. (2020). Neural machine translation for low-resource indigenous languages. Proceedings of AmericasNLP.</w:t>
      </w:r>
    </w:p>
    <w:p>
      <w:pPr>
        <w:spacing w:after="120" w:line="264" w:lineRule="auto"/>
        <w:ind w:left="454" w:hanging="454"/>
        <w:jc w:val="left"/>
      </w:pPr>
      <w:r>
        <w:rPr>
          <w:sz w:val="19"/>
        </w:rPr>
        <w:t>Popović, M. (2015). chrF: Character n-gram F-score for automatic MT evaluation. Proceedings of the Tenth Workshop on Statistical Machine Translation, 392–395. https://doi.org/10.18653/v1/W15-3049</w:t>
      </w:r>
    </w:p>
    <w:p>
      <w:pPr>
        <w:spacing w:after="120" w:line="264" w:lineRule="auto"/>
        <w:ind w:left="454" w:hanging="454"/>
        <w:jc w:val="left"/>
      </w:pPr>
      <w:r>
        <w:rPr>
          <w:sz w:val="19"/>
        </w:rPr>
        <w:t>Studer, S., Bui, T. B., Drescher, C., Hanuschkin, A., Winkler, L., Peters, S., &amp; Müller, K.-R. (2021). Towards CRISP-ML(Q): A machine learning process model with quality assurance methodology. Machine Learning and Knowledge Extraction, 3(2), 392–413. https://doi.org/10.3390/make3020020</w:t>
      </w:r>
    </w:p>
    <w:p>
      <w:pPr>
        <w:spacing w:after="120" w:line="264" w:lineRule="auto"/>
        <w:ind w:left="454" w:hanging="454"/>
        <w:jc w:val="left"/>
      </w:pPr>
      <w:r>
        <w:rPr>
          <w:sz w:val="19"/>
        </w:rPr>
        <w:t>Vaswani, A., Shazeer, N., Parmar, N., Uszkoreit, J., Jones, L., Gomez, A. N., Kaiser, Ł., &amp; Polosukhin, A. (2017). Attention is all you need. Advances in Neural Information Processing Systems, 30, 5998–6008.</w:t>
      </w:r>
    </w:p>
    <w:sectPr w:rsidR="00FC693F" w:rsidRPr="0006063C" w:rsidSect="00034616">
      <w:footerReference w:type="default" r:id="rId13"/>
      <w:pgSz w:w="12240" w:h="15840"/>
      <w:pgMar w:top="1361" w:right="1474" w:bottom="1247" w:left="147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068"/>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updateFields w:val="true"/>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160"/>
      <w:jc w:val="both"/>
    </w:pPr>
    <w:rPr>
      <w:rFonts w:ascii="Calibri" w:hAnsi="Calibri"/>
      <w:color w:val="2020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mbria" w:hAnsi="Cambria"/>
      <w:b/>
      <w:bCs/>
      <w:color w:val="0039A6"/>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mbria" w:hAnsi="Cambria"/>
      <w:b/>
      <w:bCs/>
      <w:color w:val="0C2340"/>
      <w:sz w:val="27"/>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mbria" w:hAnsi="Cambria"/>
      <w:b/>
      <w:bCs/>
      <w:color w:val="0C23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