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board(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num number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writer varchar2(100),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subject varchar2(100),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email varchar2(100),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content varchar2(4000),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passwd varchar2(100),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reg_date date,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readcount number default 0,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ip varchar2(100),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ref number,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re_step number,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re_level number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sequence board_seq nocache;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commit;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