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widowControl w:val="1"/>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widowControl w:val="1"/>
      </w:pPr>
      <w:r>
        <w:rPr>
          <w:rFonts w:eastAsia="Open Sans" w:cs="Open Sans"/>
          <w:b/>
          <w:color w:val="0E76BC"/>
          <w:sz w:val="28"/>
        </w:rPr>
        <w:t>――――――</w:t>
      </w:r>
    </w:p>
    <w:p w14:paraId="0A979053" w14:textId="77777777" w:rsidR="00076B4B" w:rsidRDefault="00000000">
      <w:pPr>
        <w:spacing w:after="80"/>
        <w:rPr>
          <w:rFonts w:hint="eastAsia"/>
        </w:rPr>
        <w:widowControl w:val="1"/>
      </w:pPr>
      <w:r>
        <w:rPr>
          <w:rFonts w:eastAsia="Open Sans" w:cs="Open Sans"/>
          <w:b/>
          <w:color w:val="0056A5"/>
          <w:sz w:val="20"/>
        </w:rPr>
        <w:t>WHITE PAPER</w:t>
      </w:r>
    </w:p>
    <w:p w14:paraId="738885D5" w14:textId="77777777" w:rsidR="00076B4B" w:rsidRDefault="00000000">
      <w:pPr>
        <w:spacing w:after="120"/>
        <w:rPr>
          <w:rFonts w:hint="eastAsia"/>
        </w:rPr>
        <w:widowControl w:val="1"/>
      </w:pPr>
      <w:r>
        <w:rPr>
          <w:rFonts w:eastAsia="Open Sans" w:cs="Open Sans"/>
          <w:b/>
          <w:color w:val="1E1D1C"/>
          <w:sz w:val="56"/>
        </w:rPr>
        <w:t>The Forward-Deployed Decade</w:t>
      </w:r>
    </w:p>
    <w:p w14:paraId="578339BC" w14:textId="77777777" w:rsidR="00076B4B" w:rsidRDefault="00000000">
      <w:pPr>
        <w:spacing w:after="480"/>
        <w:rPr>
          <w:rFonts w:hint="eastAsia"/>
        </w:rPr>
        <w:widowControl w:val="1"/>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widowControl w:val="1"/>
      </w:pPr>
      <w:r>
        <w:rPr>
          <w:rFonts w:eastAsia="Open Sans" w:cs="Open Sans"/>
          <w:b/>
          <w:color w:val="1E1D1C"/>
        </w:rPr>
        <w:t>Prepared by Dale Linn</w:t>
      </w:r>
    </w:p>
    <w:p w14:paraId="2D5346E4" w14:textId="77777777" w:rsidR="00076B4B" w:rsidRDefault="00000000">
      <w:pPr>
        <w:spacing w:after="40"/>
        <w:rPr>
          <w:rFonts w:hint="eastAsia"/>
        </w:rPr>
        <w:widowControl w:val="1"/>
      </w:pPr>
      <w:r>
        <w:rPr>
          <w:rFonts w:eastAsia="Open Sans" w:cs="Open Sans"/>
          <w:color w:val="1E1D1C"/>
        </w:rPr>
        <w:t>Senior Business Consultant, ISI</w:t>
      </w:r>
    </w:p>
    <w:p w14:paraId="6ED354B1" w14:textId="77777777" w:rsidR="00076B4B" w:rsidRDefault="00000000">
      <w:pPr>
        <w:spacing w:after="480"/>
        <w:rPr>
          <w:rFonts w:hint="eastAsia"/>
        </w:rPr>
        <w:widowControl w:val="1"/>
      </w:pPr>
      <w:r>
        <w:rPr>
          <w:rFonts w:eastAsia="Open Sans" w:cs="Open Sans"/>
          <w:color w:val="1E1D1C"/>
        </w:rPr>
        <w:t>May 2026</w:t>
      </w:r>
    </w:p>
    <w:p w14:paraId="3C650F86" w14:textId="77777777" w:rsidR="00076B4B" w:rsidRDefault="00000000">
      <w:pPr>
        <w:spacing w:after="40"/>
        <w:rPr>
          <w:rFonts w:hint="eastAsia"/>
        </w:rPr>
        <w:widowControl w:val="1"/>
      </w:pPr>
      <w:r>
        <w:rPr>
          <w:rFonts w:eastAsia="Open Sans" w:cs="Open Sans"/>
          <w:b/>
          <w:color w:val="0056A5"/>
        </w:rPr>
        <w:t>Executive thesis.</w:t>
      </w:r>
    </w:p>
    <w:p w14:paraId="0C116006" w14:textId="77777777" w:rsidR="00076B4B" w:rsidRDefault="00000000">
      <w:pPr>
        <w:spacing w:after="120"/>
        <w:rPr>
          <w:rFonts w:hint="eastAsia"/>
        </w:rPr>
        <w:widowControl w:val="1"/>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widowControl w:val="1"/>
      </w:pPr>
      <w:r>
        <w:rPr>
          <w:color w:val="1E1D1C"/>
        </w:rPr>
        <w:t>This paper makes three observations.</w:t>
      </w:r>
    </w:p>
    <w:p>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pPr>
        <w:pStyle w:val="ListParagraph"/>
        <w:spacing w:after="80"/>
        <w:ind w:left="360" w:hanging="360"/>
      </w:pPr>
      <w:r>
        <w:rPr>
          <w:b/>
          <w:color w:val="1E1D1C"/>
        </w:rPr>
        <w:t xml:space="preserve">2. </w:t>
      </w:r>
      <w:r>
        <w:rPr>
          <w:color w:val="1E1D1C"/>
        </w:rPr>
        <w:t>The trades and middle-market economy (HVAC contractors, plumbers, auto and collision shops, restoration companies, heritage food processors, hurricane-shutter installers, heavy-equipment repair yards, and family farms that together account for one-third of U.S. private-sector GDP</w:t>
      </w:r>
      <w:r>
        <w:rPr>
          <w:color w:val="1E1D1C"/>
          <w:vertAlign w:val="superscript"/>
        </w:rPr>
        <w:t>8</w:t>
      </w:r>
      <w:r>
        <w:rPr>
          <w:color w:val="1E1D1C"/>
        </w:rPr>
        <w:t>) has no serious AI advisory coverage.</w:t>
      </w:r>
    </w:p>
    <w:p>
      <w:pPr>
        <w:pStyle w:val="ListParagraph"/>
        <w:spacing w:after="80"/>
        <w:ind w:left="360" w:hanging="360"/>
      </w:pPr>
      <w:r>
        <w:rPr>
          <w:b/>
          <w:color w:val="1E1D1C"/>
        </w:rPr>
        <w:t xml:space="preserve">3. </w:t>
      </w:r>
      <w:r>
        <w:rPr>
          <w:color w:val="1E1D1C"/>
        </w:rPr>
        <w:t>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widowControl w:val="1"/>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widowControl w:val="1"/>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widowControl w:val="1"/>
        <w:keepNext w:val="1"/>
        <w:keepLines w:val="1"/>
      </w:pPr>
      <w:r>
        <w:rPr>
          <w:rFonts w:ascii="Poppins" w:eastAsia="Poppins" w:hAnsi="Poppins" w:cs="Poppins"/>
          <w:color w:val="1E1D1C"/>
        </w:rPr>
        <w:t>1.1 Anthropic, with Wall Street money, goes direct.</w:t>
      </w:r>
    </w:p>
    <w:p>
      <w:pPr>
        <w:spacing w:before="0" w:after="80"/>
      </w:pPr>
      <w:r>
        <w:rPr>
          <w:b/>
          <w:color w:val="1E1D1C"/>
          <w:sz w:val="18"/>
          <w:caps w:val="1"/>
        </w:rPr>
        <w:t>May 4, 2026 · $1.5 billion in committed capital</w:t>
      </w:r>
    </w:p>
    <w:p w14:paraId="013BA69D" w14:textId="77777777" w:rsidR="00076B4B" w:rsidRDefault="00000000">
      <w:pPr>
        <w:spacing w:after="120"/>
        <w:rPr>
          <w:rFonts w:hint="eastAsia"/>
        </w:rPr>
        <w:widowControl w:val="1"/>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widowControl w:val="1"/>
        <w:keepNext w:val="1"/>
        <w:keepLines w:val="1"/>
      </w:pPr>
      <w:r>
        <w:rPr>
          <w:rFonts w:ascii="Poppins" w:eastAsia="Poppins" w:hAnsi="Poppins" w:cs="Poppins"/>
          <w:color w:val="1E1D1C"/>
        </w:rPr>
        <w:t>1.2 OpenAI follows within a week.</w:t>
      </w:r>
    </w:p>
    <w:p>
      <w:pPr>
        <w:spacing w:before="0" w:after="80"/>
      </w:pPr>
      <w:r>
        <w:rPr>
          <w:b/>
          <w:color w:val="1E1D1C"/>
          <w:sz w:val="18"/>
          <w:caps w:val="1"/>
        </w:rPr>
        <w:t>May 11, 2026 · $4 billion in committed capital</w:t>
      </w:r>
    </w:p>
    <w:p w14:paraId="3251A663" w14:textId="77777777" w:rsidR="00076B4B" w:rsidRDefault="00000000">
      <w:pPr>
        <w:spacing w:after="120"/>
        <w:rPr>
          <w:rFonts w:hint="eastAsia"/>
        </w:rPr>
        <w:widowControl w:val="1"/>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widowControl w:val="1"/>
        <w:keepNext w:val="1"/>
        <w:keepLines w:val="1"/>
      </w:pPr>
      <w:r>
        <w:rPr>
          <w:rFonts w:ascii="Poppins" w:eastAsia="Poppins" w:hAnsi="Poppins" w:cs="Poppins"/>
          <w:color w:val="1E1D1C"/>
        </w:rPr>
        <w:t>1.3 Google had already moved, bigger and through partners.</w:t>
      </w:r>
    </w:p>
    <w:p>
      <w:pPr>
        <w:spacing w:before="0" w:after="80"/>
      </w:pPr>
      <w:r>
        <w:rPr>
          <w:b/>
          <w:color w:val="1E1D1C"/>
          <w:sz w:val="18"/>
          <w:caps w:val="1"/>
        </w:rPr>
        <w:t>April 22, 2026 · $750 million committed</w:t>
      </w:r>
    </w:p>
    <w:p w14:paraId="312318EF" w14:textId="77777777" w:rsidR="00076B4B" w:rsidRDefault="00000000">
      <w:pPr>
        <w:spacing w:after="120"/>
        <w:rPr>
          <w:rFonts w:hint="eastAsia"/>
        </w:rPr>
        <w:widowControl w:val="1"/>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widowControl w:val="1"/>
        <w:keepNext w:val="1"/>
        <w:keepLines w:val="1"/>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widowControl w:val="1"/>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widowControl w:val="1"/>
        <w:keepNext w:val="1"/>
        <w:keepLines w:val="1"/>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widowControl w:val="1"/>
        <w:keepNext w:val="1"/>
        <w:keepLines w:val="1"/>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widowControl w:val="1"/>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widowControl w:val="1"/>
        <w:keepNext w:val="1"/>
        <w:keepLines w:val="1"/>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widowControl w:val="1"/>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widowControl w:val="1"/>
        <w:keepNext w:val="1"/>
        <w:keepLines w:val="1"/>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widowControl w:val="1"/>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3. The market the giants cannot profitably reach</w:t>
      </w:r>
    </w:p>
    <w:tbl>
      <w:tblPr>
        <w:tblW w:type="auto" w:w="0"/>
        <w:tblLayout w:type="fixed"/>
        <w:tblLook w:firstColumn="1" w:firstRow="1" w:lastColumn="0" w:lastRow="0" w:noHBand="0" w:noVBand="1" w:val="04A0"/>
        <w:tblBorders>
          <w:top w:val="single" w:sz="8" w:color="auto"/>
          <w:bottom w:val="single" w:sz="8" w:color="auto"/>
          <w:left w:val="nil"/>
          <w:right w:val="nil"/>
          <w:insideH w:val="nil"/>
          <w:insideV w:val="nil"/>
        </w:tblBorders>
      </w:tblPr>
      <w:tblGrid>
        <w:gridCol w:w="2160"/>
        <w:gridCol w:w="2160"/>
        <w:gridCol w:w="2160"/>
        <w:gridCol w:w="2160"/>
      </w:tblGrid>
      <w:tr>
        <w:tc>
          <w:tcPr>
            <w:tcW w:type="dxa" w:w="2340"/>
          </w:tcPr>
          <w:p>
            <w:pPr>
              <w:spacing w:after="40"/>
              <w:jc w:val="left"/>
            </w:pPr>
            <w:r>
              <w:rPr>
                <w:rFonts w:ascii="Poppins" w:hAnsi="Poppins"/>
                <w:b/>
                <w:color w:val="1E1D1C"/>
                <w:sz w:val="36"/>
              </w:rPr>
              <w:t>$2T</w:t>
            </w:r>
          </w:p>
          <w:p>
            <w:pPr>
              <w:spacing w:after="0"/>
            </w:pPr>
            <w:r>
              <w:rPr>
                <w:color w:val="1E1D1C"/>
                <w:sz w:val="14"/>
              </w:rPr>
              <w:t>Mid-market gen-AI value pool (WEF, 2026)</w:t>
            </w:r>
          </w:p>
        </w:tc>
        <w:tc>
          <w:tcPr>
            <w:tcW w:type="dxa" w:w="2340"/>
          </w:tcPr>
          <w:p>
            <w:pPr>
              <w:spacing w:after="40"/>
              <w:jc w:val="left"/>
            </w:pPr>
            <w:r>
              <w:rPr>
                <w:rFonts w:ascii="Poppins" w:hAnsi="Poppins"/>
                <w:b/>
                <w:color w:val="1E1D1C"/>
                <w:sz w:val="36"/>
              </w:rPr>
              <w:t>1/3</w:t>
            </w:r>
          </w:p>
          <w:p>
            <w:pPr>
              <w:spacing w:after="0"/>
            </w:pPr>
            <w:r>
              <w:rPr>
                <w:color w:val="1E1D1C"/>
                <w:sz w:val="14"/>
              </w:rPr>
              <w:t>Of U.S. private-sector GDP is mid-market (NCMM, 2025)</w:t>
            </w:r>
          </w:p>
        </w:tc>
        <w:tc>
          <w:tcPr>
            <w:tcW w:type="dxa" w:w="2340"/>
          </w:tcPr>
          <w:p>
            <w:pPr>
              <w:spacing w:after="40"/>
              <w:jc w:val="left"/>
            </w:pPr>
            <w:r>
              <w:rPr>
                <w:rFonts w:ascii="Poppins" w:hAnsi="Poppins"/>
                <w:b/>
                <w:color w:val="1E1D1C"/>
                <w:sz w:val="36"/>
              </w:rPr>
              <w:t>95%</w:t>
            </w:r>
          </w:p>
          <w:p>
            <w:pPr>
              <w:spacing w:after="0"/>
            </w:pPr>
            <w:r>
              <w:rPr>
                <w:color w:val="1E1D1C"/>
                <w:sz w:val="14"/>
              </w:rPr>
              <w:t>Of enterprise AI pilots fail to reach production (MIT NANDA, 2025)</w:t>
            </w:r>
          </w:p>
        </w:tc>
        <w:tc>
          <w:tcPr>
            <w:tcW w:type="dxa" w:w="2340"/>
          </w:tcPr>
          <w:p>
            <w:pPr>
              <w:spacing w:after="40"/>
              <w:jc w:val="left"/>
            </w:pPr>
            <w:r>
              <w:rPr>
                <w:rFonts w:ascii="Poppins" w:hAnsi="Poppins"/>
                <w:b/>
                <w:color w:val="1E1D1C"/>
                <w:sz w:val="36"/>
              </w:rPr>
              <w:t>82%</w:t>
            </w:r>
          </w:p>
          <w:p>
            <w:pPr>
              <w:spacing w:after="0"/>
            </w:pPr>
            <w:r>
              <w:rPr>
                <w:color w:val="1E1D1C"/>
                <w:sz w:val="14"/>
              </w:rPr>
              <w:t>Of small employers buy AI tools; median 5 (SBE Council, 2026)</w:t>
            </w:r>
          </w:p>
        </w:tc>
      </w:tr>
    </w:tbl>
    <w:p>
      <w:pPr>
        <w:spacing w:after="80"/>
      </w:pPr>
    </w:p>
    <w:p w14:paraId="616754AF" w14:textId="77777777" w:rsidR="00076B4B" w:rsidRDefault="00000000">
      <w:pPr>
        <w:pStyle w:val="Heading2"/>
        <w:spacing w:before="240" w:after="80"/>
        <w:widowControl w:val="1"/>
        <w:keepNext w:val="1"/>
        <w:keepLines w:val="1"/>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widowControl w:val="1"/>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widowControl w:val="1"/>
        <w:keepNext w:val="1"/>
        <w:keepLines w:val="1"/>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widowControl w:val="1"/>
      </w:pPr>
      <w:r>
        <w:rPr>
          <w:rFonts w:eastAsia="Open Sans" w:cs="Open Sans"/>
          <w:color w:val="1E1D1C"/>
        </w:rPr>
        <w:t>Inside ISI's engagement base, which spans HVAC, plumbing, auto and collision repair, hurricane shutters, heritage food processing, heavy equipment, and family farms,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widowControl w:val="1"/>
        <w:keepNext w:val="1"/>
        <w:keepLines w:val="1"/>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widowControl w:val="1"/>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widowControl w:val="1"/>
        <w:keepNext w:val="1"/>
        <w:keepLines w:val="1"/>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widowControl w:val="1"/>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spacing w:before="200" w:after="200"/>
        <w:ind w:left="720" w:right="720"/>
        <w:jc w:val="center"/>
        <w:pBdr>
          <w:top w:val="single" w:sz="4" w:space="8" w:color="auto"/>
          <w:bottom w:val="single" w:sz="4" w:space="8" w:color="auto"/>
        </w:pBdr>
        <w:keepLines w:val="1"/>
        <w:widowControl w:val="1"/>
      </w:pPr>
      <w:r>
        <w:rPr>
          <w:i/>
          <w:color w:val="1E1D1C"/>
          <w:sz w:val="26"/>
        </w:rPr>
        <w:t>The bottom of the market does not have less opportunity. It has different opportunity.</w:t>
      </w:r>
    </w:p>
    <w:p>
      <w:pPr>
        <w:pStyle w:val="Heading2"/>
        <w:spacing w:before="240" w:after="80"/>
        <w:widowControl w:val="1"/>
        <w:keepNext w:val="1"/>
        <w:keepLines w:val="1"/>
      </w:pPr>
      <w:r>
        <w:rPr>
          <w:rFonts w:ascii="Poppins" w:hAnsi="Poppins"/>
          <w:color w:val="1E1D1C"/>
        </w:rPr>
        <w:t>3.5 Per-seat licensing is breaking on the supply side.</w:t>
      </w:r>
    </w:p>
    <w:p>
      <w:pPr>
        <w:spacing w:after="120"/>
        <w:widowControl w:val="1"/>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widowControl w:val="1"/>
        <w:keepNext w:val="1"/>
        <w:keepLines w:val="1"/>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widowControl w:val="1"/>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widowControl w:val="1"/>
        <w:keepNext w:val="1"/>
        <w:keepLines w:val="1"/>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widowControl w:val="1"/>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widowControl w:val="1"/>
        <w:keepNext w:val="1"/>
        <w:keepLines w:val="1"/>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widowControl w:val="1"/>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widowControl w:val="1"/>
        <w:keepNext w:val="1"/>
        <w:keepLines w:val="1"/>
      </w:pPr>
      <w:r>
        <w:rPr>
          <w:rFonts w:ascii="Poppins" w:eastAsia="Poppins" w:hAnsi="Poppins" w:cs="Poppins"/>
          <w:color w:val="1E1D1C"/>
        </w:rPr>
        <w:t>4.3 Different shops, same shape.</w:t>
      </w:r>
    </w:p>
    <w:p w14:paraId="2D2C9C5A" w14:textId="77777777" w:rsidR="00076B4B" w:rsidRDefault="00000000">
      <w:pPr>
        <w:spacing w:after="120"/>
        <w:rPr>
          <w:rFonts w:hint="eastAsia"/>
        </w:rPr>
        <w:widowControl w:val="1"/>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widowControl w:val="1"/>
        <w:keepNext w:val="1"/>
        <w:keepLines w:val="1"/>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widowControl w:val="1"/>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widowControl w:val="1"/>
        <w:keepNext w:val="1"/>
        <w:keepLines w:val="1"/>
      </w:pPr>
      <w:r>
        <w:rPr>
          <w:rFonts w:ascii="Poppins" w:eastAsia="Poppins" w:hAnsi="Poppins" w:cs="Poppins"/>
          <w:color w:val="1E1D1C"/>
        </w:rPr>
        <w:t>4.5 The double lesson: CPM and AI.</w:t>
      </w:r>
    </w:p>
    <w:p w14:paraId="7FD99041" w14:textId="77777777" w:rsidR="00076B4B" w:rsidRDefault="00000000">
      <w:pPr>
        <w:spacing w:after="120"/>
        <w:rPr>
          <w:rFonts w:hint="eastAsia"/>
        </w:rPr>
        <w:widowControl w:val="1"/>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widowControl w:val="1"/>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widowControl w:val="1"/>
        <w:keepNext w:val="1"/>
        <w:keepLines w:val="1"/>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widowControl w:val="1"/>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widowControl w:val="1"/>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widowControl w:val="1"/>
        <w:keepNext w:val="1"/>
        <w:keepLines w:val="1"/>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widowControl w:val="1"/>
        <w:keepNext w:val="1"/>
        <w:keepLines w:val="1"/>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widowControl w:val="1"/>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widowControl w:val="1"/>
        <w:keepNext w:val="1"/>
        <w:keepLines w:val="1"/>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widowControl w:val="1"/>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widowControl w:val="1"/>
        <w:keepNext w:val="1"/>
        <w:keepLines w:val="1"/>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widowControl w:val="1"/>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widowControl w:val="1"/>
        <w:keepNext w:val="1"/>
        <w:keepLines w:val="1"/>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widowControl w:val="1"/>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widowControl w:val="1"/>
        <w:keepNext w:val="1"/>
        <w:keepLines w:val="1"/>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widowControl w:val="1"/>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widowControl w:val="1"/>
        <w:keepNext w:val="1"/>
        <w:keepLines w:val="1"/>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widowControl w:val="1"/>
        <w:keepNext w:val="1"/>
        <w:keepLines w:val="1"/>
      </w:pPr>
      <w:r>
        <w:rPr>
          <w:rFonts w:ascii="Poppins" w:eastAsia="Poppins" w:hAnsi="Poppins" w:cs="Poppins"/>
          <w:color w:val="1E1D1C"/>
        </w:rPr>
        <w:t>6.1 Positioning.</w:t>
      </w:r>
    </w:p>
    <w:p w14:paraId="18635BB6" w14:textId="77777777" w:rsidR="00076B4B" w:rsidRDefault="00000000">
      <w:pPr>
        <w:spacing w:after="120"/>
        <w:rPr>
          <w:rFonts w:hint="eastAsia"/>
        </w:rPr>
        <w:widowControl w:val="1"/>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widowControl w:val="1"/>
        <w:keepNext w:val="1"/>
        <w:keepLines w:val="1"/>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val="1"/>
        <w:spacing w:after="80"/>
        <w:rPr>
          <w:rFonts w:hint="eastAsia"/>
        </w:rPr>
        <w:widowControl w:val="1"/>
      </w:pPr>
      <w:r>
        <w:rPr>
          <w:b/>
          <w:color w:val="1E1D1C"/>
          <w:caps w:val="1"/>
        </w:rPr>
        <w:t xml:space="preserve">OFFER 1. </w:t>
      </w:r>
      <w:r>
        <w:rPr>
          <w:b/>
          <w:color w:val="1E1D1C"/>
        </w:rPr>
        <w:t>The Game.</w:t>
      </w:r>
      <w:r>
        <w:rPr>
          <w:color w:val="1E1D1C"/>
        </w:rPr>
        <w:t xml:space="preserv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val="1"/>
        <w:spacing w:after="80"/>
        <w:rPr>
          <w:rFonts w:hint="eastAsia"/>
        </w:rPr>
        <w:widowControl w:val="1"/>
      </w:pPr>
      <w:r>
        <w:rPr>
          <w:b/>
          <w:color w:val="1E1D1C"/>
          <w:caps w:val="1"/>
        </w:rPr>
        <w:t xml:space="preserve">OFFER 2. </w:t>
      </w:r>
      <w:r>
        <w:rPr>
          <w:b/>
          <w:color w:val="1E1D1C"/>
        </w:rPr>
        <w:t>AI-Augmented MAM.</w:t>
      </w:r>
      <w:r>
        <w:rPr>
          <w:color w:val="1E1D1C"/>
        </w:rPr>
        <w:t xml:space="preserve">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val="1"/>
        <w:spacing w:after="80"/>
        <w:rPr>
          <w:rFonts w:hint="eastAsia"/>
        </w:rPr>
        <w:widowControl w:val="1"/>
      </w:pPr>
      <w:r>
        <w:rPr>
          <w:b/>
          <w:color w:val="1E1D1C"/>
          <w:caps w:val="1"/>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val="1"/>
        <w:spacing w:after="80"/>
        <w:rPr>
          <w:rFonts w:hint="eastAsia"/>
        </w:rPr>
        <w:widowControl w:val="1"/>
      </w:pPr>
      <w:r>
        <w:rPr>
          <w:b/>
          <w:color w:val="1E1D1C"/>
          <w:caps w:val="1"/>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val="1"/>
        <w:spacing w:after="80"/>
        <w:rPr>
          <w:rFonts w:hint="eastAsia"/>
        </w:rPr>
        <w:widowControl w:val="1"/>
      </w:pPr>
      <w:r>
        <w:rPr>
          <w:b/>
          <w:color w:val="1E1D1C"/>
          <w:caps w:val="1"/>
        </w:rPr>
        <w:t xml:space="preserve">OFFER 5. </w:t>
      </w:r>
      <w:r>
        <w:rPr>
          <w:b/>
          <w:color w:val="1E1D1C"/>
        </w:rPr>
        <w:t>Fractional AI Chief.</w:t>
      </w:r>
      <w:r>
        <w:rPr>
          <w:color w:val="1E1D1C"/>
        </w:rPr>
        <w:t xml:space="preserve">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widowControl w:val="1"/>
        <w:keepNext w:val="1"/>
        <w:keepLines w:val="1"/>
      </w:pPr>
      <w:r>
        <w:rPr>
          <w:rFonts w:ascii="Poppins" w:eastAsia="Poppins" w:hAnsi="Poppins" w:cs="Poppins"/>
          <w:color w:val="1E1D1C"/>
        </w:rPr>
        <w:t>6.3 Economics.</w:t>
      </w:r>
    </w:p>
    <w:p w14:paraId="279176CD" w14:textId="77777777" w:rsidR="00076B4B" w:rsidRDefault="00000000">
      <w:pPr>
        <w:spacing w:after="120"/>
        <w:rPr>
          <w:rFonts w:hint="eastAsia"/>
        </w:rPr>
        <w:widowControl w:val="1"/>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widowControl w:val="1"/>
        <w:keepNext w:val="1"/>
        <w:keepLines w:val="1"/>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widowControl w:val="1"/>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7. SWOT</w:t>
      </w:r>
    </w:p>
    <w:p w14:paraId="162D6ACA" w14:textId="77777777" w:rsidR="00076B4B" w:rsidRDefault="00000000">
      <w:pPr>
        <w:rPr>
          <w:rFonts w:hint="eastAsia"/>
        </w:rPr>
        <w:widowControl w:val="1"/>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widowControl w:val="1"/>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widowControl w:val="1"/>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widowControl w:val="1"/>
            </w:pPr>
            <w:r>
              <w:rPr>
                <w:rFonts w:eastAsia="Open Sans" w:cs="Open Sans"/>
                <w:b/>
                <w:color w:val="1E1D1C"/>
                <w:sz w:val="18"/>
              </w:rPr>
              <w:t>• Built ad hoc inside engagements rather than as a teachable module; needs to be packaged before it can spread across the AI client work consultants are already running.</w:t>
            </w:r>
            <w:r>
              <w:rPr>
                <w:rFonts w:eastAsia="Open Sans" w:cs="Open Sans"/>
                <w:color w:val="1E1D1C"/>
                <w:sz w:val="18"/>
              </w:rPr>
            </w:r>
          </w:p>
          <w:p w14:paraId="4BF36A4D"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widowControl w:val="1"/>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widowControl w:val="1"/>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widowControl w:val="1"/>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widowControl w:val="1"/>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widowControl w:val="1"/>
      </w:pPr>
    </w:p>
    <w:p w14:paraId="2B50D153" w14:textId="77777777" w:rsidR="00076B4B" w:rsidRDefault="00000000">
      <w:pPr>
        <w:pStyle w:val="Heading1"/>
        <w:spacing w:before="360" w:after="160"/>
        <w:widowControl w:val="1"/>
        <w:keepNext w:val="1"/>
        <w:keepLines w:val="1"/>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widowControl w:val="1"/>
        <w:keepNext w:val="1"/>
        <w:keepLines w:val="1"/>
      </w:pPr>
      <w:r>
        <w:rPr>
          <w:rFonts w:ascii="Poppins" w:eastAsia="Poppins" w:hAnsi="Poppins" w:cs="Poppins"/>
          <w:color w:val="1E1D1C"/>
        </w:rPr>
        <w:t>8.1 Commoditization risk.</w:t>
      </w:r>
    </w:p>
    <w:p w14:paraId="4FA90391" w14:textId="77777777" w:rsidR="00076B4B" w:rsidRDefault="00000000">
      <w:pPr>
        <w:spacing w:after="120"/>
        <w:rPr>
          <w:rFonts w:hint="eastAsia"/>
        </w:rPr>
        <w:widowControl w:val="1"/>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widowControl w:val="1"/>
        <w:keepNext w:val="1"/>
        <w:keepLines w:val="1"/>
      </w:pPr>
      <w:r>
        <w:rPr>
          <w:rFonts w:ascii="Poppins" w:eastAsia="Poppins" w:hAnsi="Poppins" w:cs="Poppins"/>
          <w:color w:val="1E1D1C"/>
        </w:rPr>
        <w:t>8.2 Tool churn risk.</w:t>
      </w:r>
    </w:p>
    <w:p w14:paraId="288CF8E3" w14:textId="77777777" w:rsidR="00076B4B" w:rsidRDefault="00000000">
      <w:pPr>
        <w:spacing w:after="120"/>
        <w:rPr>
          <w:rFonts w:hint="eastAsia"/>
        </w:rPr>
        <w:widowControl w:val="1"/>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widowControl w:val="1"/>
        <w:keepNext w:val="1"/>
        <w:keepLines w:val="1"/>
      </w:pPr>
      <w:r>
        <w:rPr>
          <w:rFonts w:ascii="Poppins" w:eastAsia="Poppins" w:hAnsi="Poppins" w:cs="Poppins"/>
          <w:color w:val="1E1D1C"/>
        </w:rPr>
        <w:t>8.3 Adoption risk inside the client.</w:t>
      </w:r>
    </w:p>
    <w:p w14:paraId="5D4514C5" w14:textId="77777777" w:rsidR="00076B4B" w:rsidRDefault="00000000">
      <w:pPr>
        <w:spacing w:after="120"/>
        <w:rPr>
          <w:rFonts w:hint="eastAsia"/>
        </w:rPr>
        <w:widowControl w:val="1"/>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widowControl w:val="1"/>
        <w:keepNext w:val="1"/>
        <w:keepLines w:val="1"/>
      </w:pPr>
      <w:r>
        <w:rPr>
          <w:rFonts w:ascii="Poppins" w:eastAsia="Poppins" w:hAnsi="Poppins" w:cs="Poppins"/>
          <w:color w:val="1E1D1C"/>
        </w:rPr>
        <w:t>8.4 Brand risk.</w:t>
      </w:r>
    </w:p>
    <w:p w14:paraId="6F4D2864" w14:textId="77777777" w:rsidR="00076B4B" w:rsidRDefault="00000000">
      <w:pPr>
        <w:spacing w:after="120"/>
        <w:rPr>
          <w:rFonts w:hint="eastAsia"/>
        </w:rPr>
        <w:widowControl w:val="1"/>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widowControl w:val="1"/>
        <w:keepNext w:val="1"/>
        <w:keepLines w:val="1"/>
      </w:pPr>
      <w:r>
        <w:rPr>
          <w:rFonts w:ascii="Poppins" w:eastAsia="Poppins" w:hAnsi="Poppins" w:cs="Poppins"/>
          <w:color w:val="1E1D1C"/>
        </w:rPr>
        <w:t>8.5 Credential hygiene risk.</w:t>
      </w:r>
    </w:p>
    <w:p w14:paraId="4E4EA176" w14:textId="77777777" w:rsidR="00076B4B" w:rsidRDefault="00000000">
      <w:pPr>
        <w:spacing w:after="120"/>
        <w:rPr>
          <w:rFonts w:hint="eastAsia"/>
        </w:rPr>
        <w:widowControl w:val="1"/>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widowControl w:val="1"/>
        <w:keepNext w:val="1"/>
        <w:keepLines w:val="1"/>
      </w:pPr>
      <w:r>
        <w:rPr>
          <w:rFonts w:ascii="Poppins" w:hAnsi="Poppins"/>
          <w:color w:val="1E1D1C"/>
        </w:rPr>
        <w:t>8.6 Token-pricing risk.</w:t>
      </w:r>
    </w:p>
    <w:p>
      <w:pPr>
        <w:spacing w:after="120"/>
        <w:widowControl w:val="1"/>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widowControl w:val="1"/>
        <w:keepNext w:val="1"/>
        <w:keepLines w:val="1"/>
      </w:pPr>
      <w:r>
        <w:rPr>
          <w:rFonts w:ascii="Poppins" w:eastAsia="Poppins" w:hAnsi="Poppins" w:cs="Poppins"/>
          <w:color w:val="0056A5"/>
          <w:sz w:val="36"/>
        </w:rPr>
        <w:t>9. Recommendation</w:t>
      </w:r>
    </w:p>
    <w:p w14:paraId="279824F1" w14:textId="77777777" w:rsidR="00076B4B" w:rsidRDefault="00000000">
      <w:pPr>
        <w:spacing w:after="120"/>
        <w:rPr>
          <w:rFonts w:hint="eastAsia"/>
        </w:rPr>
        <w:widowControl w:val="1"/>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widowControl w:val="1"/>
      </w:pPr>
      <w:r>
        <w:rPr>
          <w:rFonts w:eastAsia="Open Sans" w:cs="Open Sans"/>
          <w:color w:val="1E1D1C"/>
        </w:rPr>
        <w:t>ISI consultants are already training clients on AI. What follows is the work to make the Game one of the options inside that work — a concrete pattern any consultant can pick up and bring to an engagement. Three steps, each the prerequisite for the next.</w:t>
      </w:r>
      <w:r w:rsidR="005708A4">
        <w:rPr>
          <w:rFonts w:eastAsia="Open Sans" w:cs="Open Sans"/>
          <w:color w:val="1E1D1C"/>
        </w:rPr>
      </w:r>
      <w:r>
        <w:rPr>
          <w:rFonts w:eastAsia="Open Sans" w:cs="Open Sans"/>
          <w:color w:val="1E1D1C"/>
        </w:rPr>
      </w:r>
    </w:p>
    <w:p w14:paraId="02B22E5F" w14:textId="77777777" w:rsidR="00076B4B" w:rsidRDefault="00000000">
      <w:pPr>
        <w:pStyle w:val="ListParagraph"/>
        <w:keepLines w:val="1"/>
        <w:spacing w:after="80"/>
        <w:rPr>
          <w:rFonts w:hint="eastAsia"/>
        </w:rPr>
        <w:widowControl w:val="1"/>
      </w:pPr>
      <w:r>
        <w:rPr>
          <w:b/>
          <w:color w:val="1E1D1C"/>
        </w:rPr>
        <w:t>Step 1. Reference implementation.</w:t>
      </w:r>
      <w:r>
        <w:rPr>
          <w:color w:val="1E1D1C"/>
        </w:rPr>
        <w:t xml:space="preserve">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val="1"/>
        <w:spacing w:after="80"/>
        <w:rPr>
          <w:rFonts w:hint="eastAsia"/>
        </w:rPr>
        <w:widowControl w:val="1"/>
      </w:pPr>
      <w:r>
        <w:rPr>
          <w:b/>
          <w:color w:val="1E1D1C"/>
        </w:rPr>
        <w:t>Step 2. The pattern playbook.</w:t>
      </w:r>
      <w:r>
        <w:rPr>
          <w:color w:val="1E1D1C"/>
        </w:rPr>
        <w:t xml:space="preserve"> Write the Game's build guide (the Wall, the Goal, the Game, the Steps, the thermometer, the gauges, the drill-down) as a vertical-neutral document any ISI consultant can hand a client as part of the AI work they're already doing. The test is whether a consultant can pick it up and start building inside their next engagement.</w:t>
      </w:r>
    </w:p>
    <w:p w14:paraId="6D9CC03D" w14:textId="77777777" w:rsidR="00076B4B" w:rsidRDefault="00000000">
      <w:pPr>
        <w:pStyle w:val="ListParagraph"/>
        <w:keepLines w:val="1"/>
        <w:spacing w:after="80"/>
        <w:rPr>
          <w:rFonts w:hint="eastAsia"/>
        </w:rPr>
        <w:widowControl w:val="1"/>
      </w:pPr>
      <w:r>
        <w:rPr>
          <w:b/>
          <w:color w:val="1E1D1C"/>
        </w:rPr>
        <w:t>Step 3. Prove the pattern transfers.</w:t>
      </w:r>
      <w:r>
        <w:rPr>
          <w:color w:val="1E1D1C"/>
        </w:rPr>
        <w:t xml:space="preserve"> A consultant outside the reference engagement builds a Game on their own client, working from the playbook. If that build lands, the Game graduates from a one-engagement pattern into a documented option ISI consultants can carry into the AI work they're already doing with clients. Whether five take it up, fifty, or it becomes a default is a decision the firm makes from a position of evidence. If the build stalls, the playbook gets another draft and the pattern is not yet ready to spread. Either way, what is handed to ISI at the end of Step 3 is the same set of artifacts: a reference engagement, a build guide, and a second consultant who has used both.</w:t>
      </w:r>
    </w:p>
    <w:p>
      <w:pPr>
        <w:spacing w:after="120"/>
        <w:widowControl w:val="1"/>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widowControl w:val="1"/>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widowControl w:val="1"/>
        <w:keepNext w:val="1"/>
        <w:keepLines w:val="1"/>
      </w:pPr>
      <w:r>
        <w:rPr>
          <w:rFonts w:ascii="Poppins" w:eastAsia="Poppins" w:hAnsi="Poppins" w:cs="Poppins"/>
          <w:color w:val="0056A5"/>
          <w:sz w:val="36"/>
        </w:rPr>
        <w:t>10. Closing</w:t>
      </w:r>
    </w:p>
    <w:p w14:paraId="2BEA9826" w14:textId="77777777" w:rsidR="00076B4B" w:rsidRDefault="00000000">
      <w:pPr>
        <w:spacing w:after="120"/>
        <w:rPr>
          <w:rFonts w:hint="eastAsia"/>
        </w:rPr>
        <w:widowControl w:val="1"/>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pPr>
        <w:spacing w:before="200" w:after="200"/>
        <w:ind w:left="720" w:right="720"/>
        <w:jc w:val="center"/>
        <w:pBdr>
          <w:top w:val="single" w:sz="4" w:space="8" w:color="auto"/>
          <w:bottom w:val="single" w:sz="4" w:space="8" w:color="auto"/>
        </w:pBdr>
        <w:keepLines w:val="1"/>
        <w:widowControl w:val="1"/>
      </w:pPr>
      <w:r>
        <w:rPr>
          <w:i/>
          <w:color w:val="1E1D1C"/>
          <w:sz w:val="26"/>
        </w:rPr>
        <w:t>The methodology is there. The clients are there. The tools are running today.</w:t>
      </w:r>
    </w:p>
    <w:p w14:paraId="61DBC2BE" w14:textId="77777777" w:rsidR="00076B4B" w:rsidRDefault="00000000">
      <w:pPr>
        <w:spacing w:after="120"/>
        <w:rPr>
          <w:rFonts w:hint="eastAsia"/>
        </w:rPr>
        <w:widowControl w:val="1"/>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widowControl w:val="1"/>
      </w:pPr>
      <w:r>
        <w:rPr>
          <w:rFonts w:eastAsia="Open Sans" w:cs="Open Sans"/>
          <w:color w:val="1E1D1C"/>
        </w:rPr>
        <w:t>The methodology is there: Critical Path Methodology, with the Cash Flow Model, the Wall, the UDE log, the Bloodwall, and the MAM that ISI has been running for decades. The clients are there. ISI consultants are already training those clients on AI. The tools are running today, in production, in engagements that span HVAC, plumbing, auto, hurricane shutters, heritage food, and small institutions. The proposal is to name the Game as one option inside that work, document the pattern so it transfers cleanly, and let ISI scale it on whatever terms the firm chooses.</w:t>
      </w:r>
    </w:p>
    <w:p w14:paraId="70A003BC"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widowControl w:val="1"/>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widowControl w:val="1"/>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widowControl w:val="1"/>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widowControl w:val="1"/>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widowControl w:val="1"/>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widowControl w:val="1"/>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widowControl w:val="1"/>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widowControl w:val="1"/>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widowControl w:val="1"/>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widowControl w:val="1"/>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widowControl w:val="1"/>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widowControl w:val="1"/>
      </w:pPr>
      <w:r>
        <w:rPr>
          <w:color w:val="1E1D1C"/>
          <w:sz w:val="20"/>
        </w:rPr>
        <w:t>12. Bloomberg, "What's Behind the 'SaaSpocalypse' Plunge in Software Stocks," February 4, 2026, https://www.bloomberg.com/news/articles/2026-02-04/what-s-behind-the-saaspocalypse-plunge-in-software-stocks.</w:t>
      </w:r>
    </w:p>
    <w:p>
      <w:pPr>
        <w:spacing w:after="80"/>
        <w:ind w:left="360" w:hanging="360"/>
        <w:widowControl w:val="1"/>
      </w:pPr>
      <w:r>
        <w:rPr>
          <w:color w:val="1E1D1C"/>
          <w:sz w:val="20"/>
        </w:rPr>
        <w:t>13. 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widowControl w:val="1"/>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widowControl w:val="1"/>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widowControl w:val="1"/>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widowControl w:val="1"/>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widowControl w:val="1"/>
      </w:pPr>
      <w:r>
        <w:rPr>
          <w:color w:val="1E1D1C"/>
          <w:sz w:val="20"/>
        </w:rPr>
        <w:t>Artefact. "Is AI Really Getting Cheaper? The Token Cost Illusion." Accessed May 15, 2026. https://www.artefact.com/blog/is-ai-really-getting-cheaper-the-token-cost-illusion/.</w:t>
      </w:r>
    </w:p>
    <w:p>
      <w:pPr>
        <w:spacing w:after="80"/>
        <w:ind w:left="360" w:hanging="360"/>
        <w:widowControl w:val="1"/>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widowControl w:val="1"/>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pPr>
        <w:spacing w:after="80"/>
        <w:ind w:left="360" w:hanging="360"/>
        <w:widowControl w:val="1"/>
      </w:pPr>
      <w:r>
        <w:rPr>
          <w:color w:val="1E1D1C"/>
          <w:sz w:val="20"/>
        </w:rPr>
        <w:t>Bloomberg. "What's Behind the 'SaaSpocalypse' Plunge in Software Stocks." February 4, 2026. https://www.bloomberg.com/news/articles/2026-02-04/what-s-behind-the-saaspocalypse-plunge-in-software-stocks.</w:t>
      </w:r>
    </w:p>
    <w:p w14:paraId="0DFFB57A" w14:textId="77777777" w:rsidR="00076B4B" w:rsidRDefault="00000000">
      <w:pPr>
        <w:spacing w:after="80"/>
        <w:ind w:left="360" w:hanging="360"/>
        <w:rPr>
          <w:rFonts w:hint="eastAsia"/>
        </w:rPr>
        <w:widowControl w:val="1"/>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widowControl w:val="1"/>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widowControl w:val="1"/>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widowControl w:val="1"/>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widowControl w:val="1"/>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widowControl w:val="1"/>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33C9DDFE" w14:textId="77777777" w:rsidR="00076B4B" w:rsidRDefault="00000000">
      <w:pPr>
        <w:spacing w:after="80"/>
        <w:ind w:left="360" w:hanging="360"/>
        <w:rPr>
          <w:rFonts w:hint="eastAsia"/>
        </w:rPr>
        <w:widowControl w:val="1"/>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widowControl w:val="1"/>
      </w:pPr>
      <w:r>
        <w:rPr>
          <w:color w:val="1E1D1C"/>
          <w:sz w:val="20"/>
        </w:rPr>
        <w:t>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widowControl w:val="1"/>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widowControl w:val="1"/>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widowControl w:val="1"/>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widowControl w:val="1"/>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widowControl w:val="1"/>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widowControl w:val="1"/>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