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A6B5" w14:textId="77777777" w:rsidR="00076B4B" w:rsidRDefault="00000000">
      <w:pPr>
        <w:spacing w:after="480"/>
        <w:rPr>
          <w:rFonts w:hint="eastAsia"/>
        </w:rPr>
      </w:pPr>
      <w:r>
        <w:rPr>
          <w:noProof/>
        </w:rPr>
        <w:drawing>
          <wp:inline distT="0" distB="0" distL="0" distR="0" wp14:anchorId="4C1EDA1B" wp14:editId="56A20C1C">
            <wp:extent cx="1645920" cy="633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ogo2.png"/>
                    <pic:cNvPicPr/>
                  </pic:nvPicPr>
                  <pic:blipFill>
                    <a:blip r:embed="rId8"/>
                    <a:stretch>
                      <a:fillRect/>
                    </a:stretch>
                  </pic:blipFill>
                  <pic:spPr>
                    <a:xfrm>
                      <a:off x="0" y="0"/>
                      <a:ext cx="1645920" cy="633046"/>
                    </a:xfrm>
                    <a:prstGeom prst="rect">
                      <a:avLst/>
                    </a:prstGeom>
                  </pic:spPr>
                </pic:pic>
              </a:graphicData>
            </a:graphic>
          </wp:inline>
        </w:drawing>
      </w:r>
    </w:p>
    <w:p w14:paraId="1C0F1B50" w14:textId="77777777" w:rsidR="00076B4B" w:rsidRDefault="00000000">
      <w:pPr>
        <w:spacing w:after="80"/>
        <w:rPr>
          <w:rFonts w:hint="eastAsia"/>
        </w:rPr>
      </w:pPr>
      <w:r>
        <w:rPr>
          <w:rFonts w:eastAsia="Open Sans" w:cs="Open Sans"/>
          <w:b/>
          <w:color w:val="7EBEC5"/>
          <w:sz w:val="28"/>
        </w:rPr>
        <w:t>――――――</w:t>
      </w:r>
    </w:p>
    <w:p w14:paraId="0A979053" w14:textId="77777777" w:rsidR="00076B4B" w:rsidRDefault="00000000">
      <w:pPr>
        <w:spacing w:after="80"/>
        <w:rPr>
          <w:rFonts w:hint="eastAsia"/>
        </w:rPr>
      </w:pPr>
      <w:r>
        <w:rPr>
          <w:rFonts w:eastAsia="Open Sans" w:cs="Open Sans"/>
          <w:b/>
          <w:color w:val="4A8B91"/>
          <w:sz w:val="20"/>
        </w:rPr>
        <w:t>WHITE PAPER</w:t>
      </w:r>
    </w:p>
    <w:p w14:paraId="738885D5" w14:textId="77777777" w:rsidR="00076B4B" w:rsidRDefault="00000000">
      <w:pPr>
        <w:spacing w:after="120"/>
        <w:rPr>
          <w:rFonts w:hint="eastAsia"/>
        </w:rPr>
      </w:pPr>
      <w:r>
        <w:rPr>
          <w:rFonts w:eastAsia="Open Sans" w:cs="Open Sans"/>
          <w:b/>
          <w:color w:val="1E1D1C"/>
          <w:sz w:val="56"/>
        </w:rPr>
        <w:t>The Forward-Deployed Decade</w:t>
      </w:r>
    </w:p>
    <w:p w14:paraId="578339BC" w14:textId="77777777" w:rsidR="00076B4B" w:rsidRDefault="00000000">
      <w:pPr>
        <w:spacing w:after="480"/>
        <w:rPr>
          <w:rFonts w:hint="eastAsia"/>
        </w:rPr>
      </w:pPr>
      <w:r>
        <w:rPr>
          <w:rFonts w:eastAsia="Open Sans" w:cs="Open Sans"/>
          <w:i/>
          <w:color w:val="888888"/>
          <w:sz w:val="24"/>
        </w:rPr>
        <w:t>A proposal for a trades-focused AI consulting practice, and why the frontier-lab giants cannot reach this market.</w:t>
      </w:r>
    </w:p>
    <w:p w14:paraId="604AB6CA" w14:textId="77777777" w:rsidR="00076B4B" w:rsidRDefault="00000000">
      <w:pPr>
        <w:spacing w:after="40"/>
        <w:rPr>
          <w:rFonts w:hint="eastAsia"/>
        </w:rPr>
      </w:pPr>
      <w:r>
        <w:rPr>
          <w:rFonts w:eastAsia="Open Sans" w:cs="Open Sans"/>
          <w:b/>
          <w:color w:val="1E1D1C"/>
        </w:rPr>
        <w:t>Prepared by Dale Linn</w:t>
      </w:r>
    </w:p>
    <w:p w14:paraId="2D5346E4" w14:textId="77777777" w:rsidR="00076B4B" w:rsidRDefault="00000000">
      <w:pPr>
        <w:spacing w:after="40"/>
        <w:rPr>
          <w:rFonts w:hint="eastAsia"/>
        </w:rPr>
      </w:pPr>
      <w:r>
        <w:rPr>
          <w:rFonts w:eastAsia="Open Sans" w:cs="Open Sans"/>
          <w:color w:val="1E1D1C"/>
        </w:rPr>
        <w:t>Senior Business Consultant, ISI</w:t>
      </w:r>
    </w:p>
    <w:p w14:paraId="6ED354B1" w14:textId="77777777" w:rsidR="00076B4B" w:rsidRDefault="00000000">
      <w:pPr>
        <w:spacing w:after="480"/>
        <w:rPr>
          <w:rFonts w:hint="eastAsia"/>
        </w:rPr>
      </w:pPr>
      <w:r>
        <w:rPr>
          <w:rFonts w:eastAsia="Open Sans" w:cs="Open Sans"/>
          <w:color w:val="1E1D1C"/>
        </w:rPr>
        <w:t>May 2026</w:t>
      </w:r>
    </w:p>
    <w:p w14:paraId="3C650F86" w14:textId="77777777" w:rsidR="00076B4B" w:rsidRDefault="00000000">
      <w:pPr>
        <w:spacing w:after="40"/>
        <w:rPr>
          <w:rFonts w:hint="eastAsia"/>
        </w:rPr>
      </w:pPr>
      <w:r>
        <w:rPr>
          <w:rFonts w:eastAsia="Open Sans" w:cs="Open Sans"/>
          <w:b/>
          <w:color w:val="4A8B91"/>
        </w:rPr>
        <w:t>Executive thesis.</w:t>
      </w:r>
    </w:p>
    <w:p w14:paraId="0C116006" w14:textId="77777777" w:rsidR="00076B4B" w:rsidRDefault="00000000">
      <w:pPr>
        <w:spacing w:after="120"/>
        <w:rPr>
          <w:rFonts w:hint="eastAsia"/>
        </w:rPr>
      </w:pPr>
      <w:r>
        <w:rPr>
          <w:rFonts w:eastAsia="Open Sans" w:cs="Open Sans"/>
          <w:color w:val="1E1D1C"/>
        </w:rPr>
        <w:t>In a single thirty-day window in the spring of 2026, Anthropic, OpenAI, and Google each launched AI consulting arms aimed at the work Accenture, Deloitte, and McKinsey have owned for forty years. The frontier AI labs are no longer selling models. They are selling outcomes, and they are sending their own engineers into client buildings to deliver them.</w:t>
      </w:r>
    </w:p>
    <w:p w14:paraId="119D7F94" w14:textId="77777777" w:rsidR="00076B4B" w:rsidRDefault="00000000">
      <w:pPr>
        <w:spacing w:after="120"/>
        <w:rPr>
          <w:rFonts w:hint="eastAsia"/>
        </w:rPr>
      </w:pPr>
      <w:r>
        <w:rPr>
          <w:rFonts w:eastAsia="Open Sans" w:cs="Open Sans"/>
          <w:color w:val="1E1D1C"/>
        </w:rPr>
        <w:t>This paper makes three observations. First, the AI consulting market the labs are entering is the Fortune 1000, one zip code above ISI's market. Second, the trades and middle-market economy (HVAC contractors, plumbers, auto and collision shops, restoration companies, heritage food processors, hurricane-shutter installers, heavy-equipment repair yards, and family churches that together account for one-third of U.S. private-sector GDP</w:t>
      </w:r>
      <w:r>
        <w:rPr>
          <w:rFonts w:eastAsia="Open Sans" w:cs="Open Sans"/>
          <w:color w:val="1E1D1C"/>
          <w:vertAlign w:val="superscript"/>
        </w:rPr>
        <w:t>8</w:t>
      </w:r>
      <w:r>
        <w:rPr>
          <w:rFonts w:eastAsia="Open Sans" w:cs="Open Sans"/>
          <w:color w:val="1E1D1C"/>
        </w:rPr>
        <w:t>) has no serious AI advisory coverage. Third, ISI is well-positioned to serve that market, because the bottleneck in mid-market AI is the operating discipline, and operating discipline is what ISI already sells.</w:t>
      </w:r>
    </w:p>
    <w:p w14:paraId="6234097C" w14:textId="77777777" w:rsidR="00076B4B" w:rsidRDefault="00000000">
      <w:pPr>
        <w:spacing w:after="280"/>
        <w:rPr>
          <w:rFonts w:hint="eastAsia"/>
        </w:rPr>
      </w:pPr>
      <w:r>
        <w:rPr>
          <w:rFonts w:eastAsia="Open Sans" w:cs="Open Sans"/>
          <w:color w:val="1E1D1C"/>
        </w:rPr>
        <w:t xml:space="preserve">The case rests on a working production system, not a deck. The Game is the live scoreboard ISI builds for each client, no two identical. It is the foundational teaching tool for everything that follows. Every Game has the same shape (the Wall the business must clear, the Goal it is moving toward, the Steps that bridge them, a thermometer that shows </w:t>
      </w:r>
      <w:r>
        <w:rPr>
          <w:rFonts w:eastAsia="Open Sans" w:cs="Open Sans"/>
          <w:color w:val="1E1D1C"/>
        </w:rPr>
        <w:lastRenderedPageBreak/>
        <w:t>pace, gauges that show health, and a drill-down for every number on the board), but the metrics inside that shape are local to the client. The Game is the live-data front of the Critical Path Methodology (CPM) operating loop ISI has always sold. The Cash Flow Model (CFM) is the weekly instrument that projects and tracks the month, line by line, week by week: revenue at the top, cost of goods sold separated from overhead, distributions accounted for, and what is left at the bottom shown explicitly. The Wall on the Game is the visible form of the CFM's overhead line. The rest of the CFM teaches the owner where every other dollar goes. The Game runs on a one-month clock: the team gets four weeks, sometimes five, to win it. Inside that month, every part of the operation runs weekly. UnDesirable Effects (UDEs) are logged as the business surfaces them. The Bloodwall is the workspace where each UDE gets worked: story, math, action, owner, outcome. The Management Accountability Meeting (MAM) is the weekly cadence where that work gets tracked, where each action owner is held accountable for what was committed to last week, and where the team makes the decisions only a team can make, including the call to pivot. The Game is also a dual-purpose teaching artifact: it teaches the owner CPM, and it teaches the same owner how to live with AI. Those two lessons are what keep the engagement open after the initial build is finished.</w:t>
      </w:r>
    </w:p>
    <w:p w14:paraId="015CC726" w14:textId="77777777" w:rsidR="00076B4B" w:rsidRDefault="00000000">
      <w:pPr>
        <w:pStyle w:val="Heading1"/>
        <w:pageBreakBefore/>
        <w:spacing w:before="360" w:after="160"/>
      </w:pPr>
      <w:r>
        <w:rPr>
          <w:rFonts w:ascii="Poppins" w:eastAsia="Poppins" w:hAnsi="Poppins" w:cs="Poppins"/>
          <w:color w:val="4A8B91"/>
          <w:sz w:val="36"/>
        </w:rPr>
        <w:lastRenderedPageBreak/>
        <w:t>1. What just happened</w:t>
      </w:r>
    </w:p>
    <w:p w14:paraId="5F509BE6" w14:textId="77777777" w:rsidR="00076B4B" w:rsidRDefault="00000000">
      <w:pPr>
        <w:spacing w:after="120"/>
        <w:rPr>
          <w:rFonts w:hint="eastAsia"/>
        </w:rPr>
      </w:pPr>
      <w:r>
        <w:rPr>
          <w:rFonts w:eastAsia="Open Sans" w:cs="Open Sans"/>
          <w:color w:val="1E1D1C"/>
        </w:rPr>
        <w:t>Between April 22 and May 12 of this year, three of the most powerful AI companies in the world announced consulting ventures within a thirty-day window. They are entering the consulting business directly, not through resellers.</w:t>
      </w:r>
    </w:p>
    <w:p w14:paraId="3279AF02" w14:textId="77777777" w:rsidR="00076B4B" w:rsidRDefault="00000000">
      <w:pPr>
        <w:pStyle w:val="Heading2"/>
        <w:spacing w:before="240" w:after="80"/>
      </w:pPr>
      <w:r>
        <w:rPr>
          <w:rFonts w:ascii="Poppins" w:eastAsia="Poppins" w:hAnsi="Poppins" w:cs="Poppins"/>
          <w:color w:val="1E1D1C"/>
        </w:rPr>
        <w:t>1.1 Anthropic, with Wall Street money, goes direct.</w:t>
      </w:r>
    </w:p>
    <w:p w14:paraId="013BA69D" w14:textId="77777777" w:rsidR="00076B4B" w:rsidRDefault="00000000">
      <w:pPr>
        <w:spacing w:after="120"/>
        <w:rPr>
          <w:rFonts w:hint="eastAsia"/>
        </w:rPr>
      </w:pPr>
      <w:r>
        <w:rPr>
          <w:rFonts w:eastAsia="Open Sans" w:cs="Open Sans"/>
          <w:color w:val="1E1D1C"/>
        </w:rPr>
        <w:t>On May 4, Anthropic announced a standalone AI-native enterprise services firm jointly capitalized with Blackstone, Hellman &amp; Friedman, and Goldman Sachs, with a further investor consortium that includes Apollo, General Atlantic, GIC, Leonard Green, and Sequoia. The venture has $1.5 billion in committed capital and a single mission: embed Anthropic engineers directly inside mid-size client operations to deploy Claude into core workflows.</w:t>
      </w:r>
      <w:r>
        <w:rPr>
          <w:rFonts w:eastAsia="Open Sans" w:cs="Open Sans"/>
          <w:color w:val="1E1D1C"/>
          <w:vertAlign w:val="superscript"/>
        </w:rPr>
        <w:t>1</w:t>
      </w:r>
      <w:r>
        <w:rPr>
          <w:rFonts w:eastAsia="Open Sans" w:cs="Open Sans"/>
          <w:color w:val="1E1D1C"/>
        </w:rPr>
        <w:t xml:space="preserve"> Fortune characterized the move as a direct shot at the consulting industry.</w:t>
      </w:r>
      <w:r>
        <w:rPr>
          <w:rFonts w:eastAsia="Open Sans" w:cs="Open Sans"/>
          <w:color w:val="1E1D1C"/>
          <w:vertAlign w:val="superscript"/>
        </w:rPr>
        <w:t>2</w:t>
      </w:r>
    </w:p>
    <w:p w14:paraId="68738211" w14:textId="77777777" w:rsidR="00076B4B" w:rsidRDefault="00000000">
      <w:pPr>
        <w:pStyle w:val="Heading2"/>
        <w:spacing w:before="240" w:after="80"/>
      </w:pPr>
      <w:r>
        <w:rPr>
          <w:rFonts w:ascii="Poppins" w:eastAsia="Poppins" w:hAnsi="Poppins" w:cs="Poppins"/>
          <w:color w:val="1E1D1C"/>
        </w:rPr>
        <w:t>1.2 OpenAI follows within a week.</w:t>
      </w:r>
    </w:p>
    <w:p w14:paraId="3251A663" w14:textId="77777777" w:rsidR="00076B4B" w:rsidRDefault="00000000">
      <w:pPr>
        <w:spacing w:after="120"/>
        <w:rPr>
          <w:rFonts w:hint="eastAsia"/>
        </w:rPr>
      </w:pPr>
      <w:r>
        <w:rPr>
          <w:rFonts w:eastAsia="Open Sans" w:cs="Open Sans"/>
          <w:color w:val="1E1D1C"/>
        </w:rPr>
        <w:t>On May 11, OpenAI announced the OpenAI Deployment Company and, in the same announcement, agreed to acquire the applied-AI consulting firm Tomoro. The venture was capitalized with $4 billion from a consortium that includes TPG, Brookfield, and Capgemini; the Tomoro acquisition brings approximately 150 forward-deployed engineers into the new company on day one.</w:t>
      </w:r>
      <w:r>
        <w:rPr>
          <w:rFonts w:eastAsia="Open Sans" w:cs="Open Sans"/>
          <w:color w:val="1E1D1C"/>
          <w:vertAlign w:val="superscript"/>
        </w:rPr>
        <w:t>3</w:t>
      </w:r>
      <w:r>
        <w:rPr>
          <w:rFonts w:eastAsia="Open Sans" w:cs="Open Sans"/>
          <w:color w:val="1E1D1C"/>
        </w:rPr>
        <w:t xml:space="preserve"> The framing is identical to Anthropic's: hire engineers, drop them into the customer, build the integration onsite.</w:t>
      </w:r>
    </w:p>
    <w:p w14:paraId="0168EB9A" w14:textId="77777777" w:rsidR="00076B4B" w:rsidRDefault="00000000">
      <w:pPr>
        <w:pStyle w:val="Heading2"/>
        <w:spacing w:before="240" w:after="80"/>
      </w:pPr>
      <w:r>
        <w:rPr>
          <w:rFonts w:ascii="Poppins" w:eastAsia="Poppins" w:hAnsi="Poppins" w:cs="Poppins"/>
          <w:color w:val="1E1D1C"/>
        </w:rPr>
        <w:t>1.3 Google had already moved, bigger and through partners.</w:t>
      </w:r>
    </w:p>
    <w:p w14:paraId="312318EF" w14:textId="77777777" w:rsidR="00076B4B" w:rsidRDefault="00000000">
      <w:pPr>
        <w:spacing w:after="120"/>
        <w:rPr>
          <w:rFonts w:hint="eastAsia"/>
        </w:rPr>
      </w:pPr>
      <w:r>
        <w:rPr>
          <w:rFonts w:eastAsia="Open Sans" w:cs="Open Sans"/>
          <w:color w:val="1E1D1C"/>
        </w:rPr>
        <w:t>At Cloud Next '26 in late April, Google Cloud committed $750 million to its 120,000-member partner ecosystem to fund AI value assessments, agent prototyping, and embedded forward-deployed engineering teams alongside Accenture, Capgemini, Cognizant, Deloitte, HCLTech, PwC, and TCS.</w:t>
      </w:r>
      <w:r>
        <w:rPr>
          <w:rFonts w:eastAsia="Open Sans" w:cs="Open Sans"/>
          <w:color w:val="1E1D1C"/>
          <w:vertAlign w:val="superscript"/>
        </w:rPr>
        <w:t>4</w:t>
      </w:r>
      <w:r>
        <w:rPr>
          <w:rFonts w:eastAsia="Open Sans" w:cs="Open Sans"/>
          <w:color w:val="1E1D1C"/>
        </w:rPr>
        <w:t xml:space="preserve"> Days earlier, McKinsey and Google Cloud announced the McKinsey Google Transformation Group, a joint venture to scale enterprise AI delivery through co-funded value assessments and outcome-based models.</w:t>
      </w:r>
      <w:r>
        <w:rPr>
          <w:rFonts w:eastAsia="Open Sans" w:cs="Open Sans"/>
          <w:color w:val="1E1D1C"/>
          <w:vertAlign w:val="superscript"/>
        </w:rPr>
        <w:t>5</w:t>
      </w:r>
    </w:p>
    <w:p w14:paraId="2A806630" w14:textId="77777777" w:rsidR="00076B4B" w:rsidRDefault="00000000">
      <w:pPr>
        <w:pStyle w:val="Heading2"/>
        <w:spacing w:before="240" w:after="80"/>
      </w:pPr>
      <w:r>
        <w:rPr>
          <w:rFonts w:ascii="Poppins" w:eastAsia="Poppins" w:hAnsi="Poppins" w:cs="Poppins"/>
          <w:color w:val="1E1D1C"/>
        </w:rPr>
        <w:t>1.4 The pattern is Palantir, not SaaS.</w:t>
      </w:r>
    </w:p>
    <w:p w14:paraId="1ADD0ADB" w14:textId="77777777" w:rsidR="00076B4B" w:rsidRDefault="00000000">
      <w:pPr>
        <w:spacing w:after="120"/>
        <w:rPr>
          <w:rFonts w:hint="eastAsia"/>
        </w:rPr>
      </w:pPr>
      <w:r>
        <w:rPr>
          <w:rFonts w:eastAsia="Open Sans" w:cs="Open Sans"/>
          <w:color w:val="1E1D1C"/>
        </w:rPr>
        <w:t xml:space="preserve">The shared model behind all three moves is Palantir's: forward-deployed engineers sitting inside the client, building bespoke deployments, owning outcomes. The AI labs have looked at Palantir's revenue per customer and decided they want to be Palantir. In the old SaaS model, the vendor sold a tool and the consultant taught the client how to use it. In the </w:t>
      </w:r>
      <w:r>
        <w:rPr>
          <w:rFonts w:eastAsia="Open Sans" w:cs="Open Sans"/>
          <w:color w:val="1E1D1C"/>
        </w:rPr>
        <w:lastRenderedPageBreak/>
        <w:t>forward-deployed model, the vendor is the consultant. Cognizant signed an early version of this deal in November 2025, agreeing to roll Claude out to its own 350,000 employees and resell it through its services arm.</w:t>
      </w:r>
      <w:r>
        <w:rPr>
          <w:rFonts w:eastAsia="Open Sans" w:cs="Open Sans"/>
          <w:color w:val="1E1D1C"/>
          <w:vertAlign w:val="superscript"/>
        </w:rPr>
        <w:t>6</w:t>
      </w:r>
      <w:r>
        <w:rPr>
          <w:rFonts w:eastAsia="Open Sans" w:cs="Open Sans"/>
          <w:color w:val="1E1D1C"/>
        </w:rPr>
        <w:t xml:space="preserve"> The line between "AI company" and "consulting firm" is dissolving in real time.</w:t>
      </w:r>
    </w:p>
    <w:p w14:paraId="2CF6335D" w14:textId="77777777" w:rsidR="00076B4B" w:rsidRDefault="00000000">
      <w:pPr>
        <w:pStyle w:val="Heading1"/>
        <w:spacing w:before="360" w:after="160"/>
      </w:pPr>
      <w:r>
        <w:rPr>
          <w:rFonts w:ascii="Poppins" w:eastAsia="Poppins" w:hAnsi="Poppins" w:cs="Poppins"/>
          <w:color w:val="4A8B91"/>
          <w:sz w:val="36"/>
        </w:rPr>
        <w:t>2. Why this changes the consulting industry</w:t>
      </w:r>
    </w:p>
    <w:p w14:paraId="7C1D30AA" w14:textId="77777777" w:rsidR="00076B4B" w:rsidRDefault="00000000">
      <w:pPr>
        <w:pStyle w:val="Heading2"/>
        <w:spacing w:before="240" w:after="80"/>
      </w:pPr>
      <w:r>
        <w:rPr>
          <w:rFonts w:ascii="Poppins" w:eastAsia="Poppins" w:hAnsi="Poppins" w:cs="Poppins"/>
          <w:color w:val="1E1D1C"/>
        </w:rPr>
        <w:t>2.1 The Big Four problem just acquired a Big Three problem.</w:t>
      </w:r>
    </w:p>
    <w:p w14:paraId="06E0E2F5" w14:textId="77777777" w:rsidR="00076B4B" w:rsidRDefault="00000000">
      <w:pPr>
        <w:spacing w:after="120"/>
        <w:rPr>
          <w:rFonts w:hint="eastAsia"/>
        </w:rPr>
      </w:pPr>
      <w:r>
        <w:rPr>
          <w:rFonts w:eastAsia="Open Sans" w:cs="Open Sans"/>
          <w:color w:val="1E1D1C"/>
        </w:rPr>
        <w:t>For most of the past four decades, large-enterprise transformation work has belonged to a small, stable oligopoly: Accenture, Deloitte, McKinsey, Bain, BCG, and the Big Four. Their moat was a combination of relationships, methodology, brand permission to bill at $400 to $1,200 an hour, and tens of thousands of bodies. AI does not eliminate that moat at the top of the market, but it does compress it. McKinsey now needs Google's models to deliver McKinsey's outcome; Accenture is one of seven named co-deployment partners on Google's $750 million program.</w:t>
      </w:r>
    </w:p>
    <w:p w14:paraId="7C6F902A" w14:textId="77777777" w:rsidR="00076B4B" w:rsidRDefault="00000000">
      <w:pPr>
        <w:pStyle w:val="Heading2"/>
        <w:spacing w:before="240" w:after="80"/>
      </w:pPr>
      <w:r>
        <w:rPr>
          <w:rFonts w:ascii="Poppins" w:eastAsia="Poppins" w:hAnsi="Poppins" w:cs="Poppins"/>
          <w:color w:val="1E1D1C"/>
        </w:rPr>
        <w:t>2.2 The economics flip when delivery is partly automated.</w:t>
      </w:r>
    </w:p>
    <w:p w14:paraId="5EFAA02E" w14:textId="77777777" w:rsidR="00076B4B" w:rsidRDefault="00000000">
      <w:pPr>
        <w:spacing w:after="120"/>
        <w:rPr>
          <w:rFonts w:hint="eastAsia"/>
        </w:rPr>
      </w:pPr>
      <w:r>
        <w:rPr>
          <w:rFonts w:eastAsia="Open Sans" w:cs="Open Sans"/>
          <w:color w:val="1E1D1C"/>
        </w:rPr>
        <w:t>In a traditional Accenture engagement, a $40 million transformation runs on 120 to 200 billable consultants for twelve to eighteen months. In a forward-deployed engagement, the same scope is delivered by a smaller team plus agentic systems that handle the documentation, the data plumbing, and a substantial fraction of the actual implementation work. PwC's 2026 guidance is that technology delivers 20 percent of an AI initiative's value; the other 80 percent comes from redesigning the work itself.</w:t>
      </w:r>
      <w:r>
        <w:rPr>
          <w:rFonts w:eastAsia="Open Sans" w:cs="Open Sans"/>
          <w:color w:val="1E1D1C"/>
          <w:vertAlign w:val="superscript"/>
        </w:rPr>
        <w:t>7</w:t>
      </w:r>
      <w:r>
        <w:rPr>
          <w:rFonts w:eastAsia="Open Sans" w:cs="Open Sans"/>
          <w:color w:val="1E1D1C"/>
        </w:rPr>
        <w:t xml:space="preserve"> That 80 percent is what ISI has always sold, and it is what the AI labs cannot manufacture by hiring more engineers.</w:t>
      </w:r>
    </w:p>
    <w:p w14:paraId="4FDFE78A" w14:textId="77777777" w:rsidR="00076B4B" w:rsidRDefault="00000000">
      <w:pPr>
        <w:pStyle w:val="Heading2"/>
        <w:spacing w:before="240" w:after="80"/>
      </w:pPr>
      <w:r>
        <w:rPr>
          <w:rFonts w:ascii="Poppins" w:eastAsia="Poppins" w:hAnsi="Poppins" w:cs="Poppins"/>
          <w:color w:val="1E1D1C"/>
        </w:rPr>
        <w:t>2.3 The keynote video and the actual building are not the same place.</w:t>
      </w:r>
    </w:p>
    <w:p w14:paraId="5BC28960" w14:textId="77777777" w:rsidR="00076B4B" w:rsidRDefault="00000000">
      <w:pPr>
        <w:spacing w:after="120"/>
        <w:rPr>
          <w:rFonts w:hint="eastAsia"/>
        </w:rPr>
      </w:pPr>
      <w:r>
        <w:rPr>
          <w:rFonts w:eastAsia="Open Sans" w:cs="Open Sans"/>
          <w:color w:val="1E1D1C"/>
        </w:rPr>
        <w:t>Industry observers have been blunt about the gap between the demo and the deployment. The actual enterprise has a seventeen-year-old ERP, six disconnected databases, a compliance process that moves at geologic speed, and one mission-critical spreadsheet called "FINAL_v7_revised_REAL_final." That is a generous description of a Fortune 500. It is also a wildly optimistic description of a fifty-truck HVAC company, a forty-employee body shop, or a regional hurricane-shutter contractor. The frontier-lab consulting arms have priced their offerings for the Fortune 1000. The work below that line is different, and it is ISI's natural territory.</w:t>
      </w:r>
    </w:p>
    <w:p w14:paraId="511D0576" w14:textId="77777777" w:rsidR="00076B4B" w:rsidRDefault="00000000">
      <w:pPr>
        <w:pStyle w:val="Heading1"/>
        <w:spacing w:before="360" w:after="160"/>
      </w:pPr>
      <w:r>
        <w:rPr>
          <w:rFonts w:ascii="Poppins" w:eastAsia="Poppins" w:hAnsi="Poppins" w:cs="Poppins"/>
          <w:color w:val="4A8B91"/>
          <w:sz w:val="36"/>
        </w:rPr>
        <w:lastRenderedPageBreak/>
        <w:t>3. The market the giants cannot profitably reach</w:t>
      </w:r>
    </w:p>
    <w:p w14:paraId="616754AF" w14:textId="77777777" w:rsidR="00076B4B" w:rsidRDefault="00000000">
      <w:pPr>
        <w:pStyle w:val="Heading2"/>
        <w:spacing w:before="240" w:after="80"/>
      </w:pPr>
      <w:r>
        <w:rPr>
          <w:rFonts w:ascii="Poppins" w:eastAsia="Poppins" w:hAnsi="Poppins" w:cs="Poppins"/>
          <w:color w:val="1E1D1C"/>
        </w:rPr>
        <w:t>3.1 The mid-market gap is real and quantified.</w:t>
      </w:r>
    </w:p>
    <w:p w14:paraId="5428AF17" w14:textId="77777777" w:rsidR="00076B4B" w:rsidRDefault="00000000">
      <w:pPr>
        <w:spacing w:after="120"/>
        <w:rPr>
          <w:rFonts w:hint="eastAsia"/>
        </w:rPr>
      </w:pPr>
      <w:r>
        <w:rPr>
          <w:rFonts w:eastAsia="Open Sans" w:cs="Open Sans"/>
          <w:color w:val="1E1D1C"/>
        </w:rPr>
        <w:t>The World Economic Forum's 2026 mid-market analysis estimates that companies with $10 million to $1 billion in revenue represent one-third of private-sector GDP in developed economies and stand to capture at least $2 trillion of the global gen-AI value pool.</w:t>
      </w:r>
      <w:r>
        <w:rPr>
          <w:rFonts w:eastAsia="Open Sans" w:cs="Open Sans"/>
          <w:color w:val="1E1D1C"/>
          <w:vertAlign w:val="superscript"/>
        </w:rPr>
        <w:t>8</w:t>
      </w:r>
      <w:r>
        <w:rPr>
          <w:rFonts w:eastAsia="Open Sans" w:cs="Open Sans"/>
          <w:color w:val="1E1D1C"/>
        </w:rPr>
        <w:t xml:space="preserve"> The same body of WEF analysis flags the central friction: up to 95 percent of enterprise AI pilots fail to reach production.</w:t>
      </w:r>
      <w:r>
        <w:rPr>
          <w:rFonts w:eastAsia="Open Sans" w:cs="Open Sans"/>
          <w:color w:val="1E1D1C"/>
          <w:vertAlign w:val="superscript"/>
        </w:rPr>
        <w:t>8</w:t>
      </w:r>
    </w:p>
    <w:p w14:paraId="37D1E650" w14:textId="77777777" w:rsidR="00076B4B" w:rsidRDefault="00000000">
      <w:pPr>
        <w:pStyle w:val="Heading2"/>
        <w:spacing w:before="240" w:after="80"/>
      </w:pPr>
      <w:r>
        <w:rPr>
          <w:rFonts w:ascii="Poppins" w:eastAsia="Poppins" w:hAnsi="Poppins" w:cs="Poppins"/>
          <w:color w:val="1E1D1C"/>
        </w:rPr>
        <w:t>3.2 The trades sit further behind than the average mid-market firm.</w:t>
      </w:r>
    </w:p>
    <w:p w14:paraId="0A7D668E" w14:textId="77777777" w:rsidR="00076B4B" w:rsidRDefault="00000000">
      <w:pPr>
        <w:spacing w:after="120"/>
        <w:rPr>
          <w:rFonts w:hint="eastAsia"/>
        </w:rPr>
      </w:pPr>
      <w:r>
        <w:rPr>
          <w:rFonts w:eastAsia="Open Sans" w:cs="Open Sans"/>
          <w:color w:val="1E1D1C"/>
        </w:rPr>
        <w:t>Inside ISI's engagement base, which spans HVAC, plumbing, auto and collision repair, hurricane shutters, heritage food processing, heavy equipment, family-owned banks, and small congregational organizations, the typical operator runs no agents, has mapped no workflows, and is still doing weekly job costing in a spreadsheet emailed between an estimator and a bookkeeper. The economic potential is the same as for any mid-market firm; the path to capture it is meaningfully harder, and the available advisors are meaningfully fewer.</w:t>
      </w:r>
    </w:p>
    <w:p w14:paraId="07D400C0" w14:textId="77777777" w:rsidR="00076B4B" w:rsidRDefault="00000000">
      <w:pPr>
        <w:pStyle w:val="Heading2"/>
        <w:spacing w:before="240" w:after="80"/>
      </w:pPr>
      <w:r>
        <w:rPr>
          <w:rFonts w:ascii="Poppins" w:eastAsia="Poppins" w:hAnsi="Poppins" w:cs="Poppins"/>
          <w:color w:val="1E1D1C"/>
        </w:rPr>
        <w:t>3.3 SMB adoption is happening, just tool-by-tool, not as a strategy.</w:t>
      </w:r>
    </w:p>
    <w:p w14:paraId="6B2D6AD6" w14:textId="77777777" w:rsidR="00076B4B" w:rsidRDefault="00000000">
      <w:pPr>
        <w:spacing w:after="120"/>
        <w:rPr>
          <w:rFonts w:hint="eastAsia"/>
        </w:rPr>
      </w:pPr>
      <w:r>
        <w:rPr>
          <w:rFonts w:eastAsia="Open Sans" w:cs="Open Sans"/>
          <w:color w:val="1E1D1C"/>
        </w:rPr>
        <w:t>The Small Business &amp; Entrepreneurship Council's 2026 Technology Use Survey found that 82 percent of small employers have already bought at least one AI tool and the median firm now runs five.</w:t>
      </w:r>
      <w:r>
        <w:rPr>
          <w:rFonts w:eastAsia="Open Sans" w:cs="Open Sans"/>
          <w:color w:val="1E1D1C"/>
          <w:vertAlign w:val="superscript"/>
        </w:rPr>
        <w:t>9</w:t>
      </w:r>
      <w:r>
        <w:rPr>
          <w:rFonts w:eastAsia="Open Sans" w:cs="Open Sans"/>
          <w:color w:val="1E1D1C"/>
        </w:rPr>
        <w:t xml:space="preserve"> This is the fragmented, low-coherence adoption pattern that produces no operational lift, no margin improvement, and eventually a churned client. The owner subscribed to five tools because someone on a podcast told them to. None of those tools were chosen against a defined undesirable effect, none are tied to a weekly accountability rhythm, and none of them have a documented owner inside the business.</w:t>
      </w:r>
    </w:p>
    <w:p w14:paraId="48689093" w14:textId="77777777" w:rsidR="00076B4B" w:rsidRDefault="00000000">
      <w:pPr>
        <w:pStyle w:val="Heading2"/>
        <w:spacing w:before="240" w:after="80"/>
      </w:pPr>
      <w:r>
        <w:rPr>
          <w:rFonts w:ascii="Poppins" w:eastAsia="Poppins" w:hAnsi="Poppins" w:cs="Poppins"/>
          <w:color w:val="1E1D1C"/>
        </w:rPr>
        <w:t>3.4 Why the Big Three plus the AI labs cannot serve this market.</w:t>
      </w:r>
    </w:p>
    <w:p w14:paraId="6E7F228E" w14:textId="77777777" w:rsidR="00076B4B" w:rsidRDefault="00000000">
      <w:pPr>
        <w:spacing w:after="120"/>
        <w:rPr>
          <w:rFonts w:hint="eastAsia"/>
        </w:rPr>
      </w:pPr>
      <w:r>
        <w:rPr>
          <w:rFonts w:eastAsia="Open Sans" w:cs="Open Sans"/>
          <w:color w:val="1E1D1C"/>
        </w:rPr>
        <w:t xml:space="preserve">The reason is cost structure. A forward-deployed engineer is a senior engineer billed onsite. Their fully-loaded rate makes the math break below about $50 million of client revenue. A McKinsey Google Transformation Group engagement assumes a board, a steering committee, a security review, and a project sponsor with budget authority: the entire apparatus of an enterprise client. None of that exists in a $12 million body shop run by the founder, his daughter on the books, and a service manager who came up turning </w:t>
      </w:r>
      <w:r>
        <w:rPr>
          <w:rFonts w:eastAsia="Open Sans" w:cs="Open Sans"/>
          <w:color w:val="1E1D1C"/>
        </w:rPr>
        <w:lastRenderedPageBreak/>
        <w:t>wrenches. The bottom of the market does not have less opportunity. It has different opportunity, and the firms above it are economically incapable of reaching for it.</w:t>
      </w:r>
    </w:p>
    <w:p>
      <w:pPr>
        <w:pStyle w:val="Heading2"/>
        <w:spacing w:before="240" w:after="80"/>
      </w:pPr>
      <w:r>
        <w:rPr>
          <w:rFonts w:ascii="Poppins" w:hAnsi="Poppins"/>
          <w:color w:val="1E1D1C"/>
        </w:rPr>
        <w:t>3.5 Per-seat licensing is breaking on the supply side.</w:t>
      </w:r>
    </w:p>
    <w:p>
      <w:pPr>
        <w:spacing w:after="120"/>
      </w:pPr>
      <w:r>
        <w:rPr>
          <w:color w:val="1E1D1C"/>
        </w:rPr>
        <w:t>The vendor side of the same gap is also breaking. Wall Street analysts coined the term SaaSpocalypse for the rolling 2026 selloff in enterprise software stocks, on the recognition that per-seat licensing does not survive AI agents that replace ten or fifty seated users at once.</w:t>
      </w:r>
      <w:r>
        <w:rPr>
          <w:color w:val="1E1D1C"/>
          <w:vertAlign w:val="superscript"/>
        </w:rPr>
        <w:t>12</w:t>
      </w:r>
      <w:r>
        <w:rPr>
          <w:color w:val="1E1D1C"/>
        </w:rPr>
        <w:t xml:space="preserve"> </w:t>
      </w:r>
      <w:r>
        <w:rPr>
          <w:color w:val="1E1D1C"/>
          <w:vertAlign w:val="superscript"/>
        </w:rPr>
        <w:t>13</w:t>
      </w:r>
      <w:r>
        <w:rPr>
          <w:color w:val="1E1D1C"/>
        </w:rPr>
        <w:t xml:space="preserve"> Bain reports that buyers across the mid-market are pushing back on overprovisioning, shadow IT sprawl, and stranded per-user credits that no longer track actual work patterns; vendors are responding with consumption pricing and outcome pricing, both of which still rent the tool.</w:t>
      </w:r>
      <w:r>
        <w:rPr>
          <w:color w:val="1E1D1C"/>
          <w:vertAlign w:val="superscript"/>
        </w:rPr>
        <w:t>14</w:t>
      </w:r>
      <w:r>
        <w:rPr>
          <w:color w:val="1E1D1C"/>
        </w:rPr>
        <w:t xml:space="preserve"> The buyer who runs a $12 million trade shop is already past that bargain. Ownership of the working tool is what fits the way these firms actually buy: they own their trucks, they own their shop, they own their tooling, and they expect the same of software they pay to have built. The market opening already documented above is widening on its supply side at the same time.</w:t>
      </w:r>
    </w:p>
    <w:p w14:paraId="1E5D828C" w14:textId="77777777" w:rsidR="00076B4B" w:rsidRDefault="00000000">
      <w:pPr>
        <w:pStyle w:val="Heading1"/>
        <w:spacing w:before="360" w:after="160"/>
      </w:pPr>
      <w:r>
        <w:rPr>
          <w:rFonts w:ascii="Poppins" w:eastAsia="Poppins" w:hAnsi="Poppins" w:cs="Poppins"/>
          <w:color w:val="4A8B91"/>
          <w:sz w:val="36"/>
        </w:rPr>
        <w:t>4. The Game: the foundational teaching tool</w:t>
      </w:r>
    </w:p>
    <w:p w14:paraId="0465EA23" w14:textId="77777777" w:rsidR="00076B4B" w:rsidRDefault="00000000">
      <w:pPr>
        <w:spacing w:after="120"/>
        <w:rPr>
          <w:rFonts w:hint="eastAsia"/>
        </w:rPr>
      </w:pPr>
      <w:r>
        <w:rPr>
          <w:rFonts w:eastAsia="Open Sans" w:cs="Open Sans"/>
          <w:color w:val="1E1D1C"/>
        </w:rPr>
        <w:t>Every section that follows depends on this one. Before discussing positioning, productization, or implementation steps, it is worth describing the operating artifact that the rest of the practice is built around. The Game is the live scoreboard ISI builds for each client. It is not a single dashboard; it is a pattern. No two clients receive identical Games. The metrics, the integrations, and even the visual layout are tailored to the shop, but every Game shares the same architectural premise and the same teaching purpose. The Game is what the owner, the manager, and the crew read together. It is also, by design, the way the client learns to use AI.</w:t>
      </w:r>
    </w:p>
    <w:p w14:paraId="54D3F9CF" w14:textId="77777777" w:rsidR="00076B4B" w:rsidRDefault="00000000">
      <w:pPr>
        <w:pStyle w:val="Heading2"/>
        <w:spacing w:before="240" w:after="80"/>
      </w:pPr>
      <w:r>
        <w:rPr>
          <w:rFonts w:ascii="Poppins" w:eastAsia="Poppins" w:hAnsi="Poppins" w:cs="Poppins"/>
          <w:color w:val="1E1D1C"/>
        </w:rPr>
        <w:t>4.1 The premise: Wall, Goal, Game, Steps.</w:t>
      </w:r>
    </w:p>
    <w:p w14:paraId="632363C5" w14:textId="77777777" w:rsidR="00076B4B" w:rsidRDefault="00000000">
      <w:pPr>
        <w:spacing w:after="120"/>
        <w:rPr>
          <w:rFonts w:hint="eastAsia"/>
        </w:rPr>
      </w:pPr>
      <w:r>
        <w:rPr>
          <w:rFonts w:eastAsia="Open Sans" w:cs="Open Sans"/>
          <w:color w:val="1E1D1C"/>
        </w:rPr>
        <w:t>Every Game answers four questions in plain language. The Wall: what does this business have to clear before any of the good outcomes are possible this month? On the Game, the Wall is the visible form of one slice of the Cash Flow Model (CFM), the overhead expenses the shop has to earn through the month before any profit flows. The CFM does more than that: it projects revenue, it separates cost of goods sold from overhead, it tracks gross and net margin, it accounts for distributions, and it shows the owner what is actually left at the bottom of the column. The Wall is the slice of that picture the Game makes hard to ignore; the rest of the CFM is what the consultant and the owner work in together, week by week. The Goal: what does winning this month look like? The Game itself: what is the current live position relative to the Wall and the Goal this week (week one, week two, week three, week four, sometimes week five)? The Steps: what are the specific, ordered actions the team is executing this week to advance the Game toward the Goal? Those four questions are the same for an HVAC shop, an auto body shop, a hurricane-shutter installer, a heritage food processor, or a family farm. The numbers that fill them in are not.</w:t>
      </w:r>
    </w:p>
    <w:p w14:paraId="5FB77A25" w14:textId="77777777" w:rsidR="00076B4B" w:rsidRDefault="00000000">
      <w:pPr>
        <w:pStyle w:val="Heading2"/>
        <w:spacing w:before="240" w:after="80"/>
      </w:pPr>
      <w:r>
        <w:rPr>
          <w:rFonts w:ascii="Poppins" w:eastAsia="Poppins" w:hAnsi="Poppins" w:cs="Poppins"/>
          <w:color w:val="1E1D1C"/>
        </w:rPr>
        <w:t>4.2 The instruments: thermometer, gauges, drill-down.</w:t>
      </w:r>
    </w:p>
    <w:p w14:paraId="1CD5C7C4" w14:textId="77777777" w:rsidR="00076B4B" w:rsidRDefault="00000000">
      <w:pPr>
        <w:spacing w:after="120"/>
        <w:rPr>
          <w:rFonts w:hint="eastAsia"/>
        </w:rPr>
      </w:pPr>
      <w:r>
        <w:rPr>
          <w:rFonts w:eastAsia="Open Sans" w:cs="Open Sans"/>
          <w:color w:val="1E1D1C"/>
        </w:rPr>
        <w:t xml:space="preserve">Every Game uses the same three reading instruments. A thermometer of some sort, showing pace against the month: where the business stood at the end of week one, week two, week three, where it has to stand by week four (or five) to win the Game. Gauges of some sort, showing the secondary indicators the owner needs to glance at without reading numbers: the dials that tell a service manager this week that capture rate is sliding or that </w:t>
      </w:r>
      <w:r>
        <w:rPr>
          <w:rFonts w:eastAsia="Open Sans" w:cs="Open Sans"/>
          <w:color w:val="1E1D1C"/>
        </w:rPr>
        <w:lastRenderedPageBreak/>
        <w:t>gross margin on a specific service line just slipped below the line. And a drill-down on every number: click the card, open the rows, see the source records, copy them out, sum them in a spreadsheet, land back on the card. The drill-down is the teaching mechanism. The first time the owner sums the rows and lands on the card value, the dashboard stops being a black box and becomes a tool the owner trusts. Beyond trust, the drill-down is where the learning happens week to week: it is the surface on which edge cases get investigated, anomalies get explained, and small efficiencies compound into real margin across the four or five weeks of a winning Game.</w:t>
      </w:r>
    </w:p>
    <w:p w14:paraId="505D7A60" w14:textId="77777777" w:rsidR="00076B4B" w:rsidRDefault="00000000">
      <w:pPr>
        <w:pStyle w:val="Heading2"/>
        <w:spacing w:before="240" w:after="80"/>
      </w:pPr>
      <w:r>
        <w:rPr>
          <w:rFonts w:ascii="Poppins" w:eastAsia="Poppins" w:hAnsi="Poppins" w:cs="Poppins"/>
          <w:color w:val="1E1D1C"/>
        </w:rPr>
        <w:t>4.3 Different shops, same shape.</w:t>
      </w:r>
    </w:p>
    <w:p w14:paraId="2D2C9C5A" w14:textId="77777777" w:rsidR="00076B4B" w:rsidRDefault="00000000">
      <w:pPr>
        <w:spacing w:after="120"/>
        <w:rPr>
          <w:rFonts w:hint="eastAsia"/>
        </w:rPr>
      </w:pPr>
      <w:r>
        <w:rPr>
          <w:rFonts w:eastAsia="Open Sans" w:cs="Open Sans"/>
          <w:color w:val="1E1D1C"/>
        </w:rPr>
        <w:t>The integrations behind the Game are whatever the client already runs. In some engagements that means a field-service platform plus an accounting system; in others it means a point-of-sale plus payroll plus a fleet of spreadsheets; in others it means a manual data drop the owner has been doing for fifteen years and has no intention of changing. The Game accommodates whatever is there. ISI has shipped Games against ServiceTitan, against Tekmetric, against QuickBooks Online, against vendor-specific platforms, and against pure spreadsheet inputs. The integration surface is engagement-specific. The premise (Wall, Goal, Game, Steps, with thermometer, gauges, and drill-down) holds across every shop.</w:t>
      </w:r>
    </w:p>
    <w:p w14:paraId="2376FC9E" w14:textId="77777777" w:rsidR="00076B4B" w:rsidRDefault="00000000">
      <w:pPr>
        <w:pStyle w:val="Heading2"/>
        <w:spacing w:before="240" w:after="80"/>
      </w:pPr>
      <w:r>
        <w:rPr>
          <w:rFonts w:ascii="Poppins" w:eastAsia="Poppins" w:hAnsi="Poppins" w:cs="Poppins"/>
          <w:color w:val="1E1D1C"/>
        </w:rPr>
        <w:t>4.4 The CPM loop the Game lives inside.</w:t>
      </w:r>
    </w:p>
    <w:p w14:paraId="26C5FDA9" w14:textId="77777777" w:rsidR="00076B4B" w:rsidRDefault="00000000">
      <w:pPr>
        <w:spacing w:after="120"/>
        <w:rPr>
          <w:rFonts w:hint="eastAsia"/>
        </w:rPr>
      </w:pPr>
      <w:r>
        <w:rPr>
          <w:rFonts w:eastAsia="Open Sans" w:cs="Open Sans"/>
          <w:color w:val="1E1D1C"/>
        </w:rPr>
        <w:t xml:space="preserve">The Game does not stand alone, and the Game is the only piece of CPM that runs on a monthly clock. Everything around it is weekly. Upstream of the Game is the Cash Flow Model, the weekly analytical instrument that projects the month and tracks plan against actual: revenue at the top, cost of goods sold separated from overhead, distributions accounted for, what's left at the bottom shown explicitly. The CFM is updated weekly. The Wall on the Game is the visible form of the CFM's overhead line for the month; the COGS line, the gross-margin picture, and the bottom-of-the-column number all live inside the CFM and are worked through with the owner week by week as the month unfolds. Alongside the CFM is the UDE log, the running list of UnDesirable Effects the business keeps surfacing in its operation. And there is the Bloodwall: the workspace where each UDE gets worked. On the Bloodwall, the team tells the story of the UDE, does the math on what it is actually costing, decides the action that will retire it, names the person who will manage that action, and identifies how the outcome will be tracked. The meeting in which that tracking happens, week after week, is the Management Accountability Meeting, the MAM. The MAM does not do the Bloodwall work. The MAM is the weekly room where the </w:t>
      </w:r>
      <w:r>
        <w:rPr>
          <w:rFonts w:eastAsia="Open Sans" w:cs="Open Sans"/>
          <w:color w:val="1E1D1C"/>
        </w:rPr>
        <w:lastRenderedPageBreak/>
        <w:t>Bloodwall work is tracked, where each owner is held accountable for the action they committed to last week, and where the team makes the decisions that have to be made together, including the hardest one: when the numbers say it is time to pivot mid-Game. The full loop runs weekly against a monthly Game. The CFM is updated week by week and tells the shop what its Wall is for the month. The Game shows live position against the Wall and the Goal at every weekly checkpoint. UDEs are logged as they recur. The Bloodwall is where each UDE is worked into an owned and tracked action. The MAM is where progress on those actions is reviewed every week. The Game is the part of that loop that already runs live; the integration of the rest is what the practice is actively wiring up.</w:t>
      </w:r>
    </w:p>
    <w:p w14:paraId="14A10215" w14:textId="77777777" w:rsidR="00076B4B" w:rsidRDefault="00000000">
      <w:pPr>
        <w:pStyle w:val="Heading2"/>
        <w:spacing w:before="240" w:after="80"/>
      </w:pPr>
      <w:r>
        <w:rPr>
          <w:rFonts w:ascii="Poppins" w:eastAsia="Poppins" w:hAnsi="Poppins" w:cs="Poppins"/>
          <w:color w:val="1E1D1C"/>
        </w:rPr>
        <w:t>4.5 The double lesson: CPM and AI.</w:t>
      </w:r>
    </w:p>
    <w:p w14:paraId="7FD99041" w14:textId="77777777" w:rsidR="00076B4B" w:rsidRDefault="00000000">
      <w:pPr>
        <w:spacing w:after="120"/>
        <w:rPr>
          <w:rFonts w:hint="eastAsia"/>
        </w:rPr>
      </w:pPr>
      <w:r>
        <w:rPr>
          <w:rFonts w:eastAsia="Open Sans" w:cs="Open Sans"/>
          <w:color w:val="1E1D1C"/>
        </w:rPr>
        <w:t>Every Game teaches the owner two things at once. The first is Critical Path Methodology, the discipline of running a trades business in weekly cycles around a monthly Game. The CFM is updated weekly. The UDE log moves weekly. The Bloodwall works weekly. The MAM meets weekly. The Game itself is the one-month window the weekly work adds up to: four weeks, sometimes five, of tracked progress toward a Goal the team can read off the board. CPM is the methodology ISI has been selling for decades. The Game is its live-data form: the CFM is the weekly model behind every number on the board, the Wall is its overhead slice made visible for the month, the monthly plan becomes a stated Goal, the work in flight becomes Steps the team executes week by week, and the MAM is the weekly room where the Bloodwall actions get tracked, owners get held accountable, and the team makes the calls only a team can make.</w:t>
      </w:r>
    </w:p>
    <w:p w14:paraId="58800965" w14:textId="77777777" w:rsidR="00076B4B" w:rsidRDefault="00000000">
      <w:pPr>
        <w:spacing w:after="120"/>
        <w:rPr>
          <w:rFonts w:hint="eastAsia"/>
        </w:rPr>
      </w:pPr>
      <w:r>
        <w:rPr>
          <w:rFonts w:eastAsia="Open Sans" w:cs="Open Sans"/>
          <w:color w:val="1E1D1C"/>
        </w:rPr>
        <w:t>The second lesson is AI itself. Every Game is built with AI tools embedded in plain sight: a weekly-numbers agent that prepares the meeting pack, an inbox triage agent that sweeps customer replies, a freshness check that pulls live data before any "as of today" claim is made on the board, a credential rotation playbook the owner can run when an integration token expires. The owner watches those tools work, week after week, on the numbers that matter to the business. By the time the build is complete, the owner is no longer afraid of AI. The owner has a working mental model of what these systems are, what they can do, and what they cannot. That mental model is something the frontier-lab consulting arms cannot package.</w:t>
      </w:r>
    </w:p>
    <w:p w14:paraId="42F5443A" w14:textId="77777777" w:rsidR="00076B4B" w:rsidRDefault="00000000">
      <w:pPr>
        <w:pStyle w:val="Heading2"/>
        <w:spacing w:before="240" w:after="80"/>
      </w:pPr>
      <w:r>
        <w:rPr>
          <w:rFonts w:ascii="Poppins" w:eastAsia="Poppins" w:hAnsi="Poppins" w:cs="Poppins"/>
          <w:color w:val="1E1D1C"/>
        </w:rPr>
        <w:t>4.6 What the client owns when the engagement ends.</w:t>
      </w:r>
    </w:p>
    <w:p w14:paraId="56474B6C" w14:textId="77777777" w:rsidR="00076B4B" w:rsidRDefault="00000000">
      <w:pPr>
        <w:spacing w:after="120"/>
        <w:rPr>
          <w:rFonts w:hint="eastAsia"/>
        </w:rPr>
      </w:pPr>
      <w:r>
        <w:rPr>
          <w:rFonts w:eastAsia="Open Sans" w:cs="Open Sans"/>
          <w:color w:val="1E1D1C"/>
        </w:rPr>
        <w:t xml:space="preserve">When ISI rolls off, the client owns the Game outright: the code, the credentials, the hosting, the data, any middleware that was built along the way. The client can run the Game </w:t>
      </w:r>
      <w:r>
        <w:rPr>
          <w:rFonts w:eastAsia="Open Sans" w:cs="Open Sans"/>
          <w:color w:val="1E1D1C"/>
        </w:rPr>
        <w:lastRenderedPageBreak/>
        <w:t>without ISI. They can change the metrics on it, swap a vendor behind it, retire a card, add a new one. Every Game ships with a runbook written for the owner, not for a consultant.</w:t>
      </w:r>
    </w:p>
    <w:p w14:paraId="08254CB9" w14:textId="77777777" w:rsidR="00076B4B" w:rsidRDefault="00000000">
      <w:pPr>
        <w:spacing w:after="120"/>
        <w:rPr>
          <w:rFonts w:hint="eastAsia"/>
        </w:rPr>
      </w:pPr>
      <w:r>
        <w:rPr>
          <w:rFonts w:eastAsia="Open Sans" w:cs="Open Sans"/>
          <w:color w:val="1E1D1C"/>
        </w:rPr>
        <w:t>This sounds like the end of the engagement. It is the opposite. The Game keeps running in the same form, but the AI landscape around it does not stand still: new models, new pricing, new agent capabilities, new integration surfaces, new compliance pressure. The client keeps ISI engaged not because the Game stopped working, but because the world around it keeps changing, and the owner who learned what AI was during the build now needs the same teacher to translate what AI is becoming. Teaching AI is what keeps the door open. CPM is the work that keeps earning the fee.</w:t>
      </w:r>
    </w:p>
    <w:p w14:paraId="19FD0A8F" w14:textId="77777777" w:rsidR="00076B4B" w:rsidRDefault="00000000">
      <w:pPr>
        <w:pStyle w:val="Heading1"/>
        <w:spacing w:before="360" w:after="160"/>
      </w:pPr>
      <w:r>
        <w:rPr>
          <w:rFonts w:ascii="Poppins" w:eastAsia="Poppins" w:hAnsi="Poppins" w:cs="Poppins"/>
          <w:color w:val="4A8B91"/>
          <w:sz w:val="36"/>
        </w:rPr>
        <w:t>5. Why ISI is well-positioned</w:t>
      </w:r>
    </w:p>
    <w:p w14:paraId="1B8AD004" w14:textId="77777777" w:rsidR="00076B4B" w:rsidRDefault="00000000">
      <w:pPr>
        <w:pStyle w:val="Heading2"/>
        <w:spacing w:before="240" w:after="80"/>
      </w:pPr>
      <w:r>
        <w:rPr>
          <w:rFonts w:ascii="Poppins" w:eastAsia="Poppins" w:hAnsi="Poppins" w:cs="Poppins"/>
          <w:color w:val="1E1D1C"/>
        </w:rPr>
        <w:t>5.1 The 80 percent is already in production.</w:t>
      </w:r>
    </w:p>
    <w:p w14:paraId="375AE88B" w14:textId="77777777" w:rsidR="00076B4B" w:rsidRDefault="00000000">
      <w:pPr>
        <w:spacing w:after="120"/>
        <w:rPr>
          <w:rFonts w:hint="eastAsia"/>
        </w:rPr>
      </w:pPr>
      <w:r>
        <w:rPr>
          <w:rFonts w:eastAsia="Open Sans" w:cs="Open Sans"/>
          <w:color w:val="1E1D1C"/>
        </w:rPr>
        <w:t>If PwC is right that 80 percent of AI-initiative value comes from redesigning the work,</w:t>
      </w:r>
      <w:r>
        <w:rPr>
          <w:rFonts w:eastAsia="Open Sans" w:cs="Open Sans"/>
          <w:color w:val="1E1D1C"/>
          <w:vertAlign w:val="superscript"/>
        </w:rPr>
        <w:t>7</w:t>
      </w:r>
      <w:r>
        <w:rPr>
          <w:rFonts w:eastAsia="Open Sans" w:cs="Open Sans"/>
          <w:color w:val="1E1D1C"/>
        </w:rPr>
        <w:t xml:space="preserve"> the consultancy that wins is the one that already knows how to redesign trades-business work. ISI does not need to learn how a shop closes the month; ISI runs the close. ISI does not need to discover that the field-service capture rate is forty-two percent; that number is already on the scoreboard. CPM is the operating layer AI tools have to plug into: the weekly CFM that projects revenue, COGS, overhead, and what's left at the bottom of the month; the Wall that makes the overhead line a live target the team can read every week; the UDE log that captures recurring obstacles; the Bloodwall on which each UDE is worked into a tracked action; and the MAM that holds the whole loop accountable week by week and decides, on the team's chosen MAM day, what the team does next.</w:t>
      </w:r>
    </w:p>
    <w:p w14:paraId="3597F417" w14:textId="77777777" w:rsidR="00076B4B" w:rsidRDefault="00000000">
      <w:pPr>
        <w:pStyle w:val="Heading2"/>
        <w:spacing w:before="240" w:after="80"/>
      </w:pPr>
      <w:r>
        <w:rPr>
          <w:rFonts w:ascii="Poppins" w:eastAsia="Poppins" w:hAnsi="Poppins" w:cs="Poppins"/>
          <w:color w:val="1E1D1C"/>
        </w:rPr>
        <w:t>5.2 Client-owned tooling is now a feature, not a quirk.</w:t>
      </w:r>
    </w:p>
    <w:p w14:paraId="217BD6CC" w14:textId="77777777" w:rsidR="00076B4B" w:rsidRDefault="00000000">
      <w:pPr>
        <w:spacing w:after="120"/>
        <w:rPr>
          <w:rFonts w:hint="eastAsia"/>
        </w:rPr>
      </w:pPr>
      <w:r>
        <w:rPr>
          <w:rFonts w:eastAsia="Open Sans" w:cs="Open Sans"/>
          <w:color w:val="1E1D1C"/>
        </w:rPr>
        <w:t>ISI's standard delivery model builds client-owned workflow tools: Apps Script, Sheets, Python middleware, lightweight Flask services hosted on the client's own infrastructure. The Game runs in the client's name, with a dashboard the client can open in any browser. In a market suddenly nervous about SaaS lock-in, AI-vendor switching costs, and the optics of "your data is training their next model," client-owned tooling is a competitive advantage rather than a curiosity. The Anthropic, OpenAI, and Google ventures structurally cannot offer this; their commercial logic requires that the model usage stay on their meter.</w:t>
      </w:r>
    </w:p>
    <w:p w14:paraId="26EC0BAE" w14:textId="77777777" w:rsidR="00076B4B" w:rsidRDefault="00000000">
      <w:pPr>
        <w:pStyle w:val="Heading2"/>
        <w:spacing w:before="240" w:after="80"/>
      </w:pPr>
      <w:r>
        <w:rPr>
          <w:rFonts w:ascii="Poppins" w:eastAsia="Poppins" w:hAnsi="Poppins" w:cs="Poppins"/>
          <w:color w:val="1E1D1C"/>
        </w:rPr>
        <w:lastRenderedPageBreak/>
        <w:t>5.3 Vendor independence is built into the architecture.</w:t>
      </w:r>
    </w:p>
    <w:p w14:paraId="4888D532" w14:textId="77777777" w:rsidR="00076B4B" w:rsidRDefault="00000000">
      <w:pPr>
        <w:spacing w:after="120"/>
        <w:rPr>
          <w:rFonts w:hint="eastAsia"/>
        </w:rPr>
      </w:pPr>
      <w:r>
        <w:rPr>
          <w:rFonts w:eastAsia="Open Sans" w:cs="Open Sans"/>
          <w:color w:val="1E1D1C"/>
        </w:rPr>
        <w:t>Every agent in the practice talks to a model through a thin API layer. If one model provider raises rates or sunsets a capability, the agents swap to another provider (or to a self-hosted open-weights model) and the client's business never skips a beat. The same principle applies to the systems-of-record the Game reads from. Where the client uses a field-service platform, the Game integrates with it. Where the client uses an accounting system, payroll vendor, point-of-sale, or estimating workbench, the Game integrates with that. Where the client has nothing but a spreadsheet, the Game integrates with the spreadsheet. The integration layer is engagement-specific by design. The middleware ISI has shipped across the current client portfolio spans field-service-to-accounting bridges, invoice pipelines and pricing engines, AI-powered statement analysis, and estimating workbenches across several industries. Each is single-purpose; none is single-vendor.</w:t>
      </w:r>
    </w:p>
    <w:p w14:paraId="4467C7D7" w14:textId="77777777" w:rsidR="00076B4B" w:rsidRDefault="00000000">
      <w:pPr>
        <w:pStyle w:val="Heading2"/>
        <w:spacing w:before="240" w:after="80"/>
      </w:pPr>
      <w:r>
        <w:rPr>
          <w:rFonts w:ascii="Poppins" w:eastAsia="Poppins" w:hAnsi="Poppins" w:cs="Poppins"/>
          <w:color w:val="1E1D1C"/>
        </w:rPr>
        <w:t>5.4 The weekly cadence is the accountability AI tools need.</w:t>
      </w:r>
    </w:p>
    <w:p w14:paraId="5C6A536D" w14:textId="77777777" w:rsidR="00076B4B" w:rsidRDefault="00000000">
      <w:pPr>
        <w:spacing w:after="120"/>
        <w:rPr>
          <w:rFonts w:hint="eastAsia"/>
        </w:rPr>
      </w:pPr>
      <w:r>
        <w:rPr>
          <w:rFonts w:eastAsia="Open Sans" w:cs="Open Sans"/>
          <w:color w:val="1E1D1C"/>
        </w:rPr>
        <w:t>Most AI pilots fail in the same place: nobody owns the result on a weekly basis. The 95 percent failure rate is not a model problem; it is an accountability problem. The MAM rhythm that already exists in every ISI engagement is, in practice, the missing operating system for agentic AI in a trades business. The agent does not fail because it is dumb. It fails because no one looked at its output on Tuesday morning. The Game makes that look impossible to skip; the dashboard is what gets opened on MAM day.</w:t>
      </w:r>
    </w:p>
    <w:p w14:paraId="760F7202" w14:textId="77777777" w:rsidR="00076B4B" w:rsidRDefault="00000000">
      <w:pPr>
        <w:pStyle w:val="Heading2"/>
        <w:spacing w:before="240" w:after="80"/>
      </w:pPr>
      <w:r>
        <w:rPr>
          <w:rFonts w:ascii="Poppins" w:eastAsia="Poppins" w:hAnsi="Poppins" w:cs="Poppins"/>
          <w:color w:val="1E1D1C"/>
        </w:rPr>
        <w:t>5.5 The road work is the competitive edge.</w:t>
      </w:r>
    </w:p>
    <w:p w14:paraId="4995A8C4" w14:textId="77777777" w:rsidR="00076B4B" w:rsidRDefault="00000000">
      <w:pPr>
        <w:spacing w:after="120"/>
        <w:rPr>
          <w:rFonts w:hint="eastAsia"/>
        </w:rPr>
      </w:pPr>
      <w:r>
        <w:rPr>
          <w:rFonts w:eastAsia="Open Sans" w:cs="Open Sans"/>
          <w:color w:val="1E1D1C"/>
        </w:rPr>
        <w:t>The frontier labs are competing for clients with procurement departments. ISI's clients do not have procurement departments. They have a founder who wants to see the consultant in person, in a warehouse in Fort Myers or a service bay in Milwaukee, on a Wednesday. The willingness to do that work, to fly, to drive, to sit on a folding chair in a shop office and walk the floor, is not something a $1.5 billion joint venture can simulate.</w:t>
      </w:r>
    </w:p>
    <w:p w14:paraId="0D7852BB" w14:textId="77777777" w:rsidR="00076B4B" w:rsidRDefault="00000000">
      <w:pPr>
        <w:pStyle w:val="Heading1"/>
        <w:spacing w:before="360" w:after="160"/>
      </w:pPr>
      <w:r>
        <w:rPr>
          <w:rFonts w:ascii="Poppins" w:eastAsia="Poppins" w:hAnsi="Poppins" w:cs="Poppins"/>
          <w:color w:val="4A8B91"/>
          <w:sz w:val="36"/>
        </w:rPr>
        <w:t>6. What the AI practice looks like inside ISI</w:t>
      </w:r>
    </w:p>
    <w:p w14:paraId="5C0A7625" w14:textId="77777777" w:rsidR="00076B4B" w:rsidRDefault="00000000">
      <w:pPr>
        <w:pStyle w:val="Heading2"/>
        <w:spacing w:before="240" w:after="80"/>
      </w:pPr>
      <w:r>
        <w:rPr>
          <w:rFonts w:ascii="Poppins" w:eastAsia="Poppins" w:hAnsi="Poppins" w:cs="Poppins"/>
          <w:color w:val="1E1D1C"/>
        </w:rPr>
        <w:t>6.1 Positioning.</w:t>
      </w:r>
    </w:p>
    <w:p w14:paraId="18635BB6" w14:textId="77777777" w:rsidR="00076B4B" w:rsidRDefault="00000000">
      <w:pPr>
        <w:spacing w:after="120"/>
        <w:rPr>
          <w:rFonts w:hint="eastAsia"/>
        </w:rPr>
      </w:pPr>
      <w:r>
        <w:rPr>
          <w:rFonts w:eastAsia="Open Sans" w:cs="Open Sans"/>
          <w:color w:val="1E1D1C"/>
        </w:rPr>
        <w:t xml:space="preserve">The practice is not an AI consultancy. It is a Critical Path Methodology practice that uses AI as one more lever inside an established operating system. The headline is not "the firm uses Claude {OpenAI, Gemini, Grok, DeepSeek…}." The headline is "the shop's UDEs got </w:t>
      </w:r>
      <w:r>
        <w:rPr>
          <w:rFonts w:eastAsia="Open Sans" w:cs="Open Sans"/>
          <w:color w:val="1E1D1C"/>
        </w:rPr>
        <w:lastRenderedPageBreak/>
        <w:t>worked through on the Bloodwall, the actions got owned and tracked, and the profit followed, and AI is part of how the work got done." The model is invisible, and the result is not.</w:t>
      </w:r>
    </w:p>
    <w:p w14:paraId="36C208AB" w14:textId="77777777" w:rsidR="00076B4B" w:rsidRDefault="00000000">
      <w:pPr>
        <w:pStyle w:val="Heading2"/>
        <w:spacing w:before="240" w:after="80"/>
      </w:pPr>
      <w:r>
        <w:rPr>
          <w:rFonts w:ascii="Poppins" w:eastAsia="Poppins" w:hAnsi="Poppins" w:cs="Poppins"/>
          <w:color w:val="1E1D1C"/>
        </w:rPr>
        <w:t>6.2 Five productizable offers, each grounded in something already running.</w:t>
      </w:r>
    </w:p>
    <w:p w14:paraId="4CD360C3" w14:textId="77777777" w:rsidR="00076B4B" w:rsidRDefault="00000000">
      <w:pPr>
        <w:pStyle w:val="ListParagraph"/>
        <w:keepLines/>
        <w:spacing w:after="80"/>
        <w:rPr>
          <w:rFonts w:hint="eastAsia"/>
        </w:rPr>
      </w:pPr>
      <w:r>
        <w:rPr>
          <w:rFonts w:eastAsia="Open Sans" w:cs="Open Sans"/>
          <w:color w:val="1E1D1C"/>
        </w:rPr>
        <w:t>The Game. A build of the live monthly scoreboard described in Section 4: the Wall, the Goal, the Game, the Steps, with a thermometer, gauges, and a drill-down on every number. Tracks weekly progress against the monthly Goal across the four (sometimes five) weeks of the Game. Built against whatever systems the client already runs. Client owns the code, the credentials, and the hosting.</w:t>
      </w:r>
    </w:p>
    <w:p w14:paraId="6433EE1B" w14:textId="77777777" w:rsidR="00076B4B" w:rsidRDefault="00000000">
      <w:pPr>
        <w:pStyle w:val="ListParagraph"/>
        <w:keepLines/>
        <w:spacing w:after="80"/>
        <w:rPr>
          <w:rFonts w:hint="eastAsia"/>
        </w:rPr>
      </w:pPr>
      <w:r>
        <w:rPr>
          <w:rFonts w:eastAsia="Open Sans" w:cs="Open Sans"/>
          <w:color w:val="1E1D1C"/>
        </w:rPr>
        <w:t>AI-Augmented MAM. The Game wired into the weekly Management Accountability Meeting: an agent that prepares the agenda, the open UDEs, the prior week's commitments, and the proposed action items before the meeting starts. The client experiences a sharper weekly MAM. The end-state is a full CFM-to-UDE-to-Bloodwall-to-Game-to-MAM operating loop running on a weekly cadence against a monthly Game; the near-term offer is the agent-prepared weekly meeting pack and the Game that feeds it.</w:t>
      </w:r>
    </w:p>
    <w:p w14:paraId="374276C6" w14:textId="77777777" w:rsidR="00076B4B" w:rsidRDefault="00000000">
      <w:pPr>
        <w:pStyle w:val="ListParagraph"/>
        <w:keepLines/>
        <w:spacing w:after="80"/>
        <w:rPr>
          <w:rFonts w:hint="eastAsia"/>
        </w:rPr>
      </w:pPr>
      <w:r>
        <w:rPr>
          <w:rFonts w:eastAsia="Open Sans" w:cs="Open Sans"/>
          <w:color w:val="1E1D1C"/>
        </w:rPr>
        <w:t>Campaign-as-Template Platform. A productized customer-outreach system the client's marketing lead can run without the consultant in the room: compose, schedule, send, track, suppress, parse replies. Already running in production: a single multi-hundred-recipient campaign at around 20 percent acceptance, a bounce scanner, a suppression list synchronized with the field-service system's do-not-contact tags. The principle (the marketing lead must be able to repeat the send without the consultant) is the same principle that makes the Game self-serve on MAM day: the client owns the operation, the consultant teaches the tool.</w:t>
      </w:r>
    </w:p>
    <w:p w14:paraId="0BD3522A" w14:textId="77777777" w:rsidR="00076B4B" w:rsidRDefault="00000000">
      <w:pPr>
        <w:pStyle w:val="ListParagraph"/>
        <w:keepLines/>
        <w:spacing w:after="80"/>
        <w:rPr>
          <w:rFonts w:hint="eastAsia"/>
        </w:rPr>
      </w:pPr>
      <w:r>
        <w:rPr>
          <w:rFonts w:eastAsia="Open Sans" w:cs="Open Sans"/>
          <w:color w:val="1E1D1C"/>
        </w:rPr>
        <w:t>Industry Deep-Dive Audits produce a single drillable HTML deliverable: revenue and gross margin by service line, year-over-year, with click-to-source drill on every aggregate. Shipped patterns to date: a plumbing-line deep dive that resolved a four-figure monthly margin question, a Google Business Profile and SEO scoreboard with a trade-flip playbook, and an AI-crawler audit for shops worried about how Claude, ChatGPT, and Google's AI Overviews are reading their websites.</w:t>
      </w:r>
    </w:p>
    <w:p w14:paraId="4503CCA1" w14:textId="77777777" w:rsidR="00076B4B" w:rsidRDefault="00000000">
      <w:pPr>
        <w:pStyle w:val="ListParagraph"/>
        <w:keepLines/>
        <w:spacing w:after="80"/>
        <w:rPr>
          <w:rFonts w:hint="eastAsia"/>
        </w:rPr>
      </w:pPr>
      <w:r>
        <w:rPr>
          <w:rFonts w:eastAsia="Open Sans" w:cs="Open Sans"/>
          <w:color w:val="1E1D1C"/>
        </w:rPr>
        <w:lastRenderedPageBreak/>
        <w:t>Fractional AI Chief. A monthly retainer where the consultant serves as the outside AI conscience of the business: vendor selection, policy, governance, model-and-agent evaluation as the landscape shifts. Structurally similar to a fractional CFO. The natural conversion from the project-based offers above once the Game is running. This is also the retainer that makes the AI-teaching promise from Section 4.6 operationally real: the model landscape changes; the retainer is what translates the changes into the client's existing tools.</w:t>
      </w:r>
    </w:p>
    <w:p w14:paraId="3DCE1F3F" w14:textId="77777777" w:rsidR="00076B4B" w:rsidRDefault="00000000">
      <w:pPr>
        <w:pStyle w:val="Heading2"/>
        <w:spacing w:before="240" w:after="80"/>
      </w:pPr>
      <w:r>
        <w:rPr>
          <w:rFonts w:ascii="Poppins" w:eastAsia="Poppins" w:hAnsi="Poppins" w:cs="Poppins"/>
          <w:color w:val="1E1D1C"/>
        </w:rPr>
        <w:t>6.3 Economics.</w:t>
      </w:r>
    </w:p>
    <w:p w14:paraId="279176CD" w14:textId="77777777" w:rsidR="00076B4B" w:rsidRDefault="00000000">
      <w:pPr>
        <w:spacing w:after="120"/>
        <w:rPr>
          <w:rFonts w:hint="eastAsia"/>
        </w:rPr>
      </w:pPr>
      <w:r>
        <w:rPr>
          <w:rFonts w:eastAsia="Open Sans" w:cs="Open Sans"/>
          <w:color w:val="1E1D1C"/>
        </w:rPr>
        <w:t>Two reference points anchor the pricing. Specialist AI consultants (those with deep domain expertise in a single vertical) command a 30 to 40 percent premium over generalists,</w:t>
      </w:r>
      <w:r>
        <w:rPr>
          <w:rFonts w:eastAsia="Open Sans" w:cs="Open Sans"/>
          <w:color w:val="1E1D1C"/>
          <w:vertAlign w:val="superscript"/>
        </w:rPr>
        <w:t>10</w:t>
      </w:r>
      <w:r>
        <w:rPr>
          <w:rFonts w:eastAsia="Open Sans" w:cs="Open Sans"/>
          <w:color w:val="1E1D1C"/>
        </w:rPr>
        <w:t xml:space="preserve"> and the broader AI consulting market is growing at 28.8 percent CAGR through 2029, with specialist SMB practices outpacing the enterprise segment.</w:t>
      </w:r>
      <w:r>
        <w:rPr>
          <w:rFonts w:eastAsia="Open Sans" w:cs="Open Sans"/>
          <w:color w:val="1E1D1C"/>
          <w:vertAlign w:val="superscript"/>
        </w:rPr>
        <w:t>11</w:t>
      </w:r>
      <w:r>
        <w:rPr>
          <w:rFonts w:eastAsia="Open Sans" w:cs="Open Sans"/>
          <w:color w:val="1E1D1C"/>
        </w:rPr>
        <w:t xml:space="preserve"> ISI is a specialist in trades operating systems. The premium is ISI's to claim.</w:t>
      </w:r>
    </w:p>
    <w:p w14:paraId="128751D2" w14:textId="77777777" w:rsidR="00076B4B" w:rsidRDefault="00000000">
      <w:pPr>
        <w:pStyle w:val="Heading2"/>
        <w:spacing w:before="240" w:after="80"/>
      </w:pPr>
      <w:r>
        <w:rPr>
          <w:rFonts w:ascii="Poppins" w:eastAsia="Poppins" w:hAnsi="Poppins" w:cs="Poppins"/>
          <w:color w:val="1E1D1C"/>
        </w:rPr>
        <w:t>6.4 Internal capability already in production.</w:t>
      </w:r>
    </w:p>
    <w:p w14:paraId="6C5A935E" w14:textId="77777777" w:rsidR="00076B4B" w:rsidRDefault="00000000">
      <w:pPr>
        <w:spacing w:after="120"/>
        <w:rPr>
          <w:rFonts w:hint="eastAsia"/>
        </w:rPr>
      </w:pPr>
      <w:r>
        <w:rPr>
          <w:rFonts w:eastAsia="Open Sans" w:cs="Open Sans"/>
          <w:color w:val="1E1D1C"/>
        </w:rPr>
        <w:t>The practice is not theoretical. Working production assets, in client engagements today, include: ServiceTitan/QuickBooks middleware, Tekmetric/QuickBooks middleware, a weekly profit-share scoreboard with reconciling drills, a campaign-and-suppression platform with a deep bounce scanner, a freshness system that pulls production data before any "stale or fresh" claim is rendered to a user, a credential rotation playbook with a two-slot rotation pattern and a closed-loop verification step, an AI-crawler audit scoring engine, a Google Business Profile compliance playbook for the 2026 video-verification regime, and a heritage-food-processing invoice pipeline with QB sync. Each of these is the seed of a productized offer. None of them need to be built from scratch.</w:t>
      </w:r>
    </w:p>
    <w:p w14:paraId="69D4722F" w14:textId="77777777" w:rsidR="00076B4B" w:rsidRDefault="00000000">
      <w:pPr>
        <w:pStyle w:val="Heading1"/>
        <w:pageBreakBefore/>
        <w:spacing w:before="360" w:after="160"/>
      </w:pPr>
      <w:r>
        <w:rPr>
          <w:rFonts w:ascii="Poppins" w:eastAsia="Poppins" w:hAnsi="Poppins" w:cs="Poppins"/>
          <w:color w:val="4A8B91"/>
          <w:sz w:val="36"/>
        </w:rPr>
        <w:lastRenderedPageBreak/>
        <w:t>7. SWOT</w:t>
      </w:r>
    </w:p>
    <w:p w14:paraId="162D6ACA" w14:textId="77777777" w:rsidR="00076B4B" w:rsidRDefault="00000000">
      <w:pPr>
        <w:rPr>
          <w:rFonts w:hint="eastAsia"/>
        </w:rPr>
      </w:pPr>
      <w:r>
        <w:rPr>
          <w:rFonts w:eastAsia="Open Sans" w:cs="Open Sans"/>
          <w:color w:val="1E1D1C"/>
        </w:rPr>
        <w:t>A structured strategic read of the proposed practice, presented for ISI leadership. The risks called out in the Threats and Weaknesses quadrants are addressed in detail in Section 8.</w:t>
      </w:r>
    </w:p>
    <w:tbl>
      <w:tblPr>
        <w:tblW w:w="0" w:type="auto"/>
        <w:jc w:val="center"/>
        <w:tblLayout w:type="fixed"/>
        <w:tblLook w:val="04A0" w:firstRow="1" w:lastRow="0" w:firstColumn="1" w:lastColumn="0" w:noHBand="0" w:noVBand="1"/>
      </w:tblPr>
      <w:tblGrid>
        <w:gridCol w:w="4680"/>
        <w:gridCol w:w="4680"/>
      </w:tblGrid>
      <w:tr w:rsidR="00076B4B" w14:paraId="066E7F49" w14:textId="77777777">
        <w:trPr>
          <w:jc w:val="center"/>
        </w:trPr>
        <w:tc>
          <w:tcPr>
            <w:tcW w:w="4680" w:type="dxa"/>
            <w:tcMar>
              <w:top w:w="120" w:type="dxa"/>
              <w:left w:w="120" w:type="dxa"/>
              <w:bottom w:w="120" w:type="dxa"/>
              <w:right w:w="120" w:type="dxa"/>
            </w:tcMar>
          </w:tcPr>
          <w:p w14:paraId="67668891" w14:textId="77777777" w:rsidR="00076B4B" w:rsidRDefault="00000000">
            <w:pPr>
              <w:spacing w:after="80"/>
              <w:rPr>
                <w:rFonts w:hint="eastAsia"/>
              </w:rPr>
            </w:pPr>
            <w:r>
              <w:rPr>
                <w:rFonts w:ascii="Poppins" w:eastAsia="Poppins" w:hAnsi="Poppins" w:cs="Poppins"/>
                <w:b/>
                <w:color w:val="4A8B91"/>
              </w:rPr>
              <w:t>STRENGTHS</w:t>
            </w:r>
          </w:p>
          <w:p w14:paraId="639223ED"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CPM operating system already in production in trades engagements; the "80%" PwC names is what ISI already sells.</w:t>
            </w:r>
          </w:p>
          <w:p w14:paraId="78792199"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Client-owned tooling architecture sidesteps SaaS lock-in nervousness in a market newly skeptical of vendor meters.</w:t>
            </w:r>
          </w:p>
          <w:p w14:paraId="5A0AD701"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Vendor-independent agent layer; agents swap models behind a thin abstraction without touching client systems.</w:t>
            </w:r>
          </w:p>
          <w:p w14:paraId="6CE714E8"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Three decades of trades-business operating discipline; the field-service capture rate, the gross-margin slip, the credit-card surcharge fight are familiar terrain.</w:t>
            </w:r>
          </w:p>
          <w:p w14:paraId="7819F66C"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Weekly MAM cadence is the missing accountability layer for agentic AI; the dashboard gets opened on MAM day.</w:t>
            </w:r>
          </w:p>
          <w:p w14:paraId="170F8E0A"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Existing distribution surface inside ISI; a trained second consultant can carry the pattern to the next engagement.</w:t>
            </w:r>
          </w:p>
        </w:tc>
        <w:tc>
          <w:tcPr>
            <w:tcW w:w="4680" w:type="dxa"/>
            <w:tcMar>
              <w:top w:w="120" w:type="dxa"/>
              <w:left w:w="120" w:type="dxa"/>
              <w:bottom w:w="120" w:type="dxa"/>
              <w:right w:w="120" w:type="dxa"/>
            </w:tcMar>
          </w:tcPr>
          <w:p w14:paraId="4AC8D266" w14:textId="77777777" w:rsidR="00076B4B" w:rsidRDefault="00000000">
            <w:pPr>
              <w:spacing w:after="80"/>
              <w:rPr>
                <w:rFonts w:hint="eastAsia"/>
              </w:rPr>
            </w:pPr>
            <w:r>
              <w:rPr>
                <w:rFonts w:ascii="Poppins" w:eastAsia="Poppins" w:hAnsi="Poppins" w:cs="Poppins"/>
                <w:b/>
                <w:color w:val="1E1D1C"/>
              </w:rPr>
              <w:t>WEAKNESSES</w:t>
            </w:r>
          </w:p>
          <w:p w14:paraId="153C78CF"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Currently delivered ad hoc, depending on client request; the build has not yet been documented for transfer.</w:t>
            </w:r>
          </w:p>
          <w:p w14:paraId="4BF36A4D"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No published case study under the ISI brand; the working production assets live inside engagements, not on a reference page.</w:t>
            </w:r>
          </w:p>
          <w:p w14:paraId="5441E24A"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AI proficiency, not engagement style, is the transferability constraint. The in-person, founder-direct, weekly on-site model is how every ISI consultant already works; not every consultant will be a candidate for training in the AI-augmented version of it.</w:t>
            </w:r>
          </w:p>
          <w:p w14:paraId="7E93144F"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Brand recognition is concentrated in trades operating work, not in AI advisory search; the practice has to be named before it can be found.</w:t>
            </w:r>
          </w:p>
          <w:p w14:paraId="6B7F1C53"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Credential and integration sprawl across client systems requires ongoing hygiene; a real discipline, not a side concern.</w:t>
            </w:r>
          </w:p>
        </w:tc>
      </w:tr>
      <w:tr w:rsidR="00076B4B" w14:paraId="68E78C02" w14:textId="77777777">
        <w:trPr>
          <w:jc w:val="center"/>
        </w:trPr>
        <w:tc>
          <w:tcPr>
            <w:tcW w:w="4680" w:type="dxa"/>
            <w:tcMar>
              <w:top w:w="120" w:type="dxa"/>
              <w:left w:w="120" w:type="dxa"/>
              <w:bottom w:w="120" w:type="dxa"/>
              <w:right w:w="120" w:type="dxa"/>
            </w:tcMar>
          </w:tcPr>
          <w:p w14:paraId="5815D2FC" w14:textId="77777777" w:rsidR="00076B4B" w:rsidRDefault="00000000">
            <w:pPr>
              <w:spacing w:after="80"/>
              <w:rPr>
                <w:rFonts w:hint="eastAsia"/>
              </w:rPr>
            </w:pPr>
            <w:r>
              <w:rPr>
                <w:rFonts w:ascii="Poppins" w:eastAsia="Poppins" w:hAnsi="Poppins" w:cs="Poppins"/>
                <w:b/>
                <w:color w:val="4A8B91"/>
              </w:rPr>
              <w:t>OPPORTUNITIES</w:t>
            </w:r>
          </w:p>
          <w:p w14:paraId="584BE19E"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The mid-market gen-AI value pool is on the order of $2 trillion globally and currently has no incumbent specialist advisor.</w:t>
            </w:r>
          </w:p>
          <w:p w14:paraId="721B3C98"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The frontier-lab consulting arms are economically pinned to the Fortune 1000; the trades and middle-market are open ground.</w:t>
            </w:r>
          </w:p>
          <w:p w14:paraId="19F07707"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82 percent of small employers already buy AI tools, with a median of five per firm; the operating discipline to coordinate them is what is missing.</w:t>
            </w:r>
          </w:p>
          <w:p w14:paraId="3912F8EC" w14:textId="77777777" w:rsidR="00076B4B" w:rsidRDefault="00000000">
            <w:pPr>
              <w:spacing w:after="60"/>
              <w:ind w:left="173" w:hanging="173"/>
              <w:rPr>
                <w:rFonts w:hint="eastAsia"/>
              </w:rPr>
            </w:pPr>
            <w:r>
              <w:rPr>
                <w:rFonts w:eastAsia="Open Sans" w:cs="Open Sans"/>
                <w:b/>
                <w:color w:val="4A8B91"/>
                <w:sz w:val="18"/>
              </w:rPr>
              <w:t xml:space="preserve">• </w:t>
            </w:r>
            <w:r>
              <w:rPr>
                <w:rFonts w:eastAsia="Open Sans" w:cs="Open Sans"/>
                <w:color w:val="1E1D1C"/>
                <w:sz w:val="18"/>
              </w:rPr>
              <w:t>Specialist AI consultants command a 30 to 40 percent premium over generalists; ISI is a specialist in trades operating systems.</w:t>
            </w:r>
          </w:p>
          <w:p w14:paraId="27E4441C" w14:textId="77777777" w:rsidR="00076B4B" w:rsidRDefault="00000000">
            <w:pPr>
              <w:spacing w:after="60"/>
              <w:ind w:left="173" w:hanging="173"/>
              <w:rPr>
                <w:rFonts w:hint="eastAsia"/>
              </w:rPr>
            </w:pPr>
            <w:r>
              <w:rPr>
                <w:rFonts w:eastAsia="Open Sans" w:cs="Open Sans"/>
                <w:b/>
                <w:color w:val="4A8B91"/>
                <w:sz w:val="18"/>
              </w:rPr>
              <w:lastRenderedPageBreak/>
              <w:t xml:space="preserve">• </w:t>
            </w:r>
            <w:r>
              <w:rPr>
                <w:rFonts w:eastAsia="Open Sans" w:cs="Open Sans"/>
                <w:color w:val="1E1D1C"/>
                <w:sz w:val="18"/>
              </w:rPr>
              <w:t>Trust capital with trades-shop founders predates the AI cycle by decades; the relationship is the moat the labs cannot buy.</w:t>
            </w:r>
          </w:p>
        </w:tc>
        <w:tc>
          <w:tcPr>
            <w:tcW w:w="4680" w:type="dxa"/>
            <w:tcMar>
              <w:top w:w="120" w:type="dxa"/>
              <w:left w:w="120" w:type="dxa"/>
              <w:bottom w:w="120" w:type="dxa"/>
              <w:right w:w="120" w:type="dxa"/>
            </w:tcMar>
          </w:tcPr>
          <w:p w14:paraId="7B15BFDC" w14:textId="77777777" w:rsidR="00076B4B" w:rsidRDefault="00000000">
            <w:pPr>
              <w:spacing w:after="80"/>
              <w:rPr>
                <w:rFonts w:hint="eastAsia"/>
              </w:rPr>
            </w:pPr>
            <w:r>
              <w:rPr>
                <w:rFonts w:ascii="Poppins" w:eastAsia="Poppins" w:hAnsi="Poppins" w:cs="Poppins"/>
                <w:b/>
                <w:color w:val="1E1D1C"/>
              </w:rPr>
              <w:lastRenderedPageBreak/>
              <w:t>THREATS</w:t>
            </w:r>
          </w:p>
          <w:p w14:paraId="0C6E4506"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Model providers may turn toward the SMB segment directly once the Fortune 1000 land is fought over.</w:t>
            </w:r>
          </w:p>
          <w:p w14:paraId="7D5AB272"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Reseller giants (Cognizant, Accenture, Capgemini) absorb AI delivery capacity and compress the consulting middle.</w:t>
            </w:r>
          </w:p>
          <w:p w14:paraId="1B7CB341"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Rapid model and pricing churn raises the translation burden on every existing client; the Fractional AI Chief retainer is the structural answer, but it has to be built.</w:t>
            </w:r>
          </w:p>
          <w:p w14:paraId="19F59790"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 xml:space="preserve">Inside-client adoption risk: the owner buys the tool, the manager ignores it, and the MAM never opens. </w:t>
            </w:r>
            <w:r>
              <w:rPr>
                <w:rFonts w:eastAsia="Open Sans" w:cs="Open Sans"/>
                <w:color w:val="1E1D1C"/>
                <w:sz w:val="18"/>
              </w:rPr>
              <w:lastRenderedPageBreak/>
              <w:t>No MAM, no AI work; that bar has to be enforced.</w:t>
            </w:r>
          </w:p>
          <w:p w14:paraId="7DC425B5" w14:textId="77777777" w:rsidR="00076B4B" w:rsidRDefault="00000000">
            <w:pPr>
              <w:spacing w:after="60"/>
              <w:ind w:left="173" w:hanging="173"/>
              <w:rPr>
                <w:rFonts w:hint="eastAsia"/>
              </w:rPr>
            </w:pPr>
            <w:r>
              <w:rPr>
                <w:rFonts w:eastAsia="Open Sans" w:cs="Open Sans"/>
                <w:b/>
                <w:color w:val="1E1D1C"/>
                <w:sz w:val="18"/>
              </w:rPr>
              <w:t xml:space="preserve">• </w:t>
            </w:r>
            <w:r>
              <w:rPr>
                <w:rFonts w:eastAsia="Open Sans" w:cs="Open Sans"/>
                <w:color w:val="1E1D1C"/>
                <w:sz w:val="18"/>
              </w:rPr>
              <w:t>Commoditization of basic implementation will compress consulting premiums on shallow work; the defense is depth and recurring relationships.</w:t>
            </w:r>
          </w:p>
          <w:p w14:paraId="7DC425B5" w14:textId="77777777" w:rsidR="00076B4B" w:rsidRDefault="00000000">
            <w:pPr>
              <w:spacing w:after="60"/>
              <w:ind w:left="173" w:hanging="173"/>
              <w:rPr>
                <w:rFonts w:hint="eastAsia"/>
              </w:rPr>
            </w:pPr>
            <w:r>
              <w:rPr>
                <w:color w:val="1E1D1C"/>
                <w:sz w:val="18"/>
              </w:rPr>
              <w:t>• Token pricing normalization: current inference costs are subsidized below the unit economics of the AI infrastructure buildout (OpenAI losses ran $5 to $13.5 billion against $3.7 to $4.3 billion of 2025 revenue; Alphabet capex steps from $75 billion in 2025 to $175 to $185 billion in 2026). Engagement pricing has to reserve headroom for the eventual reprice.</w:t>
            </w:r>
          </w:p>
        </w:tc>
      </w:tr>
    </w:tbl>
    <w:p w14:paraId="15F3214A" w14:textId="77777777" w:rsidR="00076B4B" w:rsidRDefault="00076B4B">
      <w:pPr>
        <w:spacing w:after="120"/>
        <w:rPr>
          <w:rFonts w:hint="eastAsia"/>
        </w:rPr>
      </w:pPr>
    </w:p>
    <w:p w14:paraId="2B50D153" w14:textId="77777777" w:rsidR="00076B4B" w:rsidRDefault="00000000">
      <w:pPr>
        <w:pStyle w:val="Heading1"/>
        <w:spacing w:before="360" w:after="160"/>
      </w:pPr>
      <w:r>
        <w:rPr>
          <w:rFonts w:ascii="Poppins" w:eastAsia="Poppins" w:hAnsi="Poppins" w:cs="Poppins"/>
          <w:color w:val="4A8B91"/>
          <w:sz w:val="36"/>
        </w:rPr>
        <w:t>8. Risks and how the practice manages them</w:t>
      </w:r>
    </w:p>
    <w:p w14:paraId="567B34E4" w14:textId="77777777" w:rsidR="00076B4B" w:rsidRDefault="00000000">
      <w:pPr>
        <w:pStyle w:val="Heading2"/>
        <w:spacing w:before="240" w:after="80"/>
      </w:pPr>
      <w:r>
        <w:rPr>
          <w:rFonts w:ascii="Poppins" w:eastAsia="Poppins" w:hAnsi="Poppins" w:cs="Poppins"/>
          <w:color w:val="1E1D1C"/>
        </w:rPr>
        <w:t>8.1 Commoditization risk.</w:t>
      </w:r>
    </w:p>
    <w:p w14:paraId="4FA90391" w14:textId="77777777" w:rsidR="00076B4B" w:rsidRDefault="00000000">
      <w:pPr>
        <w:spacing w:after="120"/>
        <w:rPr>
          <w:rFonts w:hint="eastAsia"/>
        </w:rPr>
      </w:pPr>
      <w:r>
        <w:rPr>
          <w:rFonts w:eastAsia="Open Sans" w:cs="Open Sans"/>
          <w:color w:val="1E1D1C"/>
        </w:rPr>
        <w:t>As AI tooling gets easier, the consulting premium on basic implementation will compress. The defense is depth: niche expertise in specific verticals (HVAC and plumbing, auto and collision, hurricane shutters, heritage food, heavy equipment).</w:t>
      </w:r>
    </w:p>
    <w:p w14:paraId="21FAAB5E" w14:textId="77777777" w:rsidR="00076B4B" w:rsidRDefault="00000000">
      <w:pPr>
        <w:pStyle w:val="Heading2"/>
        <w:spacing w:before="240" w:after="80"/>
      </w:pPr>
      <w:r>
        <w:rPr>
          <w:rFonts w:ascii="Poppins" w:eastAsia="Poppins" w:hAnsi="Poppins" w:cs="Poppins"/>
          <w:color w:val="1E1D1C"/>
        </w:rPr>
        <w:t>8.2 Tool churn risk.</w:t>
      </w:r>
    </w:p>
    <w:p w14:paraId="288CF8E3" w14:textId="77777777" w:rsidR="00076B4B" w:rsidRDefault="00000000">
      <w:pPr>
        <w:spacing w:after="120"/>
        <w:rPr>
          <w:rFonts w:hint="eastAsia"/>
        </w:rPr>
      </w:pPr>
      <w:r>
        <w:rPr>
          <w:rFonts w:eastAsia="Open Sans" w:cs="Open Sans"/>
          <w:color w:val="1E1D1C"/>
        </w:rPr>
        <w:t>Model providers will rise and fall. Anthropic, OpenAI, and Google will all change pricing, terms, and capabilities multiple times per year. The mitigation is the architecture described in 5.3: build client-owned tooling around model APIs, behind a thin abstraction. If Anthropic doubles rates tomorrow, the agents swap models and the client's business never skips a beat.</w:t>
      </w:r>
    </w:p>
    <w:p w14:paraId="4334D7BC" w14:textId="77777777" w:rsidR="00076B4B" w:rsidRDefault="00000000">
      <w:pPr>
        <w:pStyle w:val="Heading2"/>
        <w:spacing w:before="240" w:after="80"/>
      </w:pPr>
      <w:r>
        <w:rPr>
          <w:rFonts w:ascii="Poppins" w:eastAsia="Poppins" w:hAnsi="Poppins" w:cs="Poppins"/>
          <w:color w:val="1E1D1C"/>
        </w:rPr>
        <w:t>8.3 Adoption risk inside the client.</w:t>
      </w:r>
    </w:p>
    <w:p w14:paraId="5D4514C5" w14:textId="77777777" w:rsidR="00076B4B" w:rsidRDefault="00000000">
      <w:pPr>
        <w:spacing w:after="120"/>
        <w:rPr>
          <w:rFonts w:hint="eastAsia"/>
        </w:rPr>
      </w:pPr>
      <w:r>
        <w:rPr>
          <w:rFonts w:eastAsia="Open Sans" w:cs="Open Sans"/>
          <w:color w:val="1E1D1C"/>
        </w:rPr>
        <w:t>The biggest reason AI pilots fail in mid-market is not technology; it is the human side. The owner buys the tool, the manager ignores it, the field crew never sees it. The MAM is the antidote: the weekly room where the Bloodwall actions and their owners get tracked, accountability gets held, and the team decides together what to do next, including when to pivot. The practice must be willing to refuse engagements where the owner has not committed to running the MAM. No MAM, no AI work.</w:t>
      </w:r>
    </w:p>
    <w:p w14:paraId="3E3AC2BA" w14:textId="77777777" w:rsidR="00076B4B" w:rsidRDefault="00000000">
      <w:pPr>
        <w:pStyle w:val="Heading2"/>
        <w:spacing w:before="240" w:after="80"/>
      </w:pPr>
      <w:r>
        <w:rPr>
          <w:rFonts w:ascii="Poppins" w:eastAsia="Poppins" w:hAnsi="Poppins" w:cs="Poppins"/>
          <w:color w:val="1E1D1C"/>
        </w:rPr>
        <w:t>8.4 Brand risk.</w:t>
      </w:r>
    </w:p>
    <w:p w14:paraId="6F4D2864" w14:textId="77777777" w:rsidR="00076B4B" w:rsidRDefault="00000000">
      <w:pPr>
        <w:spacing w:after="120"/>
        <w:rPr>
          <w:rFonts w:hint="eastAsia"/>
        </w:rPr>
      </w:pPr>
      <w:r>
        <w:rPr>
          <w:rFonts w:eastAsia="Open Sans" w:cs="Open Sans"/>
          <w:color w:val="1E1D1C"/>
        </w:rPr>
        <w:t xml:space="preserve">If "AI consulting" goes on the front of the practice, it will attract a certain kind of buyer: the one who wants a chatbot and a press release. That is not the buyer. The positioning has to stay anchored on CPM outcomes (the weekly CFM that runs the month in full: revenue, COGS, overhead, distributions, bottom line; the UDEs that get worked on the Bloodwall; the actions that get owned and tracked; the MAM that runs the weekly tracking, accountability, </w:t>
      </w:r>
      <w:r>
        <w:rPr>
          <w:rFonts w:eastAsia="Open Sans" w:cs="Open Sans"/>
          <w:color w:val="1E1D1C"/>
        </w:rPr>
        <w:lastRenderedPageBreak/>
        <w:t>and team-decision cadence) with AI as one of several levers. The marketing language should be "fix the business" first and "AI-enabled" second.</w:t>
      </w:r>
    </w:p>
    <w:p w14:paraId="7E1387D3" w14:textId="77777777" w:rsidR="00076B4B" w:rsidRDefault="00000000">
      <w:pPr>
        <w:pStyle w:val="Heading2"/>
        <w:spacing w:before="240" w:after="80"/>
      </w:pPr>
      <w:r>
        <w:rPr>
          <w:rFonts w:ascii="Poppins" w:eastAsia="Poppins" w:hAnsi="Poppins" w:cs="Poppins"/>
          <w:color w:val="1E1D1C"/>
        </w:rPr>
        <w:t>8.5 Credential hygiene risk.</w:t>
      </w:r>
    </w:p>
    <w:p w14:paraId="4E4EA176" w14:textId="77777777" w:rsidR="00076B4B" w:rsidRDefault="00000000">
      <w:pPr>
        <w:spacing w:after="120"/>
        <w:rPr>
          <w:rFonts w:hint="eastAsia"/>
        </w:rPr>
      </w:pPr>
      <w:r>
        <w:rPr>
          <w:rFonts w:eastAsia="Open Sans" w:cs="Open Sans"/>
          <w:color w:val="1E1D1C"/>
        </w:rPr>
        <w:t>Running production middleware against client systems means handling production credentials. The discipline going forward is a documented per-vendor credential map for every client, a rotation runbook with closed-loop verification, and a posture that treats client secrets as the most sensitive artifact in the engagement.</w:t>
      </w:r>
    </w:p>
    <w:p>
      <w:pPr>
        <w:pStyle w:val="Heading2"/>
        <w:spacing w:before="240" w:after="80"/>
      </w:pPr>
      <w:r>
        <w:rPr>
          <w:rFonts w:ascii="Poppins" w:hAnsi="Poppins"/>
          <w:color w:val="1E1D1C"/>
        </w:rPr>
        <w:t>8.6 Token-pricing risk.</w:t>
      </w:r>
    </w:p>
    <w:p>
      <w:pPr>
        <w:spacing w:after="120"/>
      </w:pPr>
      <w:r>
        <w:rPr>
          <w:color w:val="1E1D1C"/>
        </w:rPr>
        <w:t>Current AI inference costs sit below the unit economics of the buildout that produces them. Major providers are funding the gap on venture equity, debt, and capex pre-commitments against a future in which prices rise: OpenAI's reported 2025 losses ran between $5 and $13.5 billion against $3.7 to $4.3 billion of revenue, and Alphabet's announced capex steps from roughly $75 billion in 2025 to $175 to $185 billion in 2026.</w:t>
      </w:r>
      <w:r>
        <w:rPr>
          <w:color w:val="1E1D1C"/>
          <w:vertAlign w:val="superscript"/>
        </w:rPr>
        <w:t>15</w:t>
      </w:r>
      <w:r>
        <w:rPr>
          <w:color w:val="1E1D1C"/>
        </w:rPr>
        <w:t xml:space="preserve"> </w:t>
      </w:r>
      <w:r>
        <w:rPr>
          <w:color w:val="1E1D1C"/>
          <w:vertAlign w:val="superscript"/>
        </w:rPr>
        <w:t>16</w:t>
      </w:r>
      <w:r>
        <w:rPr>
          <w:color w:val="1E1D1C"/>
        </w:rPr>
        <w:t xml:space="preserve"> The practice has three defenses. First, the per-engagement token spend is small relative to the value of the weekly Game and the operating loop, so a meaningful price jump remains absorbable on most engagements. Second, the architecture is provider-neutral, so the practice can route work to whichever model holds the price-performance frontier at the time. Third, the Fractional AI Chief retainer is the structural place the cost rebalancing gets negotiated with the client each month, rather than landing as a surprise at renewal.</w:t>
      </w:r>
    </w:p>
    <w:p w14:paraId="399516CA" w14:textId="77777777" w:rsidR="00076B4B" w:rsidRDefault="00000000">
      <w:pPr>
        <w:pStyle w:val="Heading1"/>
        <w:spacing w:before="360" w:after="160"/>
      </w:pPr>
      <w:r>
        <w:rPr>
          <w:rFonts w:ascii="Poppins" w:eastAsia="Poppins" w:hAnsi="Poppins" w:cs="Poppins"/>
          <w:color w:val="4A8B91"/>
          <w:sz w:val="36"/>
        </w:rPr>
        <w:t>9. Recommendation</w:t>
      </w:r>
    </w:p>
    <w:p w14:paraId="279824F1" w14:textId="77777777" w:rsidR="00076B4B" w:rsidRDefault="00000000">
      <w:pPr>
        <w:spacing w:after="120"/>
        <w:rPr>
          <w:rFonts w:hint="eastAsia"/>
        </w:rPr>
      </w:pPr>
      <w:r>
        <w:rPr>
          <w:rFonts w:eastAsia="Open Sans" w:cs="Open Sans"/>
          <w:color w:val="1E1D1C"/>
        </w:rPr>
        <w:t>Name the practice. Not a new entity, a practice. An internal designation inside ISI with a referenceable engagement. The work is already being done; it has not yet been named.</w:t>
      </w:r>
    </w:p>
    <w:p w14:paraId="12CDF810" w14:textId="1D48FBBB" w:rsidR="00076B4B" w:rsidRDefault="00000000">
      <w:pPr>
        <w:spacing w:after="120"/>
        <w:rPr>
          <w:rFonts w:hint="eastAsia"/>
        </w:rPr>
      </w:pPr>
      <w:r>
        <w:rPr>
          <w:rFonts w:eastAsia="Open Sans" w:cs="Open Sans"/>
          <w:color w:val="1E1D1C"/>
        </w:rPr>
        <w:t>The launch plan that follows is not a sales plan</w:t>
      </w:r>
      <w:r w:rsidR="005708A4">
        <w:rPr>
          <w:rFonts w:eastAsia="Open Sans" w:cs="Open Sans"/>
          <w:color w:val="1E1D1C"/>
        </w:rPr>
        <w:t xml:space="preserve"> but the incremental steps to </w:t>
      </w:r>
      <w:r>
        <w:rPr>
          <w:rFonts w:eastAsia="Open Sans" w:cs="Open Sans"/>
          <w:color w:val="1E1D1C"/>
        </w:rPr>
        <w:t>prove that what is described in this paper is a real, trainable practice and not a one-consultant act. Three steps, each the prerequisite for the next.</w:t>
      </w:r>
    </w:p>
    <w:p w14:paraId="02B22E5F" w14:textId="77777777" w:rsidR="00076B4B" w:rsidRDefault="00000000">
      <w:pPr>
        <w:pStyle w:val="ListParagraph"/>
        <w:keepLines/>
        <w:spacing w:after="80"/>
        <w:rPr>
          <w:rFonts w:hint="eastAsia"/>
        </w:rPr>
      </w:pPr>
      <w:r>
        <w:rPr>
          <w:rFonts w:eastAsia="Open Sans" w:cs="Open Sans"/>
          <w:color w:val="1E1D1C"/>
        </w:rPr>
        <w:t>Step 1. Reference implementation. Stand up the full weekly CFM-to-UDE-to-Bloodwall-to-Game-to-MAM operating loop end-to-end on a single engagement: the integrated form the practice has been working toward, running weekly against a monthly Game. The Game is already live in production today; the rest of the loop is what gets wired around it. The deliverable is a working reference engagement, not a slide.</w:t>
      </w:r>
    </w:p>
    <w:p w14:paraId="08A99A9A" w14:textId="77777777" w:rsidR="00076B4B" w:rsidRDefault="00000000">
      <w:pPr>
        <w:pStyle w:val="ListParagraph"/>
        <w:keepLines/>
        <w:spacing w:after="80"/>
        <w:rPr>
          <w:rFonts w:hint="eastAsia"/>
        </w:rPr>
      </w:pPr>
      <w:r>
        <w:rPr>
          <w:rFonts w:eastAsia="Open Sans" w:cs="Open Sans"/>
          <w:color w:val="1E1D1C"/>
        </w:rPr>
        <w:t>Step 2. The pattern playbook. Write the Game's build guide (the Wall, the Goal, the Game, the Steps, the thermometer, the gauges, the drill-down) as a vertical-neutral document a second consultant could follow without the original builder in the room. The test is not whether the playbook reads well; it is whether a second consultant can pick it up cold and start building.</w:t>
      </w:r>
    </w:p>
    <w:p w14:paraId="6D9CC03D" w14:textId="77777777" w:rsidR="00076B4B" w:rsidRDefault="00000000">
      <w:pPr>
        <w:pStyle w:val="ListParagraph"/>
        <w:keepLines/>
        <w:spacing w:after="80"/>
        <w:rPr>
          <w:rFonts w:hint="eastAsia"/>
        </w:rPr>
      </w:pPr>
      <w:r>
        <w:rPr>
          <w:rFonts w:eastAsia="Open Sans" w:cs="Open Sans"/>
          <w:color w:val="1E1D1C"/>
        </w:rPr>
        <w:t>Step 3. Prove the pattern is trainable. A second consultant inside ISI builds a second Game on a second engagement, working from the playbook. If that build lands, the practice is real: the methodology has been shown to transfer, and whether ISI trains five more consultants in it, fifty, or all three hundred and fifty is a decision the firm makes from a position of evidence. If the second build stalls, the playbook gets another draft and the pattern is not yet ready to scale. Either way, what is handed to ISI at the end of Step 3 is the same set of artifacts: a reference engagement, a build guide, and a second consultant who has used both.</w:t>
      </w:r>
    </w:p>
    <w:p>
      <w:pPr>
        <w:spacing w:after="120"/>
      </w:pPr>
      <w:r>
        <w:rPr>
          <w:color w:val="1E1D1C"/>
        </w:rPr>
        <w:t>There is also a clock on the input side. The inference costs that make these tools cheap to build today are subsidized below the unit economics of the underlying AI infrastructure buildout, and the major providers have publicly committed to capex programs that current token pricing cannot fund.</w:t>
      </w:r>
      <w:r>
        <w:rPr>
          <w:color w:val="1E1D1C"/>
          <w:vertAlign w:val="superscript"/>
        </w:rPr>
        <w:t>15</w:t>
      </w:r>
      <w:r>
        <w:rPr>
          <w:color w:val="1E1D1C"/>
        </w:rPr>
        <w:t xml:space="preserve"> OpenAI posted between $5 and $13.5 billion of losses against $3.7 to $4.3 billion of revenue in 2025; Alphabet's announced 2026 capex steps from $75 billion to roughly $175 to $185 billion in a single year.</w:t>
      </w:r>
      <w:r>
        <w:rPr>
          <w:color w:val="1E1D1C"/>
          <w:vertAlign w:val="superscript"/>
        </w:rPr>
        <w:t>16</w:t>
      </w:r>
      <w:r>
        <w:rPr>
          <w:color w:val="1E1D1C"/>
        </w:rPr>
        <w:t xml:space="preserve"> The window in which a small consultancy can build, ship, and price tools against current token economics is open now and will not stay open indefinitely; Step 1 is best executed inside it.</w:t>
      </w:r>
    </w:p>
    <w:p w14:paraId="3187E122" w14:textId="77777777" w:rsidR="00076B4B" w:rsidRDefault="00000000">
      <w:pPr>
        <w:spacing w:after="120"/>
        <w:rPr>
          <w:rFonts w:hint="eastAsia"/>
        </w:rPr>
      </w:pPr>
      <w:r>
        <w:rPr>
          <w:rFonts w:eastAsia="Open Sans" w:cs="Open Sans"/>
          <w:color w:val="1E1D1C"/>
        </w:rPr>
        <w:lastRenderedPageBreak/>
        <w:t>The market opening is visible. Trade-shop owners are looking around for someone they trust, and ISI already has those relationships. What is proposed here is a way to extend them with an AI advisory layer that fits how the firm already works.</w:t>
      </w:r>
    </w:p>
    <w:p w14:paraId="44D49F28" w14:textId="77777777" w:rsidR="00076B4B" w:rsidRDefault="00000000">
      <w:pPr>
        <w:pStyle w:val="Heading1"/>
        <w:spacing w:before="360" w:after="160"/>
      </w:pPr>
      <w:r>
        <w:rPr>
          <w:rFonts w:ascii="Poppins" w:eastAsia="Poppins" w:hAnsi="Poppins" w:cs="Poppins"/>
          <w:color w:val="4A8B91"/>
          <w:sz w:val="36"/>
        </w:rPr>
        <w:t>10. Closing</w:t>
      </w:r>
    </w:p>
    <w:p w14:paraId="2BEA9826" w14:textId="77777777" w:rsidR="00076B4B" w:rsidRDefault="00000000">
      <w:pPr>
        <w:spacing w:after="120"/>
        <w:rPr>
          <w:rFonts w:hint="eastAsia"/>
        </w:rPr>
      </w:pPr>
      <w:r>
        <w:rPr>
          <w:rFonts w:eastAsia="Open Sans" w:cs="Open Sans"/>
          <w:color w:val="1E1D1C"/>
        </w:rPr>
        <w:t>Forty years ago, the consulting industry was reorganized around the personal computer. Twenty years ago, around the internet. Ten years ago, around the cloud. Each of those reorganizations created a layer of firms that owned the new advisory category, and a much larger layer of firms that did not survive the transition because they ignored it.</w:t>
      </w:r>
    </w:p>
    <w:p w14:paraId="61DBC2BE" w14:textId="77777777" w:rsidR="00076B4B" w:rsidRDefault="00000000">
      <w:pPr>
        <w:spacing w:after="120"/>
        <w:rPr>
          <w:rFonts w:hint="eastAsia"/>
        </w:rPr>
      </w:pPr>
      <w:r>
        <w:rPr>
          <w:rFonts w:eastAsia="Open Sans" w:cs="Open Sans"/>
          <w:color w:val="1E1D1C"/>
        </w:rPr>
        <w:t>The 2026 reorganization is happening at the top of the market right now, in public, with three of the world's most valuable companies declaring their intent. The question for a firm at ISI's scale is what category to occupy as the dust settles. The natural answer is the one category the giants cannot reach: the trades, the mid-market, the family-run shops that do the actual work of the American economy.</w:t>
      </w:r>
    </w:p>
    <w:p w14:paraId="46CAE42A" w14:textId="77777777" w:rsidR="00076B4B" w:rsidRDefault="00000000">
      <w:pPr>
        <w:spacing w:after="280"/>
        <w:rPr>
          <w:rFonts w:hint="eastAsia"/>
        </w:rPr>
      </w:pPr>
      <w:r>
        <w:rPr>
          <w:rFonts w:eastAsia="Open Sans" w:cs="Open Sans"/>
          <w:color w:val="1E1D1C"/>
        </w:rPr>
        <w:t>The methodology is there: Critical Path Methodology, with the Cash Flow Model, the Wall, the UDE log, the Bloodwall, and the MAM that ISI has been running for decades. The clients are there. The tools are running today, in production, in engagements that span HVAC, plumbing, auto, hurricane shutters, heritage food, and small institutions. The proposal is to name the practice, prove the pattern transfers, and let ISI scale it on whatever terms the firm chooses.</w:t>
      </w:r>
    </w:p>
    <w:p w14:paraId="70A003BC" w14:textId="77777777" w:rsidR="00076B4B" w:rsidRDefault="00000000">
      <w:pPr>
        <w:pStyle w:val="Heading1"/>
        <w:pageBreakBefore/>
        <w:spacing w:before="360" w:after="160"/>
      </w:pPr>
      <w:r>
        <w:rPr>
          <w:rFonts w:ascii="Poppins" w:eastAsia="Poppins" w:hAnsi="Poppins" w:cs="Poppins"/>
          <w:color w:val="4A8B91"/>
          <w:sz w:val="36"/>
        </w:rPr>
        <w:lastRenderedPageBreak/>
        <w:t>11. Notes</w:t>
      </w:r>
    </w:p>
    <w:p w14:paraId="45BC3364" w14:textId="77777777" w:rsidR="00076B4B" w:rsidRDefault="00000000">
      <w:pPr>
        <w:spacing w:after="80"/>
        <w:ind w:left="360" w:hanging="360"/>
        <w:rPr>
          <w:rFonts w:hint="eastAsia"/>
        </w:rPr>
      </w:pPr>
      <w:r>
        <w:rPr>
          <w:rFonts w:eastAsia="Open Sans" w:cs="Open Sans"/>
          <w:b/>
          <w:color w:val="1E1D1C"/>
          <w:sz w:val="20"/>
        </w:rPr>
        <w:t xml:space="preserve">1. </w:t>
      </w:r>
      <w:r>
        <w:rPr>
          <w:rFonts w:eastAsia="Open Sans" w:cs="Open Sans"/>
          <w:color w:val="1E1D1C"/>
          <w:sz w:val="20"/>
        </w:rPr>
        <w:t>Blackstone, Hellman &amp; Friedman, Goldman Sachs, and Anthropic, "Anthropic Partners with Blackstone, Hellman &amp; Friedman, and Goldman Sachs to Launch Enterprise AI Services Firm," joint press release, May 4, 2026, https://www.blackstone.com/news/press/anthropic-partners-with-blackstone-hellman-friedman-and-goldman-sachs-to-launch-enterprise-ai-services-firm/; Anthropic, "Building a New Enterprise AI Services Company with Blackstone, Hellman &amp; Friedman, and Goldman Sachs," May 4, 2026, https://www.anthropic.com/news/enterprise-ai-services-company.</w:t>
      </w:r>
    </w:p>
    <w:p w14:paraId="600C52FA" w14:textId="77777777" w:rsidR="00076B4B" w:rsidRDefault="00000000">
      <w:pPr>
        <w:spacing w:after="80"/>
        <w:ind w:left="360" w:hanging="360"/>
        <w:rPr>
          <w:rFonts w:hint="eastAsia"/>
        </w:rPr>
      </w:pPr>
      <w:r>
        <w:rPr>
          <w:rFonts w:eastAsia="Open Sans" w:cs="Open Sans"/>
          <w:b/>
          <w:color w:val="1E1D1C"/>
          <w:sz w:val="20"/>
        </w:rPr>
        <w:t xml:space="preserve">2. </w:t>
      </w:r>
      <w:r>
        <w:rPr>
          <w:rFonts w:eastAsia="Open Sans" w:cs="Open Sans"/>
          <w:color w:val="1E1D1C"/>
          <w:sz w:val="20"/>
        </w:rPr>
        <w:t>Allie Garfinkle, "Anthropic Takes Shot at Consulting Industry in Joint Venture with Wall Street Giants," Fortune, May 4, 2026, https://fortune.com/2026/05/04/anthropic-claude-consulting-industry-joint-venture-blackstone-goldman-sachs/.</w:t>
      </w:r>
    </w:p>
    <w:p w14:paraId="53D81DE1" w14:textId="77777777" w:rsidR="00076B4B" w:rsidRDefault="00000000">
      <w:pPr>
        <w:spacing w:after="80"/>
        <w:ind w:left="360" w:hanging="360"/>
        <w:rPr>
          <w:rFonts w:hint="eastAsia"/>
        </w:rPr>
      </w:pPr>
      <w:r>
        <w:rPr>
          <w:rFonts w:eastAsia="Open Sans" w:cs="Open Sans"/>
          <w:b/>
          <w:color w:val="1E1D1C"/>
          <w:sz w:val="20"/>
        </w:rPr>
        <w:t xml:space="preserve">3. </w:t>
      </w:r>
      <w:r>
        <w:rPr>
          <w:rFonts w:eastAsia="Open Sans" w:cs="Open Sans"/>
          <w:color w:val="1E1D1C"/>
          <w:sz w:val="20"/>
        </w:rPr>
        <w:t>OpenAI, "OpenAI Launches the OpenAI Deployment Company to Help Businesses Build Around Intelligence," May 12, 2026, https://openai.com/index/openai-launches-the-deployment-company/; Brody Ford and Shirin Ghaffary, "OpenAI Acquires Tomoro to Boost Private Equity-Backed AI Venture," Bloomberg, May 11, 2026, https://www.bloomberg.com/news/articles/2026-05-11/openai-to-buy-consulting-firm-for-private-equity-joint-venture.</w:t>
      </w:r>
    </w:p>
    <w:p w14:paraId="24FF3182" w14:textId="77777777" w:rsidR="00076B4B" w:rsidRDefault="00000000">
      <w:pPr>
        <w:spacing w:after="80"/>
        <w:ind w:left="360" w:hanging="360"/>
        <w:rPr>
          <w:rFonts w:hint="eastAsia"/>
        </w:rPr>
      </w:pPr>
      <w:r>
        <w:rPr>
          <w:rFonts w:eastAsia="Open Sans" w:cs="Open Sans"/>
          <w:b/>
          <w:color w:val="1E1D1C"/>
          <w:sz w:val="20"/>
        </w:rPr>
        <w:t xml:space="preserve">4. </w:t>
      </w:r>
      <w:r>
        <w:rPr>
          <w:rFonts w:eastAsia="Open Sans" w:cs="Open Sans"/>
          <w:color w:val="1E1D1C"/>
          <w:sz w:val="20"/>
        </w:rPr>
        <w:t>Google Cloud, "Google Cloud Commits $750 Million to Accelerate Partners' Agentic AI Development," press release, April 22, 2026, https://www.googlecloudpresscorner.com/2026-04-22-Google-Cloud-Commits-750-Million-to-Accelerate-Partners-Agentic-AI-Development.</w:t>
      </w:r>
    </w:p>
    <w:p w14:paraId="6D1B09DC" w14:textId="77777777" w:rsidR="00076B4B" w:rsidRDefault="00000000">
      <w:pPr>
        <w:spacing w:after="80"/>
        <w:ind w:left="360" w:hanging="360"/>
        <w:rPr>
          <w:rFonts w:hint="eastAsia"/>
        </w:rPr>
      </w:pPr>
      <w:r>
        <w:rPr>
          <w:rFonts w:eastAsia="Open Sans" w:cs="Open Sans"/>
          <w:b/>
          <w:color w:val="1E1D1C"/>
          <w:sz w:val="20"/>
        </w:rPr>
        <w:t xml:space="preserve">5. </w:t>
      </w:r>
      <w:r>
        <w:rPr>
          <w:rFonts w:eastAsia="Open Sans" w:cs="Open Sans"/>
          <w:color w:val="1E1D1C"/>
          <w:sz w:val="20"/>
        </w:rPr>
        <w:t>McKinsey &amp; Company, "McKinsey and Google Cloud Launch the McKinsey Google Transformation Group to Scale Enterprise Impact for the AI Era," New at McKinsey Blog, April 22, 2026, https://www.mckinsey.com/about-us/new-at-mckinsey-blog/mckinsey-and-google-cloud-launch-the-mckinsey-google-transformation-group-to-scale-enterprise-impact-for-the-ai-era.</w:t>
      </w:r>
    </w:p>
    <w:p w14:paraId="4156419F" w14:textId="77777777" w:rsidR="00076B4B" w:rsidRDefault="00000000">
      <w:pPr>
        <w:spacing w:after="80"/>
        <w:ind w:left="360" w:hanging="360"/>
        <w:rPr>
          <w:rFonts w:hint="eastAsia"/>
        </w:rPr>
      </w:pPr>
      <w:r>
        <w:rPr>
          <w:rFonts w:eastAsia="Open Sans" w:cs="Open Sans"/>
          <w:b/>
          <w:color w:val="1E1D1C"/>
          <w:sz w:val="20"/>
        </w:rPr>
        <w:t xml:space="preserve">6. </w:t>
      </w:r>
      <w:r>
        <w:rPr>
          <w:rFonts w:eastAsia="Open Sans" w:cs="Open Sans"/>
          <w:color w:val="1E1D1C"/>
          <w:sz w:val="20"/>
        </w:rPr>
        <w:t>Anthropic, "Cognizant Will Make Claude Available to 350,000 Employees, Accelerating Enterprise AI Adoption and Internal Transformation," November 4, 2025, https://www.anthropic.com/news/cognizant-partnership; Cognizant, "Cognizant Adopts Anthropic's Claude to Accelerate Enterprise AI Adoption at Scale and Deploys Claude to Drive Internal AI Transformation," news release, November 4, 2025, https://news.cognizant.com/2025-11-04-Cognizant-Adopts-Anthropics-Claude-to-Accelerate-Enterprise-AI-Adoption-at-Scale-and-Deploys-Claude-to-Drive-Internal-AI-Transformation.</w:t>
      </w:r>
    </w:p>
    <w:p w14:paraId="25203E9D" w14:textId="77777777" w:rsidR="00076B4B" w:rsidRDefault="00000000">
      <w:pPr>
        <w:spacing w:after="80"/>
        <w:ind w:left="360" w:hanging="360"/>
        <w:rPr>
          <w:rFonts w:hint="eastAsia"/>
        </w:rPr>
      </w:pPr>
      <w:r>
        <w:rPr>
          <w:rFonts w:eastAsia="Open Sans" w:cs="Open Sans"/>
          <w:b/>
          <w:color w:val="1E1D1C"/>
          <w:sz w:val="20"/>
        </w:rPr>
        <w:t xml:space="preserve">7. </w:t>
      </w:r>
      <w:r>
        <w:rPr>
          <w:rFonts w:eastAsia="Open Sans" w:cs="Open Sans"/>
          <w:color w:val="1E1D1C"/>
          <w:sz w:val="20"/>
        </w:rPr>
        <w:t>PwC, "2026 AI Business Predictions," accessed May 14, 2026, https://www.pwc.com/us/en/tech-effect/ai-analytics/ai-predictions.html.</w:t>
      </w:r>
    </w:p>
    <w:p w14:paraId="610EDC4F" w14:textId="77777777" w:rsidR="00076B4B" w:rsidRDefault="00000000">
      <w:pPr>
        <w:spacing w:after="80"/>
        <w:ind w:left="360" w:hanging="360"/>
        <w:rPr>
          <w:rFonts w:hint="eastAsia"/>
        </w:rPr>
      </w:pPr>
      <w:r>
        <w:rPr>
          <w:rFonts w:eastAsia="Open Sans" w:cs="Open Sans"/>
          <w:b/>
          <w:color w:val="1E1D1C"/>
          <w:sz w:val="20"/>
        </w:rPr>
        <w:t xml:space="preserve">8. </w:t>
      </w:r>
      <w:r>
        <w:rPr>
          <w:rFonts w:eastAsia="Open Sans" w:cs="Open Sans"/>
          <w:color w:val="1E1D1C"/>
          <w:sz w:val="20"/>
        </w:rPr>
        <w:t>World Economic Forum, "It's Time for AI's Mid-Market Business Moment. Here's Why," January 2026, https://www.weforum.org/stories/2026/01/ai-mid-market-business-growth/. The same body of WEF analysis reports the 95 percent AI-pilot failure rate.</w:t>
      </w:r>
    </w:p>
    <w:p w14:paraId="1226A349" w14:textId="77777777" w:rsidR="00076B4B" w:rsidRDefault="00000000">
      <w:pPr>
        <w:spacing w:after="80"/>
        <w:ind w:left="360" w:hanging="360"/>
        <w:rPr>
          <w:rFonts w:hint="eastAsia"/>
        </w:rPr>
      </w:pPr>
      <w:r>
        <w:rPr>
          <w:rFonts w:eastAsia="Open Sans" w:cs="Open Sans"/>
          <w:b/>
          <w:color w:val="1E1D1C"/>
          <w:sz w:val="20"/>
        </w:rPr>
        <w:lastRenderedPageBreak/>
        <w:t xml:space="preserve">9. </w:t>
      </w:r>
      <w:r>
        <w:rPr>
          <w:rFonts w:eastAsia="Open Sans" w:cs="Open Sans"/>
          <w:color w:val="1E1D1C"/>
          <w:sz w:val="20"/>
        </w:rPr>
        <w:t>Small Business &amp; Entrepreneurship Council, Small Business Technology Use Survey (March 2026), https://sbecouncil.org/2026/03/11/new-sbe-council-tech-use-survey-the-digital-state-of-small-business/; SBE Council, "Success Strategies: The AI Tools Small Businesses Are Using," April 25, 2026, https://sbecouncil.org/2026/04/25/the-ai-tools-small-businesses-are-using/.</w:t>
      </w:r>
    </w:p>
    <w:p w14:paraId="6F52E02A" w14:textId="77777777" w:rsidR="00076B4B" w:rsidRDefault="00000000">
      <w:pPr>
        <w:spacing w:after="80"/>
        <w:ind w:left="360" w:hanging="360"/>
        <w:rPr>
          <w:rFonts w:hint="eastAsia"/>
        </w:rPr>
      </w:pPr>
      <w:r>
        <w:rPr>
          <w:rFonts w:eastAsia="Open Sans" w:cs="Open Sans"/>
          <w:b/>
          <w:color w:val="1E1D1C"/>
          <w:sz w:val="20"/>
        </w:rPr>
        <w:t xml:space="preserve">10. </w:t>
      </w:r>
      <w:r>
        <w:rPr>
          <w:rFonts w:eastAsia="Open Sans" w:cs="Open Sans"/>
          <w:color w:val="1E1D1C"/>
          <w:sz w:val="20"/>
        </w:rPr>
        <w:t>Pertama Partners, "AI Consultant Rates 2026: Market Data," accessed May 14, 2026, https://www.pertamapartners.com/insights/ai-consultant-rates-2026.</w:t>
      </w:r>
    </w:p>
    <w:p w14:paraId="596E9162" w14:textId="77777777" w:rsidR="00076B4B" w:rsidRDefault="00000000">
      <w:pPr>
        <w:spacing w:after="80"/>
        <w:ind w:left="360" w:hanging="360"/>
        <w:rPr>
          <w:rFonts w:hint="eastAsia"/>
        </w:rPr>
      </w:pPr>
      <w:r>
        <w:rPr>
          <w:rFonts w:eastAsia="Open Sans" w:cs="Open Sans"/>
          <w:b/>
          <w:color w:val="1E1D1C"/>
          <w:sz w:val="20"/>
        </w:rPr>
        <w:t xml:space="preserve">11. </w:t>
      </w:r>
      <w:r>
        <w:rPr>
          <w:rFonts w:eastAsia="Open Sans" w:cs="Open Sans"/>
          <w:color w:val="1E1D1C"/>
          <w:sz w:val="20"/>
        </w:rPr>
        <w:t>Data Consulting Insights, "AI Consulting Pricing: What GenAI Projects Actually Cost in 2026," accessed May 14, 2026, https://dataconsultingfirms.com/insights/ai-consulting-pricing. CAGR estimates for the AI consulting market cluster in the 28 to 30 percent range across published 2026 market studies; this paper uses the lower end of that range.</w:t>
      </w:r>
    </w:p>
    <w:p>
      <w:pPr>
        <w:spacing w:after="80"/>
        <w:ind w:left="360" w:hanging="360"/>
      </w:pPr>
      <w:r>
        <w:rPr>
          <w:color w:val="1E1D1C"/>
          <w:sz w:val="20"/>
        </w:rPr>
        <w:t>12. HumaI Blog, "SaaSpocalypse: Why Enterprise Software Has Lost More Than $2 Trillion in 2026," accessed May 15, 2026, https://www.humai.blog/saaspocalypse-why-enterprise-software-has-lost-more-than-2-trillion-in-2026/.</w:t>
      </w:r>
    </w:p>
    <w:p>
      <w:pPr>
        <w:spacing w:after="80"/>
        <w:ind w:left="360" w:hanging="360"/>
      </w:pPr>
      <w:r>
        <w:rPr>
          <w:color w:val="1E1D1C"/>
          <w:sz w:val="20"/>
        </w:rPr>
        <w:t>13. MindStudio, "SaaS Pricing Is Breaking: Why Per-Seat Models Don't Survive the AI Agent Era," accessed May 15, 2026, https://www.mindstudio.ai/blog/saas-pricing-ai-agent-era.</w:t>
      </w:r>
    </w:p>
    <w:p>
      <w:pPr>
        <w:spacing w:after="80"/>
        <w:ind w:left="360" w:hanging="360"/>
      </w:pPr>
      <w:r>
        <w:rPr>
          <w:color w:val="1E1D1C"/>
          <w:sz w:val="20"/>
        </w:rPr>
        <w:t>14. Bain &amp; Company, "Per-Seat Software Pricing Isn't Dead, but New Models Are Gaining Steam," October 2025, https://www.bain.com/insights/per-seat-software-pricing-isnt-dead-but-new-models-are-gaining-steam/.</w:t>
      </w:r>
    </w:p>
    <w:p>
      <w:pPr>
        <w:spacing w:after="80"/>
        <w:ind w:left="360" w:hanging="360"/>
      </w:pPr>
      <w:r>
        <w:rPr>
          <w:color w:val="1E1D1C"/>
          <w:sz w:val="20"/>
        </w:rPr>
        <w:t>15. Oplexa, "AI Inference Cost Crisis 2026: Why Your AI Bill Is Exploding," March 31, 2026, https://oplexa.com/ai-inference-cost-crisis-2026/; UpTech Studio, "The True Cost of AI: When the Subsidies Run Out," accessed May 15, 2026, https://www.uptechstudio.com/blog/the-true-cost-of-ai-when-the-subsidies-run-out.</w:t>
      </w:r>
    </w:p>
    <w:p>
      <w:pPr>
        <w:spacing w:after="80"/>
        <w:ind w:left="360" w:hanging="360"/>
      </w:pPr>
      <w:r>
        <w:rPr>
          <w:color w:val="1E1D1C"/>
          <w:sz w:val="20"/>
        </w:rPr>
        <w:t>16. Artefact, "Is AI Really Getting Cheaper? The Token Cost Illusion," accessed May 15, 2026, https://www.artefact.com/blog/is-ai-really-getting-cheaper-the-token-cost-illusion/.</w:t>
      </w:r>
    </w:p>
    <w:p w14:paraId="01CC4CA0" w14:textId="77777777" w:rsidR="00076B4B" w:rsidRDefault="00000000">
      <w:pPr>
        <w:pStyle w:val="Heading1"/>
        <w:pageBreakBefore/>
        <w:spacing w:before="360" w:after="160"/>
      </w:pPr>
      <w:r>
        <w:rPr>
          <w:rFonts w:ascii="Poppins" w:eastAsia="Poppins" w:hAnsi="Poppins" w:cs="Poppins"/>
          <w:color w:val="4A8B91"/>
          <w:sz w:val="36"/>
        </w:rPr>
        <w:lastRenderedPageBreak/>
        <w:t>12. Bibliography</w:t>
      </w:r>
    </w:p>
    <w:p w14:paraId="15A43872" w14:textId="77777777" w:rsidR="00076B4B" w:rsidRDefault="00000000">
      <w:pPr>
        <w:spacing w:after="80"/>
        <w:ind w:left="360" w:hanging="360"/>
        <w:rPr>
          <w:rFonts w:hint="eastAsia"/>
        </w:rPr>
      </w:pPr>
      <w:r>
        <w:rPr>
          <w:rFonts w:eastAsia="Open Sans" w:cs="Open Sans"/>
          <w:color w:val="1E1D1C"/>
          <w:sz w:val="20"/>
        </w:rPr>
        <w:t>Anthropic. "Building a New Enterprise AI Services Company with Blackstone, Hellman &amp; Friedman, and Goldman Sachs." May 4, 2026. https://www.anthropic.com/news/enterprise-ai-services-company.</w:t>
      </w:r>
    </w:p>
    <w:p w14:paraId="5816283C" w14:textId="77777777" w:rsidR="00076B4B" w:rsidRDefault="00000000">
      <w:pPr>
        <w:spacing w:after="80"/>
        <w:ind w:left="360" w:hanging="360"/>
        <w:rPr>
          <w:rFonts w:hint="eastAsia"/>
        </w:rPr>
      </w:pPr>
      <w:r>
        <w:rPr>
          <w:rFonts w:eastAsia="Open Sans" w:cs="Open Sans"/>
          <w:color w:val="1E1D1C"/>
          <w:sz w:val="20"/>
        </w:rPr>
        <w:t>Anthropic. "Cognizant Will Make Claude Available to 350,000 Employees, Accelerating Enterprise AI Adoption and Internal Transformation." November 4, 2025. https://www.anthropic.com/news/cognizant-partnership.</w:t>
      </w:r>
    </w:p>
    <w:p>
      <w:pPr>
        <w:spacing w:after="80"/>
        <w:ind w:left="360" w:hanging="360"/>
      </w:pPr>
      <w:r>
        <w:rPr>
          <w:color w:val="1E1D1C"/>
          <w:sz w:val="20"/>
        </w:rPr>
        <w:t>Artefact. "Is AI Really Getting Cheaper? The Token Cost Illusion." Accessed May 15, 2026. https://www.artefact.com/blog/is-ai-really-getting-cheaper-the-token-cost-illusion/.</w:t>
      </w:r>
    </w:p>
    <w:p>
      <w:pPr>
        <w:spacing w:after="80"/>
        <w:ind w:left="360" w:hanging="360"/>
      </w:pPr>
      <w:r>
        <w:rPr>
          <w:color w:val="1E1D1C"/>
          <w:sz w:val="20"/>
        </w:rPr>
        <w:t>Bain &amp; Company. "Per-Seat Software Pricing Isn't Dead, but New Models Are Gaining Steam." October 2025. https://www.bain.com/insights/per-seat-software-pricing-isnt-dead-but-new-models-are-gaining-steam/.</w:t>
      </w:r>
    </w:p>
    <w:p w14:paraId="651266D4" w14:textId="77777777" w:rsidR="00076B4B" w:rsidRDefault="00000000">
      <w:pPr>
        <w:spacing w:after="80"/>
        <w:ind w:left="360" w:hanging="360"/>
        <w:rPr>
          <w:rFonts w:hint="eastAsia"/>
        </w:rPr>
      </w:pPr>
      <w:r>
        <w:rPr>
          <w:rFonts w:eastAsia="Open Sans" w:cs="Open Sans"/>
          <w:color w:val="1E1D1C"/>
          <w:sz w:val="20"/>
        </w:rPr>
        <w:t>Blackstone, Hellman &amp; Friedman, Goldman Sachs, and Anthropic. "Anthropic Partners with Blackstone, Hellman &amp; Friedman, and Goldman Sachs to Launch Enterprise AI Services Firm." Joint press release, May 4, 2026. https://www.blackstone.com/news/press/anthropic-partners-with-blackstone-hellman-friedman-and-goldman-sachs-to-launch-enterprise-ai-services-firm/.</w:t>
      </w:r>
    </w:p>
    <w:p w14:paraId="0DFFB57A" w14:textId="77777777" w:rsidR="00076B4B" w:rsidRDefault="00000000">
      <w:pPr>
        <w:spacing w:after="80"/>
        <w:ind w:left="360" w:hanging="360"/>
        <w:rPr>
          <w:rFonts w:hint="eastAsia"/>
        </w:rPr>
      </w:pPr>
      <w:r>
        <w:rPr>
          <w:rFonts w:eastAsia="Open Sans" w:cs="Open Sans"/>
          <w:color w:val="1E1D1C"/>
          <w:sz w:val="20"/>
        </w:rPr>
        <w:t>Cognizant. "Cognizant Adopts Anthropic's Claude to Accelerate Enterprise AI Adoption at Scale and Deploys Claude to Drive Internal AI Transformation." News release, November 4, 2025. https://news.cognizant.com/2025-11-04-Cognizant-Adopts-Anthropics-Claude-to-Accelerate-Enterprise-AI-Adoption-at-Scale-and-Deploys-Claude-to-Drive-Internal-AI-Transformation.</w:t>
      </w:r>
    </w:p>
    <w:p w14:paraId="25E1B05C" w14:textId="77777777" w:rsidR="00076B4B" w:rsidRDefault="00000000">
      <w:pPr>
        <w:spacing w:after="80"/>
        <w:ind w:left="360" w:hanging="360"/>
        <w:rPr>
          <w:rFonts w:hint="eastAsia"/>
        </w:rPr>
      </w:pPr>
      <w:r>
        <w:rPr>
          <w:rFonts w:eastAsia="Open Sans" w:cs="Open Sans"/>
          <w:color w:val="1E1D1C"/>
          <w:sz w:val="20"/>
        </w:rPr>
        <w:t>Data Consulting Insights. "AI Consulting Pricing: What GenAI Projects Actually Cost in 2026." Accessed May 14, 2026. https://dataconsultingfirms.com/insights/ai-consulting-pricing.</w:t>
      </w:r>
    </w:p>
    <w:p w14:paraId="5E37853F" w14:textId="77777777" w:rsidR="00076B4B" w:rsidRDefault="00000000">
      <w:pPr>
        <w:spacing w:after="80"/>
        <w:ind w:left="360" w:hanging="360"/>
        <w:rPr>
          <w:rFonts w:hint="eastAsia"/>
        </w:rPr>
      </w:pPr>
      <w:r>
        <w:rPr>
          <w:rFonts w:eastAsia="Open Sans" w:cs="Open Sans"/>
          <w:color w:val="1E1D1C"/>
          <w:sz w:val="20"/>
        </w:rPr>
        <w:t>Ford, Brody, and Shirin Ghaffary. "OpenAI Acquires Tomoro to Boost Private Equity-Backed AI Venture." Bloomberg, May 11, 2026. https://www.bloomberg.com/news/articles/2026-05-11/openai-to-buy-consulting-firm-for-private-equity-joint-venture.</w:t>
      </w:r>
    </w:p>
    <w:p w14:paraId="12FFBB33" w14:textId="77777777" w:rsidR="00076B4B" w:rsidRDefault="00000000">
      <w:pPr>
        <w:spacing w:after="80"/>
        <w:ind w:left="360" w:hanging="360"/>
        <w:rPr>
          <w:rFonts w:hint="eastAsia"/>
        </w:rPr>
      </w:pPr>
      <w:r>
        <w:rPr>
          <w:rFonts w:eastAsia="Open Sans" w:cs="Open Sans"/>
          <w:color w:val="1E1D1C"/>
          <w:sz w:val="20"/>
        </w:rPr>
        <w:t>Garfinkle, Allie. "Anthropic Takes Shot at Consulting Industry in Joint Venture with Wall Street Giants." Fortune, May 4, 2026. https://fortune.com/2026/05/04/anthropic-claude-consulting-industry-joint-venture-blackstone-goldman-sachs/.</w:t>
      </w:r>
    </w:p>
    <w:p w14:paraId="77BD49EC" w14:textId="77777777" w:rsidR="00076B4B" w:rsidRDefault="00000000">
      <w:pPr>
        <w:spacing w:after="80"/>
        <w:ind w:left="360" w:hanging="360"/>
        <w:rPr>
          <w:rFonts w:hint="eastAsia"/>
        </w:rPr>
      </w:pPr>
      <w:r>
        <w:rPr>
          <w:rFonts w:eastAsia="Open Sans" w:cs="Open Sans"/>
          <w:color w:val="1E1D1C"/>
          <w:sz w:val="20"/>
        </w:rPr>
        <w:t>Google Cloud. "Google Cloud Commits $750 Million to Accelerate Partners' Agentic AI Development." Press release, April 22, 2026. https://www.googlecloudpresscorner.com/2026-04-22-Google-Cloud-Commits-750-Million-to-Accelerate-Partners-Agentic-AI-Development.</w:t>
      </w:r>
    </w:p>
    <w:p>
      <w:pPr>
        <w:spacing w:after="80"/>
        <w:ind w:left="360" w:hanging="360"/>
      </w:pPr>
      <w:r>
        <w:rPr>
          <w:color w:val="1E1D1C"/>
          <w:sz w:val="20"/>
        </w:rPr>
        <w:t>HumaI Blog. "SaaSpocalypse: Why Enterprise Software Has Lost More Than $2 Trillion in 2026." Accessed May 15, 2026. https://www.humai.blog/saaspocalypse-why-enterprise-software-has-lost-more-than-2-trillion-in-2026/.</w:t>
      </w:r>
    </w:p>
    <w:p w14:paraId="33C9DDFE" w14:textId="77777777" w:rsidR="00076B4B" w:rsidRDefault="00000000">
      <w:pPr>
        <w:spacing w:after="80"/>
        <w:ind w:left="360" w:hanging="360"/>
        <w:rPr>
          <w:rFonts w:hint="eastAsia"/>
        </w:rPr>
      </w:pPr>
      <w:r>
        <w:rPr>
          <w:rFonts w:eastAsia="Open Sans" w:cs="Open Sans"/>
          <w:color w:val="1E1D1C"/>
          <w:sz w:val="20"/>
        </w:rPr>
        <w:t>McKinsey &amp; Company. "McKinsey and Google Cloud Launch the McKinsey Google Transformation Group to Scale Enterprise Impact for the AI Era." New at McKinsey Blog, April 22, 2026. https://www.mckinsey.com/about-us/new-at-mckinsey-blog/mckinsey-and-google-cloud-launch-the-mckinsey-google-transformation-group-to-scale-enterprise-impact-for-the-ai-era.</w:t>
      </w:r>
    </w:p>
    <w:p>
      <w:pPr>
        <w:spacing w:after="80"/>
        <w:ind w:left="360" w:hanging="360"/>
      </w:pPr>
      <w:r>
        <w:rPr>
          <w:color w:val="1E1D1C"/>
          <w:sz w:val="20"/>
        </w:rPr>
        <w:t>MindStudio. "SaaS Pricing Is Breaking: Why Per-Seat Models Don't Survive the AI Agent Era." Accessed May 15, 2026. https://www.mindstudio.ai/blog/saas-pricing-ai-agent-era.</w:t>
      </w:r>
    </w:p>
    <w:p w14:paraId="62562B78" w14:textId="77777777" w:rsidR="00076B4B" w:rsidRDefault="00000000">
      <w:pPr>
        <w:spacing w:after="80"/>
        <w:ind w:left="360" w:hanging="360"/>
        <w:rPr>
          <w:rFonts w:hint="eastAsia"/>
        </w:rPr>
      </w:pPr>
      <w:r>
        <w:rPr>
          <w:rFonts w:eastAsia="Open Sans" w:cs="Open Sans"/>
          <w:color w:val="1E1D1C"/>
          <w:sz w:val="20"/>
        </w:rPr>
        <w:t>OpenAI. "OpenAI Launches the OpenAI Deployment Company to Help Businesses Build Around Intelligence." May 12, 2026. https://openai.com/index/openai-launches-the-deployment-company/.</w:t>
      </w:r>
    </w:p>
    <w:p>
      <w:pPr>
        <w:spacing w:after="80"/>
        <w:ind w:left="360" w:hanging="360"/>
      </w:pPr>
      <w:r>
        <w:rPr>
          <w:color w:val="1E1D1C"/>
          <w:sz w:val="20"/>
        </w:rPr>
        <w:t>Oplexa. "AI Inference Cost Crisis 2026: Why Your AI Bill Is Exploding." March 31, 2026. https://oplexa.com/ai-inference-cost-crisis-2026/.</w:t>
      </w:r>
    </w:p>
    <w:p w14:paraId="1ECE7E67" w14:textId="77777777" w:rsidR="00076B4B" w:rsidRDefault="00000000">
      <w:pPr>
        <w:spacing w:after="80"/>
        <w:ind w:left="360" w:hanging="360"/>
        <w:rPr>
          <w:rFonts w:hint="eastAsia"/>
        </w:rPr>
      </w:pPr>
      <w:r>
        <w:rPr>
          <w:rFonts w:eastAsia="Open Sans" w:cs="Open Sans"/>
          <w:color w:val="1E1D1C"/>
          <w:sz w:val="20"/>
        </w:rPr>
        <w:t>Pertama Partners. "AI Consultant Rates 2026: Market Data." Accessed May 14, 2026. https://www.pertamapartners.com/insights/ai-consultant-rates-2026.</w:t>
      </w:r>
    </w:p>
    <w:p w14:paraId="72D3E6CB" w14:textId="77777777" w:rsidR="00076B4B" w:rsidRDefault="00000000">
      <w:pPr>
        <w:spacing w:after="80"/>
        <w:ind w:left="360" w:hanging="360"/>
        <w:rPr>
          <w:rFonts w:hint="eastAsia"/>
        </w:rPr>
      </w:pPr>
      <w:r>
        <w:rPr>
          <w:rFonts w:eastAsia="Open Sans" w:cs="Open Sans"/>
          <w:color w:val="1E1D1C"/>
          <w:sz w:val="20"/>
        </w:rPr>
        <w:lastRenderedPageBreak/>
        <w:t>PwC. "2026 AI Business Predictions." Accessed May 14, 2026. https://www.pwc.com/us/en/tech-effect/ai-analytics/ai-predictions.html.</w:t>
      </w:r>
    </w:p>
    <w:p w14:paraId="4649EE7C" w14:textId="77777777" w:rsidR="00076B4B" w:rsidRDefault="00000000">
      <w:pPr>
        <w:spacing w:after="80"/>
        <w:ind w:left="360" w:hanging="360"/>
        <w:rPr>
          <w:rFonts w:hint="eastAsia"/>
        </w:rPr>
      </w:pPr>
      <w:r>
        <w:rPr>
          <w:rFonts w:eastAsia="Open Sans" w:cs="Open Sans"/>
          <w:color w:val="1E1D1C"/>
          <w:sz w:val="20"/>
        </w:rPr>
        <w:t>Small Business &amp; Entrepreneurship Council. Small Business Technology Use Survey. March 2026. https://sbecouncil.org/2026/03/11/new-sbe-council-tech-use-survey-the-digital-state-of-small-business/.</w:t>
      </w:r>
    </w:p>
    <w:p w14:paraId="1D4EE4E3" w14:textId="77777777" w:rsidR="00076B4B" w:rsidRDefault="00000000">
      <w:pPr>
        <w:spacing w:after="80"/>
        <w:ind w:left="360" w:hanging="360"/>
        <w:rPr>
          <w:rFonts w:hint="eastAsia"/>
        </w:rPr>
      </w:pPr>
      <w:r>
        <w:rPr>
          <w:rFonts w:eastAsia="Open Sans" w:cs="Open Sans"/>
          <w:color w:val="1E1D1C"/>
          <w:sz w:val="20"/>
        </w:rPr>
        <w:t>Small Business &amp; Entrepreneurship Council. "Success Strategies: The AI Tools Small Businesses Are Using." April 25, 2026. https://sbecouncil.org/2026/04/25/the-ai-tools-small-businesses-are-using/.</w:t>
      </w:r>
    </w:p>
    <w:p>
      <w:pPr>
        <w:spacing w:after="80"/>
        <w:ind w:left="360" w:hanging="360"/>
      </w:pPr>
      <w:r>
        <w:rPr>
          <w:color w:val="1E1D1C"/>
          <w:sz w:val="20"/>
        </w:rPr>
        <w:t>UpTech Studio. "The True Cost of AI: When the Subsidies Run Out." Accessed May 15, 2026. https://www.uptechstudio.com/blog/the-true-cost-of-ai-when-the-subsidies-run-out.</w:t>
      </w:r>
    </w:p>
    <w:p w14:paraId="76AFAA22" w14:textId="77777777" w:rsidR="00076B4B" w:rsidRDefault="00000000">
      <w:pPr>
        <w:spacing w:after="80"/>
        <w:ind w:left="360" w:hanging="360"/>
        <w:rPr>
          <w:rFonts w:hint="eastAsia"/>
        </w:rPr>
      </w:pPr>
      <w:r>
        <w:rPr>
          <w:rFonts w:eastAsia="Open Sans" w:cs="Open Sans"/>
          <w:color w:val="1E1D1C"/>
          <w:sz w:val="20"/>
        </w:rPr>
        <w:t>World Economic Forum. "It's Time for AI's Mid-Market Business Moment. Here's Why." January 2026. https://www.weforum.org/stories/2026/01/ai-mid-market-business-growth/.</w:t>
      </w:r>
    </w:p>
    <w:sectPr w:rsidR="00076B4B" w:rsidSect="00034616">
      <w:footerReference w:type="default" r:id="rId9"/>
      <w:pgSz w:w="12240" w:h="15840"/>
      <w:pgMar w:top="1440" w:right="1440" w:bottom="172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52672" w14:textId="77777777" w:rsidR="00451870" w:rsidRDefault="00451870">
      <w:pPr>
        <w:spacing w:after="0" w:line="240" w:lineRule="auto"/>
        <w:rPr>
          <w:rFonts w:hint="eastAsia"/>
        </w:rPr>
      </w:pPr>
      <w:r>
        <w:separator/>
      </w:r>
    </w:p>
  </w:endnote>
  <w:endnote w:type="continuationSeparator" w:id="0">
    <w:p w14:paraId="537D513A" w14:textId="77777777" w:rsidR="00451870" w:rsidRDefault="004518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1F41" w14:textId="77777777" w:rsidR="00076B4B" w:rsidRDefault="00000000">
    <w:pPr>
      <w:pStyle w:val="Footer"/>
      <w:jc w:val="right"/>
      <w:rPr>
        <w:rFonts w:hint="eastAsia"/>
      </w:rPr>
    </w:pPr>
    <w:r>
      <w:rPr>
        <w:rFonts w:eastAsia="Open Sans" w:cs="Open Sans"/>
        <w:color w:val="888888"/>
        <w:sz w:val="18"/>
      </w:rPr>
      <w:t xml:space="preserve">Page </w:t>
    </w:r>
    <w:r>
      <w:rPr>
        <w:rFonts w:eastAsia="Open Sans" w:cs="Open Sans"/>
        <w:color w:val="888888"/>
        <w:sz w:val="18"/>
      </w:rPr>
      <w:fldChar w:fldCharType="begin"/>
    </w:r>
    <w:r>
      <w:rPr>
        <w:rFonts w:eastAsia="Open Sans" w:cs="Open Sans"/>
        <w:color w:val="888888"/>
        <w:sz w:val="18"/>
      </w:rPr>
      <w:instrText xml:space="preserve"> PAGE </w:instrText>
    </w:r>
    <w:r w:rsidR="005708A4">
      <w:rPr>
        <w:rFonts w:eastAsia="Open Sans" w:cs="Open Sans"/>
        <w:color w:val="888888"/>
        <w:sz w:val="18"/>
      </w:rPr>
      <w:fldChar w:fldCharType="separate"/>
    </w:r>
    <w:r w:rsidR="005708A4">
      <w:rPr>
        <w:rFonts w:eastAsia="Open Sans" w:cs="Open Sans"/>
        <w:noProof/>
        <w:color w:val="888888"/>
        <w:sz w:val="18"/>
      </w:rPr>
      <w:t>1</w:t>
    </w:r>
    <w:r>
      <w:rPr>
        <w:rFonts w:eastAsia="Open Sans" w:cs="Open Sans"/>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06249" w14:textId="77777777" w:rsidR="00451870" w:rsidRDefault="00451870">
      <w:pPr>
        <w:spacing w:after="0" w:line="240" w:lineRule="auto"/>
        <w:rPr>
          <w:rFonts w:hint="eastAsia"/>
        </w:rPr>
      </w:pPr>
      <w:r>
        <w:separator/>
      </w:r>
    </w:p>
  </w:footnote>
  <w:footnote w:type="continuationSeparator" w:id="0">
    <w:p w14:paraId="68A6B613" w14:textId="77777777" w:rsidR="00451870" w:rsidRDefault="0045187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541919">
    <w:abstractNumId w:val="8"/>
  </w:num>
  <w:num w:numId="2" w16cid:durableId="1177962504">
    <w:abstractNumId w:val="6"/>
  </w:num>
  <w:num w:numId="3" w16cid:durableId="60836107">
    <w:abstractNumId w:val="5"/>
  </w:num>
  <w:num w:numId="4" w16cid:durableId="1014573128">
    <w:abstractNumId w:val="4"/>
  </w:num>
  <w:num w:numId="5" w16cid:durableId="1408571400">
    <w:abstractNumId w:val="7"/>
  </w:num>
  <w:num w:numId="6" w16cid:durableId="964193664">
    <w:abstractNumId w:val="3"/>
  </w:num>
  <w:num w:numId="7" w16cid:durableId="1242716870">
    <w:abstractNumId w:val="2"/>
  </w:num>
  <w:num w:numId="8" w16cid:durableId="250309863">
    <w:abstractNumId w:val="1"/>
  </w:num>
  <w:num w:numId="9" w16cid:durableId="171122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4B"/>
    <w:rsid w:val="0015074B"/>
    <w:rsid w:val="0029639D"/>
    <w:rsid w:val="00326F90"/>
    <w:rsid w:val="003E5A6D"/>
    <w:rsid w:val="00451870"/>
    <w:rsid w:val="005708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53F67"/>
  <w14:defaultImageDpi w14:val="300"/>
  <w15:docId w15:val="{5FD86434-C054-4C20-915F-4F571453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Open Sans" w:hAnsi="Open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6386</Words>
  <Characters>36147</Characters>
  <Application>Microsoft Office Word</Application>
  <DocSecurity>0</DocSecurity>
  <Lines>592</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Linn</cp:lastModifiedBy>
  <cp:revision>3</cp:revision>
  <dcterms:created xsi:type="dcterms:W3CDTF">2013-12-23T23:15:00Z</dcterms:created>
  <dcterms:modified xsi:type="dcterms:W3CDTF">2026-05-14T23:40:00Z</dcterms:modified>
  <cp:category/>
</cp:coreProperties>
</file>