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pPr>
      <w:r>
        <w:rPr>
          <w:rFonts w:eastAsia="Open Sans" w:cs="Open Sans"/>
          <w:b/>
          <w:color w:val="7EBEC5"/>
          <w:sz w:val="28"/>
        </w:rPr>
        <w:t>――――――</w:t>
      </w:r>
    </w:p>
    <w:p w14:paraId="0A979053" w14:textId="77777777" w:rsidR="00076B4B" w:rsidRDefault="00000000">
      <w:pPr>
        <w:spacing w:after="80"/>
        <w:rPr>
          <w:rFonts w:hint="eastAsia"/>
        </w:rPr>
      </w:pPr>
      <w:r>
        <w:rPr>
          <w:rFonts w:eastAsia="Open Sans" w:cs="Open Sans"/>
          <w:b/>
          <w:color w:val="4A8B91"/>
          <w:sz w:val="20"/>
        </w:rPr>
        <w:t>WHITE PAPER</w:t>
      </w:r>
    </w:p>
    <w:p w14:paraId="738885D5" w14:textId="77777777" w:rsidR="00076B4B" w:rsidRDefault="00000000">
      <w:pPr>
        <w:spacing w:after="120"/>
        <w:rPr>
          <w:rFonts w:hint="eastAsia"/>
        </w:rPr>
      </w:pPr>
      <w:r>
        <w:rPr>
          <w:rFonts w:eastAsia="Open Sans" w:cs="Open Sans"/>
          <w:b/>
          <w:color w:val="1E1D1C"/>
          <w:sz w:val="56"/>
        </w:rPr>
        <w:t>The Forward-Deployed Decade</w:t>
      </w:r>
    </w:p>
    <w:p w14:paraId="578339BC" w14:textId="77777777" w:rsidR="00076B4B" w:rsidRDefault="00000000">
      <w:pPr>
        <w:spacing w:after="480"/>
        <w:rPr>
          <w:rFonts w:hint="eastAsia"/>
        </w:rPr>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pPr>
      <w:r>
        <w:rPr>
          <w:rFonts w:eastAsia="Open Sans" w:cs="Open Sans"/>
          <w:b/>
          <w:color w:val="1E1D1C"/>
        </w:rPr>
        <w:t>Prepared by Dale Linn</w:t>
      </w:r>
    </w:p>
    <w:p w14:paraId="2D5346E4" w14:textId="77777777" w:rsidR="00076B4B" w:rsidRDefault="00000000">
      <w:pPr>
        <w:spacing w:after="40"/>
        <w:rPr>
          <w:rFonts w:hint="eastAsia"/>
        </w:rPr>
      </w:pPr>
      <w:r>
        <w:rPr>
          <w:rFonts w:eastAsia="Open Sans" w:cs="Open Sans"/>
          <w:color w:val="1E1D1C"/>
        </w:rPr>
        <w:t>Senior Business Consultant, ISI</w:t>
      </w:r>
    </w:p>
    <w:p w14:paraId="6ED354B1" w14:textId="77777777" w:rsidR="00076B4B" w:rsidRDefault="00000000">
      <w:pPr>
        <w:spacing w:after="480"/>
        <w:rPr>
          <w:rFonts w:hint="eastAsia"/>
        </w:rPr>
      </w:pPr>
      <w:r>
        <w:rPr>
          <w:rFonts w:eastAsia="Open Sans" w:cs="Open Sans"/>
          <w:color w:val="1E1D1C"/>
        </w:rPr>
        <w:t>May 2026</w:t>
      </w:r>
    </w:p>
    <w:p w14:paraId="3C650F86" w14:textId="77777777" w:rsidR="00076B4B" w:rsidRDefault="00000000">
      <w:pPr>
        <w:spacing w:after="40"/>
        <w:rPr>
          <w:rFonts w:hint="eastAsia"/>
        </w:rPr>
      </w:pPr>
      <w:r>
        <w:rPr>
          <w:rFonts w:eastAsia="Open Sans" w:cs="Open Sans"/>
          <w:b/>
          <w:color w:val="4A8B91"/>
        </w:rPr>
        <w:t>Executive thesis.</w:t>
      </w:r>
    </w:p>
    <w:p w14:paraId="0C116006" w14:textId="77777777" w:rsidR="00076B4B" w:rsidRDefault="00000000">
      <w:pPr>
        <w:spacing w:after="120"/>
        <w:rPr>
          <w:rFonts w:hint="eastAsia"/>
        </w:rPr>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pPr>
      <w:r>
        <w:rPr>
          <w:rFonts w:eastAsia="Open Sans" w:cs="Open Sans"/>
          <w:color w:val="1E1D1C"/>
        </w:rPr>
        <w:t>This paper makes three observations. First, the AI consulting market the labs are entering is the Fortune 1000, one zip code above ISI's market. Second, the trades and middle-market economy (HVAC contractors, plumbers, auto and collision shops, restoration companies, heritage food processors, hurricane-shutter installers, heavy-equipment repair yards, and family churches that together account for one-third of U.S. private-sector GDP</w:t>
      </w:r>
      <w:r>
        <w:rPr>
          <w:rFonts w:eastAsia="Open Sans" w:cs="Open Sans"/>
          <w:color w:val="1E1D1C"/>
          <w:vertAlign w:val="superscript"/>
        </w:rPr>
        <w:t>8</w:t>
      </w:r>
      <w:r>
        <w:rPr>
          <w:rFonts w:eastAsia="Open Sans" w:cs="Open Sans"/>
          <w:color w:val="1E1D1C"/>
        </w:rPr>
        <w:t>) has no serious AI advisory coverage. Third, 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pageBreakBefore/>
        <w:spacing w:before="360" w:after="160"/>
      </w:pPr>
      <w:r>
        <w:rPr>
          <w:rFonts w:ascii="Poppins" w:eastAsia="Poppins" w:hAnsi="Poppins" w:cs="Poppins"/>
          <w:color w:val="4A8B91"/>
          <w:sz w:val="36"/>
        </w:rPr>
        <w:lastRenderedPageBreak/>
        <w:t>1. What just happened</w:t>
      </w:r>
    </w:p>
    <w:p w14:paraId="5F509BE6" w14:textId="77777777" w:rsidR="00076B4B" w:rsidRDefault="00000000">
      <w:pPr>
        <w:spacing w:after="120"/>
        <w:rPr>
          <w:rFonts w:hint="eastAsia"/>
        </w:rPr>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013BA69D" w14:textId="77777777" w:rsidR="00076B4B" w:rsidRDefault="00000000">
      <w:pPr>
        <w:spacing w:after="120"/>
        <w:rPr>
          <w:rFonts w:hint="eastAsia"/>
        </w:rPr>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pPr>
      <w:r>
        <w:rPr>
          <w:rFonts w:ascii="Poppins" w:eastAsia="Poppins" w:hAnsi="Poppins" w:cs="Poppins"/>
          <w:color w:val="1E1D1C"/>
        </w:rPr>
        <w:t>1.2 OpenAI follows within a week.</w:t>
      </w:r>
    </w:p>
    <w:p w14:paraId="3251A663" w14:textId="77777777" w:rsidR="00076B4B" w:rsidRDefault="00000000">
      <w:pPr>
        <w:spacing w:after="120"/>
        <w:rPr>
          <w:rFonts w:hint="eastAsia"/>
        </w:rPr>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312318EF" w14:textId="77777777" w:rsidR="00076B4B" w:rsidRDefault="00000000">
      <w:pPr>
        <w:spacing w:after="120"/>
        <w:rPr>
          <w:rFonts w:hint="eastAsia"/>
        </w:rPr>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pPr>
      <w:r>
        <w:rPr>
          <w:rFonts w:ascii="Poppins" w:eastAsia="Poppins" w:hAnsi="Poppins" w:cs="Poppins"/>
          <w:color w:val="4A8B91"/>
          <w:sz w:val="36"/>
        </w:rPr>
        <w:t>2. Why this changes the consulting industry</w:t>
      </w:r>
    </w:p>
    <w:p w14:paraId="7C1D30AA"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pPr>
      <w:r>
        <w:rPr>
          <w:rFonts w:ascii="Poppins" w:eastAsia="Poppins" w:hAnsi="Poppins" w:cs="Poppins"/>
          <w:color w:val="4A8B91"/>
          <w:sz w:val="36"/>
        </w:rPr>
        <w:lastRenderedPageBreak/>
        <w:t>3. The market the giants cannot profitably reach</w:t>
      </w:r>
    </w:p>
    <w:p w14:paraId="616754AF" w14:textId="77777777" w:rsidR="00076B4B" w:rsidRDefault="00000000">
      <w:pPr>
        <w:pStyle w:val="Heading2"/>
        <w:spacing w:before="240" w:after="80"/>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pPr>
      <w:r>
        <w:rPr>
          <w:rFonts w:eastAsia="Open Sans" w:cs="Open Sans"/>
          <w:color w:val="1E1D1C"/>
        </w:rPr>
        <w:t>The World Economic Forum's 2026 mid-market analysis estimates that companies with $10 million to $1 billion in revenue represent one-third of private-sector GDP in developed economies and stand to capture at least $2 trillion of the global gen-AI value pool.</w:t>
      </w:r>
      <w:r>
        <w:rPr>
          <w:rFonts w:eastAsia="Open Sans" w:cs="Open Sans"/>
          <w:color w:val="1E1D1C"/>
          <w:vertAlign w:val="superscript"/>
        </w:rPr>
        <w:t>8</w:t>
      </w:r>
      <w:r>
        <w:rPr>
          <w:rFonts w:eastAsia="Open Sans" w:cs="Open Sans"/>
          <w:color w:val="1E1D1C"/>
        </w:rPr>
        <w:t xml:space="preserve"> The same body of WEF analysis flags the central friction: up to 95 percent of enterprise AI pilots fail to reach production.</w:t>
      </w:r>
      <w:r>
        <w:rPr>
          <w:rFonts w:eastAsia="Open Sans" w:cs="Open Sans"/>
          <w:color w:val="1E1D1C"/>
          <w:vertAlign w:val="superscript"/>
        </w:rPr>
        <w:t>8</w:t>
      </w:r>
    </w:p>
    <w:p w14:paraId="37D1E650" w14:textId="77777777" w:rsidR="00076B4B" w:rsidRDefault="00000000">
      <w:pPr>
        <w:pStyle w:val="Heading2"/>
        <w:spacing w:before="240" w:after="80"/>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pPr>
      <w:r>
        <w:rPr>
          <w:rFonts w:eastAsia="Open Sans" w:cs="Open Sans"/>
          <w:color w:val="1E1D1C"/>
        </w:rPr>
        <w:t>Inside ISI's engagement base, which spans HVAC, plumbing, auto and collision repair, hurricane shutters, heritage food processing, heavy equipment, family-owned banks, and small congregational organizations,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14:paraId="1E5D828C" w14:textId="77777777" w:rsidR="00076B4B" w:rsidRDefault="00000000">
      <w:pPr>
        <w:pStyle w:val="Heading1"/>
        <w:spacing w:before="360" w:after="160"/>
      </w:pPr>
      <w:r>
        <w:rPr>
          <w:rFonts w:ascii="Poppins" w:eastAsia="Poppins" w:hAnsi="Poppins" w:cs="Poppins"/>
          <w:color w:val="4A8B91"/>
          <w:sz w:val="36"/>
        </w:rPr>
        <w:t>4. The Game: the foundational teaching tool</w:t>
      </w:r>
    </w:p>
    <w:p w14:paraId="0465EA23" w14:textId="77777777" w:rsidR="00076B4B" w:rsidRDefault="00000000">
      <w:pPr>
        <w:spacing w:after="120"/>
        <w:rPr>
          <w:rFonts w:hint="eastAsia"/>
        </w:rPr>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pPr>
      <w:r>
        <w:rPr>
          <w:rFonts w:ascii="Poppins" w:eastAsia="Poppins" w:hAnsi="Poppins" w:cs="Poppins"/>
          <w:color w:val="1E1D1C"/>
        </w:rPr>
        <w:t>4.3 Different shops, same shape.</w:t>
      </w:r>
    </w:p>
    <w:p w14:paraId="2D2C9C5A" w14:textId="77777777" w:rsidR="00076B4B" w:rsidRDefault="00000000">
      <w:pPr>
        <w:spacing w:after="120"/>
        <w:rPr>
          <w:rFonts w:hint="eastAsia"/>
        </w:rPr>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pPr>
      <w:r>
        <w:rPr>
          <w:rFonts w:ascii="Poppins" w:eastAsia="Poppins" w:hAnsi="Poppins" w:cs="Poppins"/>
          <w:color w:val="1E1D1C"/>
        </w:rPr>
        <w:t>4.5 The double lesson: CPM and AI.</w:t>
      </w:r>
    </w:p>
    <w:p w14:paraId="7FD99041" w14:textId="77777777" w:rsidR="00076B4B" w:rsidRDefault="00000000">
      <w:pPr>
        <w:spacing w:after="120"/>
        <w:rPr>
          <w:rFonts w:hint="eastAsia"/>
        </w:rPr>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pPr>
      <w:r>
        <w:rPr>
          <w:rFonts w:ascii="Poppins" w:eastAsia="Poppins" w:hAnsi="Poppins" w:cs="Poppins"/>
          <w:color w:val="4A8B91"/>
          <w:sz w:val="36"/>
        </w:rPr>
        <w:t>5. Why ISI is well-positioned</w:t>
      </w:r>
    </w:p>
    <w:p w14:paraId="1B8AD004" w14:textId="77777777" w:rsidR="00076B4B" w:rsidRDefault="00000000">
      <w:pPr>
        <w:pStyle w:val="Heading2"/>
        <w:spacing w:before="240" w:after="80"/>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pPr>
      <w:r>
        <w:rPr>
          <w:rFonts w:ascii="Poppins" w:eastAsia="Poppins" w:hAnsi="Poppins" w:cs="Poppins"/>
          <w:color w:val="4A8B91"/>
          <w:sz w:val="36"/>
        </w:rPr>
        <w:t>6. What the AI practice looks like inside ISI</w:t>
      </w:r>
    </w:p>
    <w:p w14:paraId="5C0A7625" w14:textId="77777777" w:rsidR="00076B4B" w:rsidRDefault="00000000">
      <w:pPr>
        <w:pStyle w:val="Heading2"/>
        <w:spacing w:before="240" w:after="80"/>
      </w:pPr>
      <w:r>
        <w:rPr>
          <w:rFonts w:ascii="Poppins" w:eastAsia="Poppins" w:hAnsi="Poppins" w:cs="Poppins"/>
          <w:color w:val="1E1D1C"/>
        </w:rPr>
        <w:t>6.1 Positioning.</w:t>
      </w:r>
    </w:p>
    <w:p w14:paraId="18635BB6" w14:textId="77777777" w:rsidR="00076B4B" w:rsidRDefault="00000000">
      <w:pPr>
        <w:spacing w:after="120"/>
        <w:rPr>
          <w:rFonts w:hint="eastAsia"/>
        </w:rPr>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spacing w:after="80"/>
        <w:rPr>
          <w:rFonts w:hint="eastAsia"/>
        </w:rPr>
      </w:pPr>
      <w:r>
        <w:rPr>
          <w:rFonts w:eastAsia="Open Sans" w:cs="Open Sans"/>
          <w:color w:val="1E1D1C"/>
        </w:rPr>
        <w:t>The Game.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spacing w:after="80"/>
        <w:rPr>
          <w:rFonts w:hint="eastAsia"/>
        </w:rPr>
      </w:pPr>
      <w:r>
        <w:rPr>
          <w:rFonts w:eastAsia="Open Sans" w:cs="Open Sans"/>
          <w:color w:val="1E1D1C"/>
        </w:rPr>
        <w:t>AI-Augmented MAM.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spacing w:after="80"/>
        <w:rPr>
          <w:rFonts w:hint="eastAsia"/>
        </w:rPr>
      </w:pPr>
      <w:r>
        <w:rPr>
          <w:rFonts w:eastAsia="Open Sans" w:cs="Open Sans"/>
          <w:color w:val="1E1D1C"/>
        </w:rPr>
        <w:t>Campaign-as-Template Platform.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spacing w:after="80"/>
        <w:rPr>
          <w:rFonts w:hint="eastAsia"/>
        </w:rPr>
      </w:pPr>
      <w:r>
        <w:rPr>
          <w:rFonts w:eastAsia="Open Sans" w:cs="Open Sans"/>
          <w:color w:val="1E1D1C"/>
        </w:rPr>
        <w:t>Industry Deep-Dive Audits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spacing w:after="80"/>
        <w:rPr>
          <w:rFonts w:hint="eastAsia"/>
        </w:rPr>
      </w:pPr>
      <w:r>
        <w:rPr>
          <w:rFonts w:eastAsia="Open Sans" w:cs="Open Sans"/>
          <w:color w:val="1E1D1C"/>
        </w:rPr>
        <w:lastRenderedPageBreak/>
        <w:t>Fractional AI Chief.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pPr>
      <w:r>
        <w:rPr>
          <w:rFonts w:ascii="Poppins" w:eastAsia="Poppins" w:hAnsi="Poppins" w:cs="Poppins"/>
          <w:color w:val="1E1D1C"/>
        </w:rPr>
        <w:t>6.3 Economics.</w:t>
      </w:r>
    </w:p>
    <w:p w14:paraId="279176CD" w14:textId="77777777" w:rsidR="00076B4B" w:rsidRDefault="00000000">
      <w:pPr>
        <w:spacing w:after="120"/>
        <w:rPr>
          <w:rFonts w:hint="eastAsia"/>
        </w:rPr>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pageBreakBefore/>
        <w:spacing w:before="360" w:after="160"/>
      </w:pPr>
      <w:r>
        <w:rPr>
          <w:rFonts w:ascii="Poppins" w:eastAsia="Poppins" w:hAnsi="Poppins" w:cs="Poppins"/>
          <w:color w:val="4A8B91"/>
          <w:sz w:val="36"/>
        </w:rPr>
        <w:lastRenderedPageBreak/>
        <w:t>7. SWOT</w:t>
      </w:r>
    </w:p>
    <w:p w14:paraId="162D6ACA" w14:textId="77777777" w:rsidR="00076B4B" w:rsidRDefault="00000000">
      <w:pPr>
        <w:rPr>
          <w:rFonts w:hint="eastAsia"/>
        </w:rPr>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pPr>
            <w:r>
              <w:rPr>
                <w:rFonts w:ascii="Poppins" w:eastAsia="Poppins" w:hAnsi="Poppins" w:cs="Poppins"/>
                <w:b/>
                <w:color w:val="4A8B91"/>
              </w:rPr>
              <w:t>STRENGTHS</w:t>
            </w:r>
          </w:p>
          <w:p w14:paraId="639223ED"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Currently delivered ad hoc, depending on client request; the build has not yet been documented for transfer.</w:t>
            </w:r>
          </w:p>
          <w:p w14:paraId="4BF36A4D"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pPr>
            <w:r>
              <w:rPr>
                <w:rFonts w:ascii="Poppins" w:eastAsia="Poppins" w:hAnsi="Poppins" w:cs="Poppins"/>
                <w:b/>
                <w:color w:val="4A8B91"/>
              </w:rPr>
              <w:t>OPPORTUNITIES</w:t>
            </w:r>
          </w:p>
          <w:p w14:paraId="584BE19E"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pPr>
            <w:r>
              <w:rPr>
                <w:rFonts w:eastAsia="Open Sans" w:cs="Open Sans"/>
                <w:b/>
                <w:color w:val="4A8B91"/>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pPr>
            <w:r>
              <w:rPr>
                <w:rFonts w:eastAsia="Open Sans" w:cs="Open Sans"/>
                <w:b/>
                <w:color w:val="4A8B91"/>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tc>
      </w:tr>
    </w:tbl>
    <w:p w14:paraId="15F3214A" w14:textId="77777777" w:rsidR="00076B4B" w:rsidRDefault="00076B4B">
      <w:pPr>
        <w:spacing w:after="120"/>
        <w:rPr>
          <w:rFonts w:hint="eastAsia"/>
        </w:rPr>
      </w:pPr>
    </w:p>
    <w:p w14:paraId="2B50D153" w14:textId="77777777" w:rsidR="00076B4B" w:rsidRDefault="00000000">
      <w:pPr>
        <w:pStyle w:val="Heading1"/>
        <w:spacing w:before="360" w:after="160"/>
      </w:pPr>
      <w:r>
        <w:rPr>
          <w:rFonts w:ascii="Poppins" w:eastAsia="Poppins" w:hAnsi="Poppins" w:cs="Poppins"/>
          <w:color w:val="4A8B91"/>
          <w:sz w:val="36"/>
        </w:rPr>
        <w:t>8. Risks and how the practice manages them</w:t>
      </w:r>
    </w:p>
    <w:p w14:paraId="567B34E4" w14:textId="77777777" w:rsidR="00076B4B" w:rsidRDefault="00000000">
      <w:pPr>
        <w:pStyle w:val="Heading2"/>
        <w:spacing w:before="240" w:after="80"/>
      </w:pPr>
      <w:r>
        <w:rPr>
          <w:rFonts w:ascii="Poppins" w:eastAsia="Poppins" w:hAnsi="Poppins" w:cs="Poppins"/>
          <w:color w:val="1E1D1C"/>
        </w:rPr>
        <w:t>8.1 Commoditization risk.</w:t>
      </w:r>
    </w:p>
    <w:p w14:paraId="4FA90391" w14:textId="77777777" w:rsidR="00076B4B" w:rsidRDefault="00000000">
      <w:pPr>
        <w:spacing w:after="120"/>
        <w:rPr>
          <w:rFonts w:hint="eastAsia"/>
        </w:rPr>
      </w:pPr>
      <w:r>
        <w:rPr>
          <w:rFonts w:eastAsia="Open Sans" w:cs="Open Sans"/>
          <w:color w:val="1E1D1C"/>
        </w:rPr>
        <w:t>As AI tooling gets easier, the consulting premium on basic implementation will compress. The defense is depth: niche expertise in specific verticals (HVAC and plumbing, auto and collision, hurricane shutters, heritage food, heavy equipment).</w:t>
      </w:r>
    </w:p>
    <w:p w14:paraId="21FAAB5E" w14:textId="77777777" w:rsidR="00076B4B" w:rsidRDefault="00000000">
      <w:pPr>
        <w:pStyle w:val="Heading2"/>
        <w:spacing w:before="240" w:after="80"/>
      </w:pPr>
      <w:r>
        <w:rPr>
          <w:rFonts w:ascii="Poppins" w:eastAsia="Poppins" w:hAnsi="Poppins" w:cs="Poppins"/>
          <w:color w:val="1E1D1C"/>
        </w:rPr>
        <w:t>8.2 Tool churn risk.</w:t>
      </w:r>
    </w:p>
    <w:p w14:paraId="288CF8E3" w14:textId="77777777" w:rsidR="00076B4B" w:rsidRDefault="00000000">
      <w:pPr>
        <w:spacing w:after="120"/>
        <w:rPr>
          <w:rFonts w:hint="eastAsia"/>
        </w:rPr>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pPr>
      <w:r>
        <w:rPr>
          <w:rFonts w:ascii="Poppins" w:eastAsia="Poppins" w:hAnsi="Poppins" w:cs="Poppins"/>
          <w:color w:val="1E1D1C"/>
        </w:rPr>
        <w:t>8.3 Adoption risk inside the client.</w:t>
      </w:r>
    </w:p>
    <w:p w14:paraId="5D4514C5" w14:textId="77777777" w:rsidR="00076B4B" w:rsidRDefault="00000000">
      <w:pPr>
        <w:spacing w:after="120"/>
        <w:rPr>
          <w:rFonts w:hint="eastAsia"/>
        </w:rPr>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pPr>
      <w:r>
        <w:rPr>
          <w:rFonts w:ascii="Poppins" w:eastAsia="Poppins" w:hAnsi="Poppins" w:cs="Poppins"/>
          <w:color w:val="1E1D1C"/>
        </w:rPr>
        <w:t>8.4 Brand risk.</w:t>
      </w:r>
    </w:p>
    <w:p w14:paraId="6F4D2864" w14:textId="77777777" w:rsidR="00076B4B" w:rsidRDefault="00000000">
      <w:pPr>
        <w:spacing w:after="120"/>
        <w:rPr>
          <w:rFonts w:hint="eastAsia"/>
        </w:rPr>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pPr>
      <w:r>
        <w:rPr>
          <w:rFonts w:ascii="Poppins" w:eastAsia="Poppins" w:hAnsi="Poppins" w:cs="Poppins"/>
          <w:color w:val="1E1D1C"/>
        </w:rPr>
        <w:t>8.5 Credential hygiene risk.</w:t>
      </w:r>
    </w:p>
    <w:p w14:paraId="4E4EA176" w14:textId="77777777" w:rsidR="00076B4B" w:rsidRDefault="00000000">
      <w:pPr>
        <w:spacing w:after="120"/>
        <w:rPr>
          <w:rFonts w:hint="eastAsia"/>
        </w:rPr>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14:paraId="399516CA" w14:textId="77777777" w:rsidR="00076B4B" w:rsidRDefault="00000000">
      <w:pPr>
        <w:pStyle w:val="Heading1"/>
        <w:spacing w:before="360" w:after="160"/>
      </w:pPr>
      <w:r>
        <w:rPr>
          <w:rFonts w:ascii="Poppins" w:eastAsia="Poppins" w:hAnsi="Poppins" w:cs="Poppins"/>
          <w:color w:val="4A8B91"/>
          <w:sz w:val="36"/>
        </w:rPr>
        <w:t>9. Recommendation</w:t>
      </w:r>
    </w:p>
    <w:p w14:paraId="279824F1" w14:textId="77777777" w:rsidR="00076B4B" w:rsidRDefault="00000000">
      <w:pPr>
        <w:spacing w:after="120"/>
        <w:rPr>
          <w:rFonts w:hint="eastAsia"/>
        </w:rPr>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pPr>
      <w:r>
        <w:rPr>
          <w:rFonts w:eastAsia="Open Sans" w:cs="Open Sans"/>
          <w:color w:val="1E1D1C"/>
        </w:rPr>
        <w:t>The launch plan that follows is not a sales plan</w:t>
      </w:r>
      <w:r w:rsidR="005708A4">
        <w:rPr>
          <w:rFonts w:eastAsia="Open Sans" w:cs="Open Sans"/>
          <w:color w:val="1E1D1C"/>
        </w:rPr>
        <w:t xml:space="preserve"> but the incremental steps to </w:t>
      </w:r>
      <w:r>
        <w:rPr>
          <w:rFonts w:eastAsia="Open Sans" w:cs="Open Sans"/>
          <w:color w:val="1E1D1C"/>
        </w:rPr>
        <w:t>prove that what is described in this paper is a real, trainable practice and not a one-consultant act. Three steps, each the prerequisite for the next.</w:t>
      </w:r>
    </w:p>
    <w:p w14:paraId="02B22E5F" w14:textId="77777777" w:rsidR="00076B4B" w:rsidRDefault="00000000">
      <w:pPr>
        <w:pStyle w:val="ListParagraph"/>
        <w:keepLines/>
        <w:spacing w:after="80"/>
        <w:rPr>
          <w:rFonts w:hint="eastAsia"/>
        </w:rPr>
      </w:pPr>
      <w:r>
        <w:rPr>
          <w:rFonts w:eastAsia="Open Sans" w:cs="Open Sans"/>
          <w:color w:val="1E1D1C"/>
        </w:rPr>
        <w:t>Step 1. Reference implementation.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spacing w:after="80"/>
        <w:rPr>
          <w:rFonts w:hint="eastAsia"/>
        </w:rPr>
      </w:pPr>
      <w:r>
        <w:rPr>
          <w:rFonts w:eastAsia="Open Sans" w:cs="Open Sans"/>
          <w:color w:val="1E1D1C"/>
        </w:rPr>
        <w:t>Step 2. The pattern playbook. Write the Game's build guide (the Wall, the Goal, the Game, the Steps, the thermometer, the gauges, the drill-down) as a vertical-neutral document a second consultant could follow without the original builder in the room. The test is not whether the playbook reads well; it is whether a second consultant can pick it up cold and start building.</w:t>
      </w:r>
    </w:p>
    <w:p w14:paraId="6D9CC03D" w14:textId="77777777" w:rsidR="00076B4B" w:rsidRDefault="00000000">
      <w:pPr>
        <w:pStyle w:val="ListParagraph"/>
        <w:keepLines/>
        <w:spacing w:after="80"/>
        <w:rPr>
          <w:rFonts w:hint="eastAsia"/>
        </w:rPr>
      </w:pPr>
      <w:r>
        <w:rPr>
          <w:rFonts w:eastAsia="Open Sans" w:cs="Open Sans"/>
          <w:color w:val="1E1D1C"/>
        </w:rPr>
        <w:t>Step 3. Prove the pattern is trainable. A second consultant inside ISI builds a second Game on a second engagement, working from the playbook. If that build lands, the practice is real: the methodology has been shown to transfer, and whether ISI trains five more consultants in it, fifty, or all three hundred and fifty is a decision the firm makes from a position of evidence. If the second build stalls, the playbook gets another draft and the pattern is not yet ready to scale. Either way, what is handed to ISI at the end of Step 3 is the same set of artifacts: a reference engagement, a build guide, and a second consultant who has used both.</w:t>
      </w:r>
    </w:p>
    <w:p w14:paraId="3187E122" w14:textId="77777777" w:rsidR="00076B4B" w:rsidRDefault="00000000">
      <w:pPr>
        <w:spacing w:after="120"/>
        <w:rPr>
          <w:rFonts w:hint="eastAsia"/>
        </w:rPr>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pPr>
      <w:r>
        <w:rPr>
          <w:rFonts w:ascii="Poppins" w:eastAsia="Poppins" w:hAnsi="Poppins" w:cs="Poppins"/>
          <w:color w:val="4A8B91"/>
          <w:sz w:val="36"/>
        </w:rPr>
        <w:t>10. Closing</w:t>
      </w:r>
    </w:p>
    <w:p w14:paraId="2BEA9826" w14:textId="77777777" w:rsidR="00076B4B" w:rsidRDefault="00000000">
      <w:pPr>
        <w:spacing w:after="120"/>
        <w:rPr>
          <w:rFonts w:hint="eastAsia"/>
        </w:rPr>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14:paraId="61DBC2BE" w14:textId="77777777" w:rsidR="00076B4B" w:rsidRDefault="00000000">
      <w:pPr>
        <w:spacing w:after="120"/>
        <w:rPr>
          <w:rFonts w:hint="eastAsia"/>
        </w:rPr>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pPr>
      <w:r>
        <w:rPr>
          <w:rFonts w:eastAsia="Open Sans" w:cs="Open Sans"/>
          <w:color w:val="1E1D1C"/>
        </w:rPr>
        <w:t>The methodology is there: Critical Path Methodology, with the Cash Flow Model, the Wall, the UDE log, the Bloodwall, and the MAM that ISI has been running for decades. The clients are there. The tools are running today, in production, in engagements that span HVAC, plumbing, auto, hurricane shutters, heritage food, and small institutions. The proposal is to name the practice, prove the pattern transfers, and let ISI scale it on whatever terms the firm chooses.</w:t>
      </w:r>
    </w:p>
    <w:p w14:paraId="70A003BC" w14:textId="77777777" w:rsidR="00076B4B" w:rsidRDefault="00000000">
      <w:pPr>
        <w:pStyle w:val="Heading1"/>
        <w:pageBreakBefore/>
        <w:spacing w:before="360" w:after="160"/>
      </w:pPr>
      <w:r>
        <w:rPr>
          <w:rFonts w:ascii="Poppins" w:eastAsia="Poppins" w:hAnsi="Poppins" w:cs="Poppins"/>
          <w:color w:val="4A8B91"/>
          <w:sz w:val="36"/>
        </w:rPr>
        <w:lastRenderedPageBreak/>
        <w:t>11. Notes</w:t>
      </w:r>
    </w:p>
    <w:p w14:paraId="45BC3364" w14:textId="77777777" w:rsidR="00076B4B" w:rsidRDefault="00000000">
      <w:pPr>
        <w:spacing w:after="80"/>
        <w:ind w:left="360" w:hanging="360"/>
        <w:rPr>
          <w:rFonts w:hint="eastAsia"/>
        </w:rPr>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pPr>
      <w:r>
        <w:rPr>
          <w:rFonts w:eastAsia="Open Sans" w:cs="Open Sans"/>
          <w:b/>
          <w:color w:val="1E1D1C"/>
          <w:sz w:val="20"/>
        </w:rPr>
        <w:t xml:space="preserve">8. </w:t>
      </w:r>
      <w:r>
        <w:rPr>
          <w:rFonts w:eastAsia="Open Sans" w:cs="Open Sans"/>
          <w:color w:val="1E1D1C"/>
          <w:sz w:val="20"/>
        </w:rPr>
        <w:t>World Economic Forum, "It's Time for AI's Mid-Market Business Moment. Here's Why," January 2026, https://www.weforum.org/stories/2026/01/ai-mid-market-business-growth/. The same body of WEF analysis reports the 95 percent AI-pilot failure rate.</w:t>
      </w:r>
    </w:p>
    <w:p w14:paraId="1226A349" w14:textId="77777777" w:rsidR="00076B4B" w:rsidRDefault="00000000">
      <w:pPr>
        <w:spacing w:after="80"/>
        <w:ind w:left="360" w:hanging="360"/>
        <w:rPr>
          <w:rFonts w:hint="eastAsia"/>
        </w:rPr>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14:paraId="01CC4CA0" w14:textId="77777777" w:rsidR="00076B4B" w:rsidRDefault="00000000">
      <w:pPr>
        <w:pStyle w:val="Heading1"/>
        <w:pageBreakBefore/>
        <w:spacing w:before="360" w:after="160"/>
      </w:pPr>
      <w:r>
        <w:rPr>
          <w:rFonts w:ascii="Poppins" w:eastAsia="Poppins" w:hAnsi="Poppins" w:cs="Poppins"/>
          <w:color w:val="4A8B91"/>
          <w:sz w:val="36"/>
        </w:rPr>
        <w:lastRenderedPageBreak/>
        <w:t>12. Bibliography</w:t>
      </w:r>
    </w:p>
    <w:p w14:paraId="15A43872" w14:textId="77777777" w:rsidR="00076B4B" w:rsidRDefault="00000000">
      <w:pPr>
        <w:spacing w:after="80"/>
        <w:ind w:left="360" w:hanging="360"/>
        <w:rPr>
          <w:rFonts w:hint="eastAsia"/>
        </w:rPr>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14:paraId="651266D4" w14:textId="77777777" w:rsidR="00076B4B" w:rsidRDefault="00000000">
      <w:pPr>
        <w:spacing w:after="80"/>
        <w:ind w:left="360" w:hanging="360"/>
        <w:rPr>
          <w:rFonts w:hint="eastAsia"/>
        </w:rPr>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14:paraId="0DFFB57A" w14:textId="77777777" w:rsidR="00076B4B" w:rsidRDefault="00000000">
      <w:pPr>
        <w:spacing w:after="80"/>
        <w:ind w:left="360" w:hanging="360"/>
        <w:rPr>
          <w:rFonts w:hint="eastAsia"/>
        </w:rPr>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14:paraId="12FFBB33" w14:textId="77777777" w:rsidR="00076B4B" w:rsidRDefault="00000000">
      <w:pPr>
        <w:spacing w:after="80"/>
        <w:ind w:left="360" w:hanging="360"/>
        <w:rPr>
          <w:rFonts w:hint="eastAsia"/>
        </w:rPr>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62562B78" w14:textId="77777777" w:rsidR="00076B4B" w:rsidRDefault="00000000">
      <w:pPr>
        <w:spacing w:after="80"/>
        <w:ind w:left="360" w:hanging="360"/>
        <w:rPr>
          <w:rFonts w:hint="eastAsia"/>
        </w:rPr>
      </w:pPr>
      <w:r>
        <w:rPr>
          <w:rFonts w:eastAsia="Open Sans" w:cs="Open Sans"/>
          <w:color w:val="1E1D1C"/>
          <w:sz w:val="20"/>
        </w:rPr>
        <w:t>OpenAI. "OpenAI Launches the OpenAI Deployment Company to Help Businesses Build Around Intelligence." May 12, 2026. https://openai.com/index/openai-launches-the-deployment-company/.</w:t>
      </w:r>
    </w:p>
    <w:p w14:paraId="1ECE7E67" w14:textId="77777777" w:rsidR="00076B4B" w:rsidRDefault="00000000">
      <w:pPr>
        <w:spacing w:after="80"/>
        <w:ind w:left="360" w:hanging="360"/>
        <w:rPr>
          <w:rFonts w:hint="eastAsia"/>
        </w:rPr>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pPr>
      <w:r>
        <w:rPr>
          <w:rFonts w:eastAsia="Open Sans" w:cs="Open Sans"/>
          <w:color w:val="1E1D1C"/>
          <w:sz w:val="20"/>
        </w:rPr>
        <w:t>Small Business &amp; Entrepreneurship Council. "Success Strategies: The AI Tools Small Businesses Are Using." April 25, 2026. https://sbecouncil.org/2026/04/25/the-ai-tools-small-businesses-are-using/.</w:t>
      </w:r>
    </w:p>
    <w:p w14:paraId="76AFAA22" w14:textId="77777777" w:rsidR="00076B4B" w:rsidRDefault="00000000">
      <w:pPr>
        <w:spacing w:after="80"/>
        <w:ind w:left="360" w:hanging="360"/>
        <w:rPr>
          <w:rFonts w:hint="eastAsia"/>
        </w:rPr>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