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pPr>
      <w:r>
        <w:rPr>
          <w:rFonts w:eastAsia="Open Sans" w:cs="Open Sans"/>
          <w:b/>
          <w:color w:val="0E76BC"/>
          <w:sz w:val="28"/>
        </w:rPr>
        <w:t>――――――</w:t>
      </w:r>
    </w:p>
    <w:p w14:paraId="0A979053" w14:textId="77777777" w:rsidR="00076B4B" w:rsidRDefault="00000000">
      <w:pPr>
        <w:spacing w:after="80"/>
        <w:rPr>
          <w:rFonts w:hint="eastAsia"/>
        </w:rPr>
      </w:pPr>
      <w:r>
        <w:rPr>
          <w:rFonts w:eastAsia="Open Sans" w:cs="Open Sans"/>
          <w:b/>
          <w:color w:val="0056A5"/>
          <w:sz w:val="20"/>
        </w:rPr>
        <w:t>WHITE PAPER</w:t>
      </w:r>
    </w:p>
    <w:p w14:paraId="738885D5" w14:textId="77777777" w:rsidR="00076B4B" w:rsidRDefault="00000000">
      <w:pPr>
        <w:spacing w:after="120"/>
        <w:rPr>
          <w:rFonts w:hint="eastAsia"/>
        </w:rPr>
      </w:pPr>
      <w:r>
        <w:rPr>
          <w:rFonts w:eastAsia="Open Sans" w:cs="Open Sans"/>
          <w:b/>
          <w:color w:val="1E1D1C"/>
          <w:sz w:val="56"/>
        </w:rPr>
        <w:t>The Forward-Deployed Decade</w:t>
      </w:r>
    </w:p>
    <w:p w14:paraId="578339BC" w14:textId="77777777" w:rsidR="00076B4B" w:rsidRDefault="00000000">
      <w:pPr>
        <w:spacing w:after="480"/>
        <w:rPr>
          <w:rFonts w:hint="eastAsia"/>
        </w:rPr>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pPr>
      <w:r>
        <w:rPr>
          <w:rFonts w:eastAsia="Open Sans" w:cs="Open Sans"/>
          <w:b/>
          <w:color w:val="1E1D1C"/>
        </w:rPr>
        <w:t>Prepared by Dale Linn</w:t>
      </w:r>
    </w:p>
    <w:p w14:paraId="2D5346E4" w14:textId="77777777" w:rsidR="00076B4B" w:rsidRDefault="00000000">
      <w:pPr>
        <w:spacing w:after="40"/>
        <w:rPr>
          <w:rFonts w:hint="eastAsia"/>
        </w:rPr>
      </w:pPr>
      <w:r>
        <w:rPr>
          <w:rFonts w:eastAsia="Open Sans" w:cs="Open Sans"/>
          <w:color w:val="1E1D1C"/>
        </w:rPr>
        <w:t>Senior Business Consultant, ISI</w:t>
      </w:r>
    </w:p>
    <w:p w14:paraId="6ED354B1" w14:textId="77777777" w:rsidR="00076B4B" w:rsidRDefault="00000000">
      <w:pPr>
        <w:spacing w:after="480"/>
        <w:rPr>
          <w:rFonts w:hint="eastAsia"/>
        </w:rPr>
      </w:pPr>
      <w:r>
        <w:rPr>
          <w:rFonts w:eastAsia="Open Sans" w:cs="Open Sans"/>
          <w:color w:val="1E1D1C"/>
        </w:rPr>
        <w:t>May 2026</w:t>
      </w:r>
    </w:p>
    <w:p w14:paraId="3C650F86" w14:textId="77777777" w:rsidR="00076B4B" w:rsidRDefault="00000000">
      <w:pPr>
        <w:spacing w:after="40"/>
        <w:rPr>
          <w:rFonts w:hint="eastAsia"/>
        </w:rPr>
      </w:pPr>
      <w:r>
        <w:rPr>
          <w:rFonts w:eastAsia="Open Sans" w:cs="Open Sans"/>
          <w:b/>
          <w:color w:val="0056A5"/>
        </w:rPr>
        <w:t>Executive thesis.</w:t>
      </w:r>
    </w:p>
    <w:p w14:paraId="0C116006" w14:textId="77777777" w:rsidR="00076B4B" w:rsidRDefault="00000000">
      <w:pPr>
        <w:spacing w:after="120"/>
        <w:rPr>
          <w:rFonts w:hint="eastAsia"/>
        </w:rPr>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pPr>
      <w:r>
        <w:rPr>
          <w:rFonts w:ascii="Poppins" w:eastAsia="Poppins" w:hAnsi="Poppins" w:cs="Poppins"/>
          <w:color w:val="1E1D1C"/>
        </w:rPr>
        <w:t>1.2 OpenAI follows within a week.</w:t>
      </w:r>
    </w:p>
    <w:p w14:paraId="3251A663" w14:textId="77777777" w:rsidR="00076B4B" w:rsidRDefault="00000000">
      <w:pPr>
        <w:spacing w:after="120"/>
        <w:rPr>
          <w:rFonts w:hint="eastAsia"/>
        </w:rPr>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p w14:paraId="616754AF" w14:textId="77777777" w:rsidR="00076B4B" w:rsidRDefault="00000000">
      <w:pPr>
        <w:pStyle w:val="Heading2"/>
        <w:spacing w:before="240" w:after="80"/>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pPr>
      <w:r>
        <w:rPr>
          <w:rFonts w:ascii="Poppins" w:hAnsi="Poppins"/>
          <w:color w:val="1E1D1C"/>
        </w:rPr>
        <w:t>3.5 Per-seat licensing is breaking on the supply side.</w:t>
      </w:r>
    </w:p>
    <w:p>
      <w:pPr>
        <w:spacing w:after="120"/>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pPr>
      <w:r>
        <w:rPr>
          <w:rFonts w:ascii="Poppins" w:eastAsia="Poppins" w:hAnsi="Poppins" w:cs="Poppins"/>
          <w:color w:val="1E1D1C"/>
        </w:rPr>
        <w:t>4.3 Different shops, same shape.</w:t>
      </w:r>
    </w:p>
    <w:p w14:paraId="2D2C9C5A" w14:textId="77777777" w:rsidR="00076B4B" w:rsidRDefault="00000000">
      <w:pPr>
        <w:spacing w:after="120"/>
        <w:rPr>
          <w:rFonts w:hint="eastAsia"/>
        </w:rPr>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pPr>
      <w:r>
        <w:rPr>
          <w:rFonts w:ascii="Poppins" w:eastAsia="Poppins" w:hAnsi="Poppins" w:cs="Poppins"/>
          <w:color w:val="1E1D1C"/>
        </w:rPr>
        <w:t>4.5 The double lesson: CPM and AI.</w:t>
      </w:r>
    </w:p>
    <w:p w14:paraId="7FD99041" w14:textId="77777777" w:rsidR="00076B4B" w:rsidRDefault="00000000">
      <w:pPr>
        <w:spacing w:after="120"/>
        <w:rPr>
          <w:rFonts w:hint="eastAsia"/>
        </w:rPr>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pPr>
      <w:r>
        <w:rPr>
          <w:rFonts w:ascii="Poppins" w:eastAsia="Poppins" w:hAnsi="Poppins" w:cs="Poppins"/>
          <w:color w:val="1E1D1C"/>
        </w:rPr>
        <w:t>6.1 Positioning.</w:t>
      </w:r>
    </w:p>
    <w:p w14:paraId="18635BB6" w14:textId="77777777" w:rsidR="00076B4B" w:rsidRDefault="00000000">
      <w:pPr>
        <w:spacing w:after="120"/>
        <w:rPr>
          <w:rFonts w:hint="eastAsia"/>
        </w:rPr>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spacing w:after="80"/>
        <w:rPr>
          <w:rFonts w:hint="eastAsia"/>
        </w:rPr>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spacing w:after="80"/>
        <w:rPr>
          <w:rFonts w:hint="eastAsia"/>
        </w:rPr>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spacing w:after="80"/>
        <w:rPr>
          <w:rFonts w:hint="eastAsia"/>
        </w:rPr>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spacing w:after="80"/>
        <w:rPr>
          <w:rFonts w:hint="eastAsia"/>
        </w:rPr>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spacing w:after="80"/>
        <w:rPr>
          <w:rFonts w:hint="eastAsia"/>
        </w:rPr>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pPr>
      <w:r>
        <w:rPr>
          <w:rFonts w:ascii="Poppins" w:eastAsia="Poppins" w:hAnsi="Poppins" w:cs="Poppins"/>
          <w:color w:val="1E1D1C"/>
        </w:rPr>
        <w:t>6.3 Economics.</w:t>
      </w:r>
    </w:p>
    <w:p w14:paraId="279176CD" w14:textId="77777777" w:rsidR="00076B4B" w:rsidRDefault="00000000">
      <w:pPr>
        <w:spacing w:after="120"/>
        <w:rPr>
          <w:rFonts w:hint="eastAsia"/>
        </w:rPr>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pPr>
      <w:r>
        <w:rPr>
          <w:rFonts w:ascii="Poppins" w:eastAsia="Poppins" w:hAnsi="Poppins" w:cs="Poppins"/>
          <w:color w:val="0056A5"/>
          <w:sz w:val="36"/>
        </w:rPr>
        <w:lastRenderedPageBreak/>
        <w:t>7. SWOT</w:t>
      </w:r>
    </w:p>
    <w:p w14:paraId="162D6ACA" w14:textId="77777777" w:rsidR="00076B4B" w:rsidRDefault="00000000">
      <w:pPr>
        <w:rPr>
          <w:rFonts w:hint="eastAsia"/>
        </w:rPr>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pPr>
    </w:p>
    <w:p w14:paraId="2B50D153"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pPr>
      <w:r>
        <w:rPr>
          <w:rFonts w:ascii="Poppins" w:eastAsia="Poppins" w:hAnsi="Poppins" w:cs="Poppins"/>
          <w:color w:val="1E1D1C"/>
        </w:rPr>
        <w:t>8.1 Commoditization risk.</w:t>
      </w:r>
    </w:p>
    <w:p w14:paraId="4FA90391" w14:textId="77777777" w:rsidR="00076B4B" w:rsidRDefault="00000000">
      <w:pPr>
        <w:spacing w:after="120"/>
        <w:rPr>
          <w:rFonts w:hint="eastAsia"/>
        </w:rPr>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pPr>
      <w:r>
        <w:rPr>
          <w:rFonts w:ascii="Poppins" w:eastAsia="Poppins" w:hAnsi="Poppins" w:cs="Poppins"/>
          <w:color w:val="1E1D1C"/>
        </w:rPr>
        <w:t>8.2 Tool churn risk.</w:t>
      </w:r>
    </w:p>
    <w:p w14:paraId="288CF8E3" w14:textId="77777777" w:rsidR="00076B4B" w:rsidRDefault="00000000">
      <w:pPr>
        <w:spacing w:after="120"/>
        <w:rPr>
          <w:rFonts w:hint="eastAsia"/>
        </w:rPr>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pPr>
      <w:r>
        <w:rPr>
          <w:rFonts w:ascii="Poppins" w:eastAsia="Poppins" w:hAnsi="Poppins" w:cs="Poppins"/>
          <w:color w:val="1E1D1C"/>
        </w:rPr>
        <w:t>8.3 Adoption risk inside the client.</w:t>
      </w:r>
    </w:p>
    <w:p w14:paraId="5D4514C5" w14:textId="77777777" w:rsidR="00076B4B" w:rsidRDefault="00000000">
      <w:pPr>
        <w:spacing w:after="120"/>
        <w:rPr>
          <w:rFonts w:hint="eastAsia"/>
        </w:rPr>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pPr>
      <w:r>
        <w:rPr>
          <w:rFonts w:ascii="Poppins" w:eastAsia="Poppins" w:hAnsi="Poppins" w:cs="Poppins"/>
          <w:color w:val="1E1D1C"/>
        </w:rPr>
        <w:t>8.4 Brand risk.</w:t>
      </w:r>
    </w:p>
    <w:p w14:paraId="6F4D2864" w14:textId="77777777" w:rsidR="00076B4B" w:rsidRDefault="00000000">
      <w:pPr>
        <w:spacing w:after="120"/>
        <w:rPr>
          <w:rFonts w:hint="eastAsia"/>
        </w:rPr>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pPr>
      <w:r>
        <w:rPr>
          <w:rFonts w:ascii="Poppins" w:eastAsia="Poppins" w:hAnsi="Poppins" w:cs="Poppins"/>
          <w:color w:val="1E1D1C"/>
        </w:rPr>
        <w:t>8.5 Credential hygiene risk.</w:t>
      </w:r>
    </w:p>
    <w:p w14:paraId="4E4EA176" w14:textId="77777777" w:rsidR="00076B4B" w:rsidRDefault="00000000">
      <w:pPr>
        <w:spacing w:after="120"/>
        <w:rPr>
          <w:rFonts w:hint="eastAsia"/>
        </w:rPr>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pPr>
      <w:r>
        <w:rPr>
          <w:rFonts w:ascii="Poppins" w:hAnsi="Poppins"/>
          <w:color w:val="1E1D1C"/>
        </w:rPr>
        <w:t>8.6 Token-pricing risk.</w:t>
      </w:r>
    </w:p>
    <w:p>
      <w:pPr>
        <w:spacing w:after="120"/>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pPr>
      <w:r>
        <w:rPr>
          <w:rFonts w:ascii="Poppins" w:eastAsia="Poppins" w:hAnsi="Poppins" w:cs="Poppins"/>
          <w:color w:val="0056A5"/>
          <w:sz w:val="36"/>
        </w:rPr>
        <w:t>9. Recommendation</w:t>
      </w:r>
    </w:p>
    <w:p w14:paraId="279824F1" w14:textId="77777777" w:rsidR="00076B4B" w:rsidRDefault="00000000">
      <w:pPr>
        <w:spacing w:after="120"/>
        <w:rPr>
          <w:rFonts w:hint="eastAsia"/>
        </w:rPr>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spacing w:after="80"/>
        <w:rPr>
          <w:rFonts w:hint="eastAsia"/>
        </w:rPr>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spacing w:after="80"/>
        <w:rPr>
          <w:rFonts w:hint="eastAsia"/>
        </w:rPr>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spacing w:after="80"/>
        <w:rPr>
          <w:rFonts w:hint="eastAsia"/>
        </w:rPr>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pPr>
      <w:r>
        <w:rPr>
          <w:rFonts w:ascii="Poppins" w:eastAsia="Poppins" w:hAnsi="Poppins" w:cs="Poppins"/>
          <w:color w:val="0056A5"/>
          <w:sz w:val="36"/>
        </w:rPr>
        <w:t>10. Closing</w:t>
      </w:r>
    </w:p>
    <w:p w14:paraId="2BEA9826" w14:textId="77777777" w:rsidR="00076B4B" w:rsidRDefault="00000000">
      <w:pPr>
        <w:spacing w:after="120"/>
        <w:rPr>
          <w:rFonts w:hint="eastAsia"/>
        </w:rPr>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pPr>
      <w:r>
        <w:rPr>
          <w:color w:val="1E1D1C"/>
          <w:sz w:val="20"/>
        </w:rPr>
        <w:t>12. HumaI Blog, "SaaSpocalypse: Why Enterprise Software Has Lost More Than $2 Trillion in 2026," accessed May 15, 2026, https://www.humai.blog/saaspocalypse-why-enterprise-software-has-lost-more-than-2-trillion-in-2026/.</w:t>
      </w:r>
    </w:p>
    <w:p>
      <w:pPr>
        <w:spacing w:after="80"/>
        <w:ind w:left="360" w:hanging="360"/>
      </w:pPr>
      <w:r>
        <w:rPr>
          <w:color w:val="1E1D1C"/>
          <w:sz w:val="20"/>
        </w:rPr>
        <w:t>13. MindStudio, "SaaS Pricing Is Breaking: Why Per-Seat Models Don't Survive the AI Agent Era," accessed May 15, 2026, https://www.mindstudio.ai/blog/saas-pricing-ai-agent-era.</w:t>
      </w:r>
    </w:p>
    <w:p>
      <w:pPr>
        <w:spacing w:after="80"/>
        <w:ind w:left="360" w:hanging="360"/>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pPr>
      <w:r>
        <w:rPr>
          <w:color w:val="1E1D1C"/>
          <w:sz w:val="20"/>
        </w:rPr>
        <w:t>Artefact. "Is AI Really Getting Cheaper? The Token Cost Illusion." Accessed May 15, 2026. https://www.artefact.com/blog/is-ai-really-getting-cheaper-the-token-cost-illusion/.</w:t>
      </w:r>
    </w:p>
    <w:p>
      <w:pPr>
        <w:spacing w:after="80"/>
        <w:ind w:left="360" w:hanging="360"/>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14:paraId="0DFFB57A" w14:textId="77777777" w:rsidR="00076B4B" w:rsidRDefault="00000000">
      <w:pPr>
        <w:spacing w:after="80"/>
        <w:ind w:left="360" w:hanging="360"/>
        <w:rPr>
          <w:rFonts w:hint="eastAsia"/>
        </w:rPr>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pPr>
        <w:spacing w:after="80"/>
        <w:ind w:left="360" w:hanging="360"/>
      </w:pPr>
      <w:r>
        <w:rPr>
          <w:color w:val="1E1D1C"/>
          <w:sz w:val="20"/>
        </w:rPr>
        <w:t>HumaI Blog. "SaaSpocalypse: Why Enterprise Software Has Lost More Than $2 Trillion in 2026." Accessed May 15, 2026. https://www.humai.blog/saaspocalypse-why-enterprise-software-has-lost-more-than-2-trillion-in-2026/.</w:t>
      </w:r>
    </w:p>
    <w:p w14:paraId="33C9DDFE" w14:textId="77777777" w:rsidR="00076B4B" w:rsidRDefault="00000000">
      <w:pPr>
        <w:spacing w:after="80"/>
        <w:ind w:left="360" w:hanging="360"/>
        <w:rPr>
          <w:rFonts w:hint="eastAsia"/>
        </w:rPr>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pPr>
      <w:r>
        <w:rPr>
          <w:color w:val="1E1D1C"/>
          <w:sz w:val="20"/>
        </w:rPr>
        <w:t>MindStudio. "SaaS Pricing Is Breaking: Why Per-Seat Models Don't Survive the AI Agent Era." Accessed May 15, 2026. https://www.mindstudio.ai/blog/saas-pricing-ai-agent-era.</w:t>
      </w:r>
    </w:p>
    <w:p>
      <w:pPr>
        <w:spacing w:after="80"/>
        <w:ind w:left="360" w:hanging="360"/>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