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color w:val="1E1D1C"/>
        </w:rPr>
        <w:t>This paper makes three observations.</w:t>
      </w:r>
    </w:p>
    <w:p>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pPr>
        <w:pStyle w:val="ListParagraph"/>
        <w:spacing w:after="80"/>
        <w:ind w:left="360" w:hanging="360"/>
      </w:pPr>
      <w:r>
        <w:rPr>
          <w:b/>
          <w:color w:val="1E1D1C"/>
        </w:rPr>
        <w:t xml:space="preserve">2. </w:t>
      </w:r>
      <w:r>
        <w:rPr>
          <w:color w:val="1E1D1C"/>
        </w:rPr>
        <w:t>The trades and middle-market economy (HVAC contractors, plumbers, auto and collision shops, restoration companies, heritage food processors, hurricane-shutter installers, heavy-equipment repair yards, and family farms that together account for one-third of U.S. private-sector GDP</w:t>
      </w:r>
      <w:r>
        <w:rPr>
          <w:color w:val="1E1D1C"/>
          <w:vertAlign w:val="superscript"/>
        </w:rPr>
        <w:t>8</w:t>
      </w:r>
      <w:r>
        <w:rPr>
          <w:color w:val="1E1D1C"/>
        </w:rPr>
        <w:t>) has no serious AI advisory coverage.</w:t>
      </w:r>
    </w:p>
    <w:p>
      <w:pPr>
        <w:pStyle w:val="ListParagraph"/>
        <w:spacing w:after="80"/>
        <w:ind w:left="360" w:hanging="360"/>
      </w:pPr>
      <w:r>
        <w:rPr>
          <w:b/>
          <w:color w:val="1E1D1C"/>
        </w:rPr>
        <w:t xml:space="preserve">3. </w:t>
      </w:r>
      <w:r>
        <w:rPr>
          <w:color w:val="1E1D1C"/>
        </w:rPr>
        <w:t>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pPr>
        <w:spacing w:before="0" w:after="80"/>
      </w:pPr>
      <w:r>
        <w:rPr>
          <w:b/>
          <w:color w:val="1E1D1C"/>
          <w:sz w:val="18"/>
          <w:caps w:val="1"/>
        </w:rPr>
        <w:t>May 4, 2026 · $1.5 billion in committed capital</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pPr>
        <w:spacing w:before="0" w:after="80"/>
      </w:pPr>
      <w:r>
        <w:rPr>
          <w:b/>
          <w:color w:val="1E1D1C"/>
          <w:sz w:val="18"/>
          <w:caps w:val="1"/>
        </w:rPr>
        <w:t>May 11, 2026 · $4 billion in committed capital</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pPr>
        <w:spacing w:before="0" w:after="80"/>
      </w:pPr>
      <w:r>
        <w:rPr>
          <w:b/>
          <w:color w:val="1E1D1C"/>
          <w:sz w:val="18"/>
          <w:caps w:val="1"/>
        </w:rPr>
        <w:t>April 22, 2026 · $750 million committed</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tbl>
      <w:tblPr>
        <w:tblW w:type="auto" w:w="0"/>
        <w:tblLayout w:type="fixed"/>
        <w:tblLook w:firstColumn="1" w:firstRow="1" w:lastColumn="0" w:lastRow="0" w:noHBand="0" w:noVBand="1" w:val="04A0"/>
        <w:tblBorders>
          <w:top w:val="single" w:sz="8" w:color="auto"/>
          <w:bottom w:val="single" w:sz="8" w:color="auto"/>
          <w:left w:val="nil"/>
          <w:right w:val="nil"/>
          <w:insideH w:val="nil"/>
          <w:insideV w:val="nil"/>
        </w:tblBorders>
      </w:tblPr>
      <w:tblGrid>
        <w:gridCol w:w="2160"/>
        <w:gridCol w:w="2160"/>
        <w:gridCol w:w="2160"/>
        <w:gridCol w:w="2160"/>
      </w:tblGrid>
      <w:tr>
        <w:tc>
          <w:tcPr>
            <w:tcW w:type="dxa" w:w="2340"/>
          </w:tcPr>
          <w:p>
            <w:pPr>
              <w:spacing w:after="40"/>
              <w:jc w:val="left"/>
            </w:pPr>
            <w:r>
              <w:rPr>
                <w:rFonts w:ascii="Poppins" w:hAnsi="Poppins"/>
                <w:b/>
                <w:color w:val="1E1D1C"/>
                <w:sz w:val="36"/>
              </w:rPr>
              <w:t>$2T</w:t>
            </w:r>
          </w:p>
          <w:p>
            <w:pPr>
              <w:spacing w:after="0"/>
            </w:pPr>
            <w:r>
              <w:rPr>
                <w:color w:val="1E1D1C"/>
                <w:sz w:val="14"/>
              </w:rPr>
              <w:t>Mid-market gen-AI value pool (WEF, 2026)</w:t>
            </w:r>
          </w:p>
        </w:tc>
        <w:tc>
          <w:tcPr>
            <w:tcW w:type="dxa" w:w="2340"/>
          </w:tcPr>
          <w:p>
            <w:pPr>
              <w:spacing w:after="40"/>
              <w:jc w:val="left"/>
            </w:pPr>
            <w:r>
              <w:rPr>
                <w:rFonts w:ascii="Poppins" w:hAnsi="Poppins"/>
                <w:b/>
                <w:color w:val="1E1D1C"/>
                <w:sz w:val="36"/>
              </w:rPr>
              <w:t>1/3</w:t>
            </w:r>
          </w:p>
          <w:p>
            <w:pPr>
              <w:spacing w:after="0"/>
            </w:pPr>
            <w:r>
              <w:rPr>
                <w:color w:val="1E1D1C"/>
                <w:sz w:val="14"/>
              </w:rPr>
              <w:t>Of U.S. private-sector GDP is mid-market (NCMM, 2025)</w:t>
            </w:r>
          </w:p>
        </w:tc>
        <w:tc>
          <w:tcPr>
            <w:tcW w:type="dxa" w:w="2340"/>
          </w:tcPr>
          <w:p>
            <w:pPr>
              <w:spacing w:after="40"/>
              <w:jc w:val="left"/>
            </w:pPr>
            <w:r>
              <w:rPr>
                <w:rFonts w:ascii="Poppins" w:hAnsi="Poppins"/>
                <w:b/>
                <w:color w:val="1E1D1C"/>
                <w:sz w:val="36"/>
              </w:rPr>
              <w:t>95%</w:t>
            </w:r>
          </w:p>
          <w:p>
            <w:pPr>
              <w:spacing w:after="0"/>
            </w:pPr>
            <w:r>
              <w:rPr>
                <w:color w:val="1E1D1C"/>
                <w:sz w:val="14"/>
              </w:rPr>
              <w:t>Of enterprise AI pilots fail to reach production (MIT NANDA, 2025)</w:t>
            </w:r>
          </w:p>
        </w:tc>
        <w:tc>
          <w:tcPr>
            <w:tcW w:type="dxa" w:w="2340"/>
          </w:tcPr>
          <w:p>
            <w:pPr>
              <w:spacing w:after="40"/>
              <w:jc w:val="left"/>
            </w:pPr>
            <w:r>
              <w:rPr>
                <w:rFonts w:ascii="Poppins" w:hAnsi="Poppins"/>
                <w:b/>
                <w:color w:val="1E1D1C"/>
                <w:sz w:val="36"/>
              </w:rPr>
              <w:t>82%</w:t>
            </w:r>
          </w:p>
          <w:p>
            <w:pPr>
              <w:spacing w:after="0"/>
            </w:pPr>
            <w:r>
              <w:rPr>
                <w:color w:val="1E1D1C"/>
                <w:sz w:val="14"/>
              </w:rPr>
              <w:t>Of small employers buy AI tools; median 5 (SBE Council, 2026)</w:t>
            </w:r>
          </w:p>
        </w:tc>
      </w:tr>
    </w:tbl>
    <w:p>
      <w:pPr>
        <w:spacing w:after="80"/>
      </w:pP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HVAC, plumbing, auto and collision repair, hurricane shutters, heritage food processing, heavy equipment, and family farms,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spacing w:before="200" w:after="200"/>
        <w:ind w:left="720" w:right="720"/>
        <w:jc w:val="center"/>
        <w:pBdr>
          <w:top w:val="single" w:sz="4" w:space="8" w:color="auto"/>
          <w:bottom w:val="single" w:sz="4" w:space="8" w:color="auto"/>
        </w:pBdr>
        <w:keepLines w:val="1"/>
        <w:widowControl w:val="1"/>
      </w:pPr>
      <w:r>
        <w:rPr>
          <w:i/>
          <w:color w:val="1E1D1C"/>
          <w:sz w:val="26"/>
        </w:rPr>
        <w:t>The bottom of the market does not have less opportunity. It has different opportunity.</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pPr>
      <w:r>
        <w:rPr>
          <w:b/>
          <w:color w:val="1E1D1C"/>
          <w:caps w:val="1"/>
        </w:rPr>
        <w:t xml:space="preserve">OFFER 1. </w:t>
      </w:r>
      <w:r>
        <w:rPr>
          <w:b/>
          <w:color w:val="1E1D1C"/>
        </w:rPr>
        <w:t>The Game.</w:t>
      </w:r>
      <w:r>
        <w:rPr>
          <w:color w:val="1E1D1C"/>
        </w:rPr>
        <w:t xml:space="preserv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pPr>
      <w:r>
        <w:rPr>
          <w:b/>
          <w:color w:val="1E1D1C"/>
          <w:caps w:val="1"/>
        </w:rPr>
        <w:t xml:space="preserve">OFFER 2. </w:t>
      </w:r>
      <w:r>
        <w:rPr>
          <w:b/>
          <w:color w:val="1E1D1C"/>
        </w:rPr>
        <w:t>AI-Augmented MAM.</w:t>
      </w:r>
      <w:r>
        <w:rPr>
          <w:color w:val="1E1D1C"/>
        </w:rPr>
        <w:t xml:space="preserve">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pPr>
      <w:r>
        <w:rPr>
          <w:b/>
          <w:color w:val="1E1D1C"/>
          <w:caps w:val="1"/>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pPr>
      <w:r>
        <w:rPr>
          <w:b/>
          <w:color w:val="1E1D1C"/>
          <w:caps w:val="1"/>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pPr>
      <w:r>
        <w:rPr>
          <w:b/>
          <w:color w:val="1E1D1C"/>
          <w:caps w:val="1"/>
        </w:rPr>
        <w:t xml:space="preserve">OFFER 5. </w:t>
      </w:r>
      <w:r>
        <w:rPr>
          <w:b/>
          <w:color w:val="1E1D1C"/>
        </w:rPr>
        <w:t>Fractional AI Chief.</w:t>
      </w:r>
      <w:r>
        <w:rPr>
          <w:color w:val="1E1D1C"/>
        </w:rPr>
        <w:t xml:space="preserve">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widowControl w:val="1"/>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val="1"/>
        <w:spacing w:after="80"/>
        <w:rPr>
          <w:rFonts w:hint="eastAsia"/>
        </w:rPr>
        <w:widowControl w:val="1"/>
      </w:pPr>
      <w:r>
        <w:rPr>
          <w:b/>
          <w:color w:val="1E1D1C"/>
        </w:rPr>
        <w:t>Step 1. Reference implementation.</w:t>
      </w:r>
      <w:r>
        <w:rPr>
          <w:color w:val="1E1D1C"/>
        </w:rPr>
        <w:t xml:space="preserve">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pPr>
      <w:r>
        <w:rPr>
          <w:b/>
          <w:color w:val="1E1D1C"/>
        </w:rPr>
        <w:t>Step 2. The pattern playbook.</w:t>
      </w:r>
      <w:r>
        <w:rPr>
          <w:color w:val="1E1D1C"/>
        </w:rPr>
        <w:t xml:space="preserve">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val="1"/>
        <w:spacing w:after="80"/>
        <w:rPr>
          <w:rFonts w:hint="eastAsia"/>
        </w:rPr>
        <w:widowControl w:val="1"/>
      </w:pPr>
      <w:r>
        <w:rPr>
          <w:b/>
          <w:color w:val="1E1D1C"/>
        </w:rPr>
        <w:t>Step 3. Prove the pattern is trainable.</w:t>
      </w:r>
      <w:r>
        <w:rPr>
          <w:color w:val="1E1D1C"/>
        </w:rPr>
        <w:t xml:space="preserv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pPr>
        <w:spacing w:before="200" w:after="200"/>
        <w:ind w:left="720" w:right="720"/>
        <w:jc w:val="center"/>
        <w:pBdr>
          <w:top w:val="single" w:sz="4" w:space="8" w:color="auto"/>
          <w:bottom w:val="single" w:sz="4" w:space="8" w:color="auto"/>
        </w:pBdr>
        <w:keepLines w:val="1"/>
        <w:widowControl w:val="1"/>
      </w:pPr>
      <w:r>
        <w:rPr>
          <w:i/>
          <w:color w:val="1E1D1C"/>
          <w:sz w:val="26"/>
        </w:rPr>
        <w:t>The methodology is there. The clients are there. The tools are running today.</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widowControl w:val="1"/>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widowControl w:val="1"/>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widowControl w:val="1"/>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widowControl w:val="1"/>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widowControl w:val="1"/>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widowControl w:val="1"/>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widowControl w:val="1"/>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widowControl w:val="1"/>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widowControl w:val="1"/>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widowControl w:val="1"/>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widowControl w:val="1"/>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widowControl w:val="1"/>
      </w:pPr>
      <w:r>
        <w:rPr>
          <w:color w:val="1E1D1C"/>
          <w:sz w:val="20"/>
        </w:rPr>
        <w:t>13. 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widowControl w:val="1"/>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widowControl w:val="1"/>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widowControl w:val="1"/>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widowControl w:val="1"/>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widowControl w:val="1"/>
      </w:pPr>
      <w:r>
        <w:rPr>
          <w:color w:val="1E1D1C"/>
          <w:sz w:val="20"/>
        </w:rPr>
        <w:t>Artefact. "Is AI Really Getting Cheaper? The Token Cost Illusion." Accessed May 15, 2026. https://www.artefact.com/blog/is-ai-really-getting-cheaper-the-token-cost-illusion/.</w:t>
      </w:r>
    </w:p>
    <w:p>
      <w:pPr>
        <w:spacing w:after="80"/>
        <w:ind w:left="360" w:hanging="360"/>
        <w:widowControl w:val="1"/>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widowControl w:val="1"/>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widowControl w:val="1"/>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widowControl w:val="1"/>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widowControl w:val="1"/>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widowControl w:val="1"/>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widowControl w:val="1"/>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widowControl w:val="1"/>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widowControl w:val="1"/>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widowControl w:val="1"/>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widowControl w:val="1"/>
      </w:pPr>
      <w:r>
        <w:rPr>
          <w:color w:val="1E1D1C"/>
          <w:sz w:val="20"/>
        </w:rPr>
        <w:t>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widowControl w:val="1"/>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widowControl w:val="1"/>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widowControl w:val="1"/>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widowControl w:val="1"/>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widowControl w:val="1"/>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widowControl w:val="1"/>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