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8A"/>
          <w:sz w:val="44"/>
          <w:szCs w:val="44"/>
        </w:rPr>
        <w:t xml:space="preserve">Smart Sourcing → 견적 운영 워크큐</w:t>
      </w:r>
    </w:p>
    <w:p>
      <w:pPr>
        <w:spacing w:after="60"/>
        <w:jc w:val="center"/>
      </w:pPr>
      <w:r>
        <w:rPr>
          <w:rFonts w:ascii="Arial" w:cs="Arial" w:eastAsia="Arial" w:hAnsi="Arial"/>
          <w:color w:val="1B4F8A"/>
          <w:sz w:val="32"/>
          <w:szCs w:val="32"/>
        </w:rPr>
        <w:t xml:space="preserve">완전 통합 구현 지시문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BioCompare · 온톨로지 기반 AI-Native 구매 운영 플랫폼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문서 버전: v1.0  |  작성일: 2026-04-14  |  분류: Internal – Engineering</w:t>
      </w:r>
    </w:p>
    <w:p>
      <w:pPr>
        <w:spacing w:after="200"/>
      </w:pPr>
    </w:p>
    <w:p>
      <w:pPr>
        <w:pBdr>
          <w:bottom w:val="single" w:color="D0D5DD" w:sz="2" w:space="1"/>
        </w:pBdr>
        <w:spacing w:after="20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“Smart Sourcing은 앞으로 페이지가 아니라, 견적 운영 워크큐 안에서 동작하는 intake + parsing + comparison capability다.”</w:t>
      </w:r>
    </w:p>
    <w:p>
      <w:r>
        <w:br w:type="page"/>
      </w:r>
    </w:p>
    <w:p>
      <w:pPr>
        <w:pStyle w:val="Heading1"/>
      </w:pPr>
      <w:r>
        <w:t xml:space="preserve">팀 전달용 결정문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Smart Sourcing 독립 페이지/메뉴는 종료한다.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앞으로 Smart Sourcing는 별도 destination이 아니라, 견적 운영 워크큐 내부의 기능으로만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모든 견적 유입 경로의 landing zone은 동일한 워크큐다.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자동 수신 이메일/포털 회신, 수동 견적서 업로드, BOM 업로드 모두 최종적으로는 동일한 견적 운영 워크큐로 들어온다.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수동 업로드와 BOM 업로드는 “새 페이지”가 아니라 “입구”다.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둘 다 queue 바깥에서 결과를 소비하는 구조를 만들지 말고, queue 내부 intake/staging → queue 반영으로 처리한다.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UI에서 ‘AI 견적 분석’ 같은 독립 기능명은 약화한다.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사용자에게는 ‘외부 견적서 업로드’, ‘BOM 업로드’, ‘비교 검토’, ‘파싱 검토’ 같은 운영 동사 중심으로 노출한다.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비교 결과는 truth가 아니라 projection이다.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원본 문서, 공급사 응답, 수동 보정 이력이 canonical이고, AI 파싱/비교 결과는 항상 파생 뷰로 취급한다.</w:t>
      </w:r>
    </w:p>
    <w:p>
      <w:r>
        <w:br w:type="page"/>
      </w:r>
    </w:p>
    <w:p>
      <w:pPr>
        <w:pStyle w:val="Heading1"/>
      </w:pPr>
      <w:r>
        <w:t xml:space="preserve">구현 지시문</w:t>
      </w:r>
    </w:p>
    <w:p>
      <w:pPr>
        <w:spacing w:after="80"/>
      </w:pPr>
    </w:p>
    <w:p>
      <w:pPr>
        <w:pStyle w:val="Heading2"/>
      </w:pPr>
      <w:r>
        <w:t xml:space="preserve">1. IA / Route 정리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‘AI 견적 분석’ top-level nav를 제거한다.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기존 legacy route가 있다면 한 릴리스 동안은 워크큐로 soft redirect만 유지한다. 예: quotes queue 진입 후 intake dock 자동 오픈.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별도 full-page 결과 화면은 만들지 않는다.</w:t>
      </w:r>
    </w:p>
    <w:p>
      <w:pPr>
        <w:spacing w:after="100"/>
      </w:pPr>
    </w:p>
    <w:p>
      <w:pPr>
        <w:pStyle w:val="Heading2"/>
      </w:pPr>
      <w:r>
        <w:t xml:space="preserve">2. 워크큐 헤더 진입점 재구성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워크큐 상단 primary CTA는 하나로 유지한다. 권장 형태: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‘새 요청 만들기’ 1개 + 하위 액션 3개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단건 견적 요청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BOM 업로드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외부 견적서 업로드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BOM 업로드, 외부 견적서 업로드는 새 페이지 이동 금지. 둘 다 same-canvas 우측 dock / rail에서 열리게 한다.</w:t>
      </w:r>
    </w:p>
    <w:p>
      <w:pPr>
        <w:spacing w:after="100"/>
      </w:pPr>
    </w:p>
    <w:p>
      <w:pPr>
        <w:pStyle w:val="Heading2"/>
      </w:pPr>
      <w:r>
        <w:t xml:space="preserve">3. 견적 케이스 상세 Dock 내부 통합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“특정 발주 건 상세”가 아니라 특정 견적 케이스 상세 dock 안으로 넣어야 한다. 이 상세 surface 안에 다음 기능을 통합한다: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공급사 응답 목록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원본 파일 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파싱 결과 검토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항목 매핑 보정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비교 검토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추가 견적서 업로드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파싱 재실행 / 비교 반영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가능하면 탭을 새로 늘리지 말고, 기존 detail shell 내부 section/action으로 흡수한다. 기존 detail shell이 이미 탭 구조라면 ‘문서 / 비교’ 계열 탭 안으로 넣고, 별도 “Smart Sourcing” 탭은 만들지 않는다.</w:t>
      </w:r>
    </w:p>
    <w:p>
      <w:pPr>
        <w:spacing w:after="100"/>
      </w:pPr>
    </w:p>
    <w:p>
      <w:pPr>
        <w:pStyle w:val="Heading2"/>
      </w:pPr>
      <w:r>
        <w:t xml:space="preserve">4. 수동 업로드 동작 규칙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A. 기존 견적 케이스가 있는 경우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업로드 즉시 해당 케이스에 ‘공급사 응답/첨부 버전’으로 연결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파싱 후 상태를 ‘검토 필요’ 또는 ‘비교 가능’으로 올림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 기존 견적 케이스가 없는 경우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바로 운영 queue row를 만들지 않고, 임시 intake session으로만 유지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사용자가 공급사/프로젝트/품목 매핑을 마친 뒤 ‘정식 요청으로 전환’을 눌렀을 때만 실제 견적 케이스 생성</w:t>
      </w:r>
    </w:p>
    <w:p>
      <w:pPr>
        <w:spacing w:after="60"/>
      </w:pPr>
    </w:p>
    <w:p>
      <w:pPr>
        <w:pBdr>
          <w:left w:val="single" w:color="2563EB" w:sz="8" w:space="4"/>
        </w:pBdr>
        <w:spacing w:after="120"/>
        <w:ind w:left="360"/>
      </w:pPr>
      <w:r>
        <w:rPr>
          <w:rFonts w:ascii="Arial" w:cs="Arial" w:eastAsia="Arial" w:hAnsi="Arial"/>
          <w:i/>
          <w:iCs/>
          <w:color w:val="2563EB"/>
          <w:sz w:val="21"/>
          <w:szCs w:val="21"/>
        </w:rPr>
        <w:t xml:space="preserve">핵심: 운영 queue에는 실제 업무 오브젝트만 올리고, 사전 검토는 staging으로 처리해야 queue truth가 깨지지 않는다.</w:t>
      </w:r>
    </w:p>
    <w:p>
      <w:pPr>
        <w:spacing w:after="100"/>
      </w:pPr>
    </w:p>
    <w:p>
      <w:pPr>
        <w:pStyle w:val="Heading2"/>
      </w:pPr>
      <w:r>
        <w:t xml:space="preserve">5. BOM 업로드 동작 규칙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BOM 업로드도 즉시 queue에 수십 건을 찍지 않고, 먼저 batch intake/staging으로 받는다. 사용자가 아래를 확인한 뒤 commit한다: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프로젝트/요청자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품목 정규화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Grouping rule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공급사 전략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누락 필드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commit 시점에만 실제 queue item들을 생성한다. 즉, BOM 업로드는 queue로 들어가는 gateway이지, 따로 분석 결과를 소비하는 독립 워크스페이스가 아니다.</w:t>
      </w:r>
    </w:p>
    <w:p>
      <w:pPr>
        <w:spacing w:after="100"/>
      </w:pPr>
    </w:p>
    <w:p>
      <w:pPr>
        <w:pStyle w:val="Heading2"/>
      </w:pPr>
      <w:r>
        <w:t xml:space="preserve">6. 자동 수신 견적의 처리 원칙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공급사 이메일/포털 회신은 기존 RFQ/견적 케이스와 매칭되면 곧바로 그 케이스에 attach한다.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파싱 결과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 전환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파싱 성공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비교 검토 필요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파싱 불완전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필드 검토 필요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중복/재전송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새 버전 수신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별도 inbox 페이지를 또 만들지 말고, queue state와 detail dock 안에서 해소한다.</w:t>
      </w:r>
    </w:p>
    <w:p>
      <w:pPr>
        <w:spacing w:after="100"/>
      </w:pPr>
    </w:p>
    <w:p>
      <w:pPr>
        <w:pStyle w:val="Heading2"/>
      </w:pPr>
      <w:r>
        <w:t xml:space="preserve">7. 온톨로지 / Next-Step 액션 규칙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액션은 AI 챗 형태가 아니라 deterministic next-step으로만 노출한다.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노출 액션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Intake 미완료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필수 매핑 보완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공급사 응답 수신 + 파싱 완료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비교 검토 열기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저신뢰 필드 존재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파싱 검토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공급사 선택 완료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 전환 준비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응답 미수신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회신 추적</w:t>
            </w:r>
          </w:p>
        </w:tc>
      </w:tr>
    </w:tbl>
    <w:p>
      <w:pPr>
        <w:spacing w:after="60"/>
      </w:pPr>
    </w:p>
    <w:p>
      <w:pPr>
        <w:pBdr>
          <w:left w:val="single" w:color="DC2626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flashy AI score, fake reasoning log, chatbot 패턴은 금지한다.</w:t>
      </w:r>
    </w:p>
    <w:p>
      <w:pPr>
        <w:spacing w:after="100"/>
      </w:pPr>
    </w:p>
    <w:p>
      <w:pPr>
        <w:pStyle w:val="Heading2"/>
      </w:pPr>
      <w:r>
        <w:t xml:space="preserve">8. Truth Boundary / Audit 규칙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원본 파일은 immutable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파싱 결과는 versioned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수동 보정은 diff/audit 남김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비교 결과는 derived snapshot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공급사 선택/PO handoff는 별도 감사 이벤트 기록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preview가 actual truth를 덮지 않도록 처리한다.</w:t>
      </w:r>
    </w:p>
    <w:p>
      <w:r>
        <w:br w:type="page"/>
      </w:r>
    </w:p>
    <w:p>
      <w:pPr>
        <w:pStyle w:val="Heading1"/>
      </w:pPr>
      <w:r>
        <w:t xml:space="preserve">반드시 정해야 하는 사항</w:t>
      </w:r>
    </w:p>
    <w:p>
      <w:pPr>
        <w:spacing w:after="80"/>
      </w:pPr>
    </w:p>
    <w:p>
      <w:pPr>
        <w:pStyle w:val="Heading2"/>
      </w:pPr>
      <w:r>
        <w:t xml:space="preserve">1. 사전 검토 업로드를 queue에 언제 올릴 것인가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기존 케이스 없으면 intake session으로만 두고, ‘정식 요청으로 전환’ 시점에만 queue row 생성.</w:t>
      </w:r>
    </w:p>
    <w:p>
      <w:pPr>
        <w:spacing w:after="100"/>
      </w:pPr>
    </w:p>
    <w:p>
      <w:pPr>
        <w:pStyle w:val="Heading2"/>
      </w:pPr>
      <w:r>
        <w:t xml:space="preserve">2. BOM 1건을 몇 개의 견적 케이스로 쏼갤 것인가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최소한 ‘프로젝트 + 품목군 + 소싱 전략’ 기준으로 split rule 정의. 무조건 1 BOM = 1 케이스로 처리하면 운영에서 금방 막힘.</w:t>
      </w:r>
    </w:p>
    <w:p>
      <w:pPr>
        <w:spacing w:after="100"/>
      </w:pPr>
    </w:p>
    <w:p>
      <w:pPr>
        <w:pStyle w:val="Heading2"/>
      </w:pPr>
      <w:r>
        <w:t xml:space="preserve">3. 공급사 미확정 상태를 허용할 것인가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Intake 단계에서는 허용, 비교 확정/PO 전환 단계에서는 불가. ‘미확정 공급사’는 staging에서는 가능하지만 운영 확정 단계에서는 blocker.</w:t>
      </w:r>
    </w:p>
    <w:p>
      <w:pPr>
        <w:spacing w:after="100"/>
      </w:pPr>
    </w:p>
    <w:p>
      <w:pPr>
        <w:pStyle w:val="Heading2"/>
      </w:pPr>
      <w:r>
        <w:t xml:space="preserve">4. 비교 단위를 무엇으로 볼 것인가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Line-item 비교 + case summary를 같이 본다.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최소 비교 축: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단가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총액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통화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리드타임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MOQ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Pack size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배송비 포함 여부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세금/VAT 포함 여부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견적 유효기간</w:t>
      </w:r>
    </w:p>
    <w:p>
      <w:pPr>
        <w:spacing w:after="100"/>
      </w:pPr>
    </w:p>
    <w:p>
      <w:pPr>
        <w:pStyle w:val="Heading2"/>
      </w:pPr>
      <w:r>
        <w:t xml:space="preserve">5. 저신뢰 파싱 기준을 어떻게 둘 것인가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숫자 점수 자체보다 3단계 운영 규칙으로 둔다.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처리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자동 반영 가능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모든 필드 고신뢰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즉시 비교 반영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검토 필요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일부 필드 저신뢰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운영자 확인 후 반영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반영 차단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파싱 실패 또는 무효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수동 입력 필요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UI에 confidence 숫자를 전면 노출하기보다, 어느 필드가 왜 검토 대상인지만 보여주는 편이 낫다.</w:t>
      </w:r>
    </w:p>
    <w:p>
      <w:pPr>
        <w:spacing w:after="100"/>
      </w:pPr>
    </w:p>
    <w:p>
      <w:pPr>
        <w:pStyle w:val="Heading2"/>
      </w:pPr>
      <w:r>
        <w:t xml:space="preserve">6. 중복 업로드 / 재견적 업로드 처리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‘동일 공급사 + 동일 요청 참조 + 유사 문서’는 중복 억제 또는 새 버전 처리 규칙을 둘다.</w:t>
      </w:r>
    </w:p>
    <w:p>
      <w:pPr>
        <w:spacing w:after="100"/>
      </w:pPr>
    </w:p>
    <w:p>
      <w:pPr>
        <w:pStyle w:val="Heading2"/>
      </w:pPr>
      <w:r>
        <w:t xml:space="preserve">7. 권한 경계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업로드/파싱 검토: requester + buyer / 비교 승인/공급사 선정: buyer/manager / PO 전환: 승인 권한자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허용 권한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업로드 / 파싱 검토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Requester + Buyer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비교 승인 / 공급사 선정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Buyer / Manager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 전환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승인 권한자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 UI 명칭 정리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메뉴명 ‘AI 견적 분석’ 제거, 운영 동사 중심 명칭으로 전환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메뉴명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견적 분석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제거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헤더 액션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Smart Sourcing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외부 견적서 업로드 / BOM 업로드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Queue 상태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검토 필요 / 비교 가능 / 응답 대기 / 선정 완료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Detail 액션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파싱 검토 / 비교 반영 / 정식 요청으로 전환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 Legacy Smart Sourcing route 유지 기간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1 release soft redirect 후 제거. 오래 남겨두면 팀 내부에서도 “결국 별도 페이지가 있는 기능”으로 다시 인식된다.</w:t>
      </w:r>
    </w:p>
    <w:p>
      <w:pPr>
        <w:spacing w:after="100"/>
      </w:pPr>
    </w:p>
    <w:p>
      <w:pPr>
        <w:pStyle w:val="Heading2"/>
      </w:pPr>
      <w:r>
        <w:t xml:space="preserve">10. 자동 수신 미구현 시 UI 처리</w:t>
      </w:r>
    </w:p>
    <w:p>
      <w:pPr>
        <w:pBdr>
          <w:left w:val="single" w:color="16A34A" w:sz="8" w:space="4"/>
        </w:pBdr>
        <w:spacing w:after="120"/>
        <w:ind w:lef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권장: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No-op 금지. 미구현이면 숨기거나 disabled + 명확한 준비중 상태만 둔다.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최소 Diff 실행 순서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1차 컷은 크게 벌리지 않는 게 좋다. 철학은 바로잡으면서도 구현 diff는 최소화하는 방향.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‘AI 견적 분석’ nav 제거</w:t>
      </w:r>
    </w:p>
    <w:p>
      <w:pPr>
        <w:spacing w:after="160"/>
        <w:ind w:left="3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사이드바/헤더에서 top-level 메뉴 항목 제거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Legacy route → 워크큐 redirect</w:t>
      </w:r>
    </w:p>
    <w:p>
      <w:pPr>
        <w:spacing w:after="160"/>
        <w:ind w:left="3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기존 /smart-sourcing 경로를 견적 워크큐로 soft redirect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워크큐 헤더에 intake 진입점 추가</w:t>
      </w:r>
    </w:p>
    <w:p>
      <w:pPr>
        <w:spacing w:after="160"/>
        <w:ind w:left="3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‘BOM 업로드 / 외부 견적서 업로드’ dock CTA 추가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견적 케이스 detail dock 확장</w:t>
      </w:r>
    </w:p>
    <w:p>
      <w:pPr>
        <w:spacing w:after="160"/>
        <w:ind w:left="3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‘추가 업로드 + 파싱 검토 + 비교 반영’ 섹션 통합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기존 컴포넌트 재사용</w:t>
      </w:r>
    </w:p>
    <w:p>
      <w:pPr>
        <w:spacing w:after="160"/>
        <w:ind w:left="3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파서/비교 컴포넌트는 재사용, shell만 queue 내부로 이동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6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Intake session 도입</w:t>
      </w:r>
    </w:p>
    <w:p>
      <w:pPr>
        <w:spacing w:after="160"/>
        <w:ind w:left="3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기존 케이스 없는 업로드는 staging으로만 유지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7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BOM staging → commit 방식 적용</w:t>
      </w:r>
    </w:p>
    <w:p>
      <w:pPr>
        <w:spacing w:after="160"/>
        <w:ind w:left="3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확인 후 queue 반영하는 2-step flow 구현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Confidential – Internal Engineering  |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2" w:space="4"/>
      </w:pBdr>
      <w:spacing w:after="0"/>
    </w:pPr>
    <w:r>
      <w:rPr>
        <w:rFonts w:ascii="Arial" w:cs="Arial" w:eastAsia="Arial" w:hAnsi="Arial"/>
        <w:b/>
        <w:bCs/>
        <w:color w:val="1B4F8A"/>
        <w:sz w:val="16"/>
        <w:szCs w:val="16"/>
      </w:rPr>
      <w:t xml:space="preserve">BioCompare  </w:t>
    </w:r>
    <w:r>
      <w:rPr>
        <w:rFonts w:ascii="Arial" w:cs="Arial" w:eastAsia="Arial" w:hAnsi="Arial"/>
        <w:color w:val="4A4A4A"/>
        <w:sz w:val="16"/>
        <w:szCs w:val="16"/>
      </w:rPr>
      <w:t xml:space="preserve">Smart Sourcing → 견적 운영 워크큐 통합 지시문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2026-04-14T13:45:12.924Z</dcterms:created>
  <dcterms:modified xsi:type="dcterms:W3CDTF">2026-04-14T13:45:12.924Z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