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Calibri" w:hAnsi="Calibri" w:eastAsia="Calibri"/>
          <w:b/>
          <w:color w:val="000000"/>
          <w:sz w:val="46"/>
        </w:rPr>
        <w:t>TEKNİK PROJE RAPORU</w:t>
      </w:r>
    </w:p>
    <w:p>
      <w:pPr>
        <w:spacing w:after="320"/>
      </w:pPr>
      <w:r>
        <w:rPr>
          <w:rFonts w:ascii="Calibri" w:hAnsi="Calibri" w:eastAsia="Calibri"/>
          <w:color w:val="373737"/>
          <w:sz w:val="28"/>
        </w:rPr>
        <w:t>Agentic Debugging Internship — Python/PDB ile Debugger Destekli Yazılım Onarımı</w:t>
      </w:r>
    </w:p>
    <w:p>
      <w:pPr>
        <w:spacing w:after="40"/>
      </w:pPr>
      <w:r>
        <w:rPr>
          <w:rFonts w:ascii="Calibri" w:hAnsi="Calibri" w:eastAsia="Calibri"/>
          <w:b/>
          <w:color w:val="000000"/>
          <w:sz w:val="21"/>
        </w:rPr>
        <w:t xml:space="preserve">Proje sahibi: </w:t>
      </w:r>
      <w:r>
        <w:rPr>
          <w:rFonts w:ascii="Calibri" w:hAnsi="Calibri" w:eastAsia="Calibri"/>
          <w:color w:val="000000"/>
          <w:sz w:val="21"/>
        </w:rPr>
        <w:t>Onur</w:t>
      </w:r>
    </w:p>
    <w:p>
      <w:pPr>
        <w:spacing w:after="40"/>
      </w:pPr>
      <w:r>
        <w:rPr>
          <w:rFonts w:ascii="Calibri" w:hAnsi="Calibri" w:eastAsia="Calibri"/>
          <w:b/>
          <w:color w:val="000000"/>
          <w:sz w:val="21"/>
        </w:rPr>
        <w:t xml:space="preserve">Teknik rol: </w:t>
      </w:r>
      <w:r>
        <w:rPr>
          <w:rFonts w:ascii="Calibri" w:hAnsi="Calibri" w:eastAsia="Calibri"/>
          <w:color w:val="000000"/>
          <w:sz w:val="21"/>
        </w:rPr>
        <w:t>FirstMate incelemesi ve kapanış raporu</w:t>
      </w:r>
    </w:p>
    <w:p>
      <w:pPr>
        <w:spacing w:after="40"/>
      </w:pPr>
      <w:r>
        <w:rPr>
          <w:rFonts w:ascii="Calibri" w:hAnsi="Calibri" w:eastAsia="Calibri"/>
          <w:b/>
          <w:color w:val="000000"/>
          <w:sz w:val="21"/>
        </w:rPr>
        <w:t>Tarih: 31 Ağustos 2026</w:t>
      </w:r>
      <w:r>
        <w:rPr>
          <w:rFonts w:ascii="Calibri" w:hAnsi="Calibri" w:eastAsia="Calibri"/>
          <w:color w:val="000000"/>
          <w:sz w:val="21"/>
        </w:rPr>
      </w:r>
    </w:p>
    <w:p>
      <w:pPr>
        <w:spacing w:after="40"/>
      </w:pPr>
      <w:r>
        <w:t>Sürüm: v0.1.0 sonrası güncel teknik durum</w:t>
      </w:r>
    </w:p>
    <w:p>
      <w:pPr>
        <w:spacing w:after="40"/>
      </w:pPr>
      <w:r>
        <w:t>Durum: Araştırma döngüsü kapalı; post-release ürünleşme çalışmaları güncel kaynakta tamamlandı; HEAD 206dc5e ve çalışma ağacı temiz</w:t>
      </w:r>
    </w:p>
    <w:p>
      <w:pPr>
        <w:spacing w:before="160" w:after="280"/>
        <w:pBdr>
          <w:bottom w:val="single" w:sz="14" w:space="4" w:color="2E74B5"/>
        </w:pBdr>
      </w:pPr>
    </w:p>
    <w:p>
      <w:pPr>
        <w:pStyle w:val="Heading1"/>
        <w:keepNext/>
      </w:pPr>
      <w:r>
        <w:t>Yönetici özeti</w:t>
      </w:r>
    </w:p>
    <w:p>
      <w:r>
        <w:t>Proje, yazılım onarım ajanına çalışma zamanı kanıtı sağlayan Python/PDB-first bir prototiptir. Tek controller, typed tools ve açık bütçeler kullanır. Bağımsız verifier doğruluk otoritesidir; model veya operatör iddiası tek başına başarı sayılmaz.</w:t>
      </w:r>
    </w:p>
    <w:p>
      <w:r>
        <w:t>Zorunlu araştırma döngüsü 28 Ağustos 2026’da kapanmıştır; v0.1.0 etiketi d01f7a5’i gösterir. Güncel kaynak, bağımsız verifier ve kamu kanıt kapısına ek olarak birleşik provider bağlantıları, tek Session Setup yüzeyi, journal-linked retry, efor görünürlüğü, recoverable patch feedback ve canlı execution trace içerir. Güncel HEAD 206dc5e’dir.</w:t>
      </w:r>
    </w:p>
    <w:p>
      <w:r>
        <w:t>R5 temiz base-14B holdout 5/5’tir. R6 tuned-7B task-disjoint QuixBugs doğrulaması 8/8 RESOLVED’dır; matched-base nedensel fine-tuning kanıtı değildir. Repaired Level-32 içinde GLM 5.1 ve 5.2, F2P 5/5 ve P2P failed 0/9 elde etmiştir.</w:t>
      </w:r>
    </w:p>
    <w:p>
      <w:pPr>
        <w:pStyle w:val="Heading1"/>
        <w:keepNext/>
      </w:pPr>
      <w:r>
        <w:t>Problem ve araştırma amacı</w:t>
      </w:r>
    </w:p>
    <w:p>
      <w:r>
        <w:t>Statik okuma değer akışı ve sınır koşullarını kaçırabilir. Amaç, modeli serbest terminale bırakmadan runtime evidence’ı güvenli ve ölçülebilir araçlarla sağlamaktır.</w:t>
      </w:r>
    </w:p>
    <w:p>
      <w:pPr>
        <w:numPr>
          <w:ilvl w:val="0"/>
          <w:numId w:val="10"/>
        </w:numPr>
        <w:spacing w:before="0" w:after="160" w:line="280" w:lineRule="auto"/>
        <w:ind w:left="720" w:hanging="360"/>
      </w:pPr>
      <w:r>
        <w:t>Bir repair agent, PDB gözlemlerini tiplendirilmiş ve bütçeli bir araç döngüsünde kullanabilir mi?</w:t>
      </w:r>
    </w:p>
    <w:p>
      <w:pPr>
        <w:numPr>
          <w:ilvl w:val="0"/>
          <w:numId w:val="10"/>
        </w:numPr>
        <w:spacing w:before="0" w:after="160" w:line="280" w:lineRule="auto"/>
        <w:ind w:left="720" w:hanging="360"/>
      </w:pPr>
      <w:r>
        <w:t>Runtime evidence, hipotezden patch’e giden yolu izlenebilir hale getirebilir mi?</w:t>
      </w:r>
    </w:p>
    <w:p>
      <w:pPr>
        <w:numPr>
          <w:ilvl w:val="0"/>
          <w:numId w:val="10"/>
        </w:numPr>
        <w:spacing w:before="0" w:after="160" w:line="280" w:lineRule="auto"/>
        <w:ind w:left="720" w:hanging="360"/>
      </w:pPr>
      <w:r>
        <w:t>Model çıktısı bağımsız ve fail-closed bir verifier ile güvenilir biçimde sınıflandırılabilir mi?</w:t>
      </w:r>
    </w:p>
    <w:p>
      <w:pPr>
        <w:numPr>
          <w:ilvl w:val="0"/>
          <w:numId w:val="10"/>
        </w:numPr>
        <w:spacing w:before="0" w:after="160" w:line="280" w:lineRule="auto"/>
        <w:ind w:left="720" w:hanging="360"/>
      </w:pPr>
      <w:r>
        <w:t>Aynı bilimsel çekirdek, yerel bir ürün yüzeyinde replay, cancellation ve apply-to-project sınırlarını koruyabilir mi?</w:t>
      </w:r>
    </w:p>
    <w:p>
      <w:pPr>
        <w:pStyle w:val="Heading1"/>
        <w:keepNext/>
      </w:pPr>
      <w:r>
        <w:t>Kapsam ve kapsam dışı sınırlar</w:t>
      </w:r>
    </w:p>
    <w:tbl>
      <w:tblPr>
        <w:tblStyle w:val="TableGrid"/>
        <w:tblW w:type="dxa" w:w="9360"/>
        <w:jc w:val="left"/>
        <w:tblLayout w:type="fixed"/>
        <w:tblLook w:firstColumn="1" w:firstRow="1" w:lastColumn="0" w:lastRow="0" w:noHBand="0" w:noVBand="1" w:val="04A0"/>
        <w:tblInd w:w="120" w:type="dxa"/>
        <w:tblCaption w:val="Kapsam ve sınırlar"/>
        <w:tblDescription w:val="Projenin kabul edilen teknik kapsamı ve açıkça kapsam dışı bırakılan alanlar."/>
      </w:tblPr>
      <w:tblGrid>
        <w:gridCol w:w="1800"/>
        <w:gridCol w:w="3720"/>
        <w:gridCol w:w="3840"/>
      </w:tblGrid>
      <w:tr>
        <w:trPr>
          <w:tblHeader w:val="true"/>
          <w:cantSplit/>
        </w:trPr>
        <w:tc>
          <w:tcPr>
            <w:tcW w:type="dxa" w:w="1800"/>
            <w:shd w:fill="F2F4F7"/>
            <w:vAlign w:val="center"/>
            <w:tcMar>
              <w:top w:w="80" w:type="dxa"/>
              <w:start w:w="120" w:type="dxa"/>
              <w:bottom w:w="80" w:type="dxa"/>
              <w:end w:w="120" w:type="dxa"/>
            </w:tcMar>
          </w:tcPr>
          <w:p>
            <w:pPr>
              <w:keepNext/>
              <w:spacing w:before="0" w:after="40" w:line="240" w:lineRule="auto"/>
            </w:pPr>
            <w:r>
              <w:rPr>
                <w:rFonts w:ascii="Calibri" w:hAnsi="Calibri" w:eastAsia="Calibri"/>
                <w:b/>
                <w:color w:val="0B2545"/>
                <w:sz w:val="18"/>
              </w:rPr>
              <w:t>Alan</w:t>
            </w:r>
          </w:p>
        </w:tc>
        <w:tc>
          <w:tcPr>
            <w:tcW w:type="dxa" w:w="3720"/>
            <w:shd w:fill="F2F4F7"/>
            <w:vAlign w:val="center"/>
            <w:tcMar>
              <w:top w:w="80" w:type="dxa"/>
              <w:start w:w="120" w:type="dxa"/>
              <w:bottom w:w="80" w:type="dxa"/>
              <w:end w:w="120" w:type="dxa"/>
            </w:tcMar>
          </w:tcPr>
          <w:p>
            <w:pPr>
              <w:keepNext/>
              <w:spacing w:before="0" w:after="40" w:line="240" w:lineRule="auto"/>
            </w:pPr>
            <w:r>
              <w:rPr>
                <w:rFonts w:ascii="Calibri" w:hAnsi="Calibri" w:eastAsia="Calibri"/>
                <w:b/>
                <w:color w:val="0B2545"/>
                <w:sz w:val="18"/>
              </w:rPr>
              <w:t>Kabul edilen kapsam</w:t>
            </w:r>
          </w:p>
        </w:tc>
        <w:tc>
          <w:tcPr>
            <w:tcW w:type="dxa" w:w="3840"/>
            <w:shd w:fill="F2F4F7"/>
            <w:vAlign w:val="center"/>
            <w:tcMar>
              <w:top w:w="80" w:type="dxa"/>
              <w:start w:w="120" w:type="dxa"/>
              <w:bottom w:w="80" w:type="dxa"/>
              <w:end w:w="120" w:type="dxa"/>
            </w:tcMar>
          </w:tcPr>
          <w:p>
            <w:pPr>
              <w:keepNext/>
              <w:spacing w:before="0" w:after="40" w:line="240" w:lineRule="auto"/>
            </w:pPr>
            <w:r>
              <w:rPr>
                <w:rFonts w:ascii="Calibri" w:hAnsi="Calibri" w:eastAsia="Calibri"/>
                <w:b/>
                <w:color w:val="0B2545"/>
                <w:sz w:val="18"/>
              </w:rPr>
              <w:t>Sınır</w:t>
            </w:r>
          </w:p>
        </w:tc>
      </w:tr>
      <w:tr>
        <w:trPr>
          <w:cantSplit/>
        </w:trPr>
        <w:tc>
          <w:tcPr>
            <w:tcW w:type="dxa" w:w="180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Dil/runtime</w:t>
            </w:r>
          </w:p>
        </w:tc>
        <w:tc>
          <w:tcPr>
            <w:tcW w:type="dxa" w:w="372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Python 3.11+ ve PDB</w:t>
            </w:r>
          </w:p>
        </w:tc>
        <w:tc>
          <w:tcPr>
            <w:tcW w:type="dxa" w:w="384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GDB, LLDB ve çok dilli debugger yok</w:t>
            </w:r>
          </w:p>
        </w:tc>
      </w:tr>
      <w:tr>
        <w:trPr>
          <w:cantSplit/>
        </w:trPr>
        <w:tc>
          <w:tcPr>
            <w:tcW w:type="dxa" w:w="180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Ajan mimarisi</w:t>
            </w:r>
          </w:p>
        </w:tc>
        <w:tc>
          <w:tcPr>
            <w:tcW w:type="dxa" w:w="372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Tek controller; typed directives ve tools</w:t>
            </w:r>
          </w:p>
        </w:tc>
        <w:tc>
          <w:tcPr>
            <w:tcW w:type="dxa" w:w="384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Multi-agent repair mimarisi yok</w:t>
            </w:r>
          </w:p>
        </w:tc>
      </w:tr>
      <w:tr>
        <w:trPr>
          <w:cantSplit/>
        </w:trPr>
        <w:tc>
          <w:tcPr>
            <w:tcW w:type="dxa" w:w="180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Çalıştırma</w:t>
            </w:r>
          </w:p>
        </w:tc>
        <w:tc>
          <w:tcPr>
            <w:tcW w:type="dxa" w:w="372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Trusted-local disposable workspace</w:t>
            </w:r>
          </w:p>
        </w:tc>
        <w:tc>
          <w:tcPr>
            <w:tcW w:type="dxa" w:w="384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Hostile-code sandbox olduğu iddia edilmez</w:t>
            </w:r>
          </w:p>
        </w:tc>
      </w:tr>
      <w:tr>
        <w:trPr>
          <w:cantSplit/>
        </w:trPr>
        <w:tc>
          <w:tcPr>
            <w:tcW w:type="dxa" w:w="180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Patch</w:t>
            </w:r>
          </w:p>
        </w:tc>
        <w:tc>
          <w:tcPr>
            <w:tcW w:type="dxa" w:w="372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Unified diff ve allowlisted path</w:t>
            </w:r>
          </w:p>
        </w:tc>
        <w:tc>
          <w:tcPr>
            <w:tcW w:type="dxa" w:w="384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Canonical fixture doğrudan düzenlenmez</w:t>
            </w:r>
          </w:p>
        </w:tc>
      </w:tr>
      <w:tr>
        <w:trPr>
          <w:cantSplit/>
        </w:trPr>
        <w:tc>
          <w:tcPr>
            <w:tcW w:type="dxa" w:w="180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Doğrulama</w:t>
            </w:r>
          </w:p>
        </w:tc>
        <w:tc>
          <w:tcPr>
            <w:tcW w:type="dxa" w:w="372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Bağımsız baseline, F2P, P2P, syntax, cleanup</w:t>
            </w:r>
          </w:p>
        </w:tc>
        <w:tc>
          <w:tcPr>
            <w:tcW w:type="dxa" w:w="384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Model öz-raporu başarı otoritesi değildir</w:t>
            </w:r>
          </w:p>
        </w:tc>
      </w:tr>
      <w:tr>
        <w:trPr>
          <w:cantSplit/>
        </w:trPr>
        <w:tc>
          <w:tcPr>
            <w:tcW w:type="dxa" w:w="18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Harici kampanya</w:t>
            </w:r>
          </w:p>
        </w:tc>
        <w:tc>
          <w:tcPr>
            <w:tcW w:type="dxa" w:w="372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Yalnız açık owner yetkisiyle</w:t>
            </w:r>
          </w:p>
        </w:tc>
        <w:tc>
          <w:tcPr>
            <w:tcW w:type="dxa" w:w="384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Kapanışta provider, Docker, WSL ve BugsInPy çalıştırılmadı</w:t>
            </w:r>
          </w:p>
        </w:tc>
      </w:tr>
    </w:tbl>
    <w:p>
      <w:pPr>
        <w:pStyle w:val="TableCitation"/>
      </w:pPr>
      <w:r>
        <w:t>Kaynak: AGENTS.md; README.md; docs/project-closeout.md.</w:t>
      </w:r>
    </w:p>
    <w:p>
      <w:pPr>
        <w:pStyle w:val="Heading1"/>
        <w:keepNext/>
      </w:pPr>
      <w:r>
        <w:t>Sistem mimarisi</w:t>
      </w:r>
    </w:p>
    <w:tbl>
      <w:tblPr>
        <w:tblStyle w:val="TableGrid"/>
        <w:tblW w:type="dxa" w:w="9360"/>
        <w:jc w:val="left"/>
        <w:tblLayout w:type="fixed"/>
        <w:tblLook w:firstColumn="1" w:firstRow="1" w:lastColumn="0" w:lastRow="0" w:noHBand="0" w:noVBand="1" w:val="04A0"/>
        <w:tblInd w:w="120" w:type="dxa"/>
        <w:tblCaption w:val="Mimari katmanlar"/>
        <w:tblDescription w:val="Üretim paketindeki ana katmanlar ve tek cümlelik sorumlulukları."/>
      </w:tblPr>
      <w:tblGrid>
        <w:gridCol w:w="2040"/>
        <w:gridCol w:w="7320"/>
      </w:tblGrid>
      <w:tr>
        <w:trPr>
          <w:tblHeader w:val="true"/>
          <w:cantSplit/>
        </w:trPr>
        <w:tc>
          <w:tcPr>
            <w:tcW w:type="dxa" w:w="2040"/>
            <w:shd w:fill="F2F4F7"/>
            <w:vAlign w:val="center"/>
            <w:tcMar>
              <w:top w:w="80" w:type="dxa"/>
              <w:start w:w="120" w:type="dxa"/>
              <w:bottom w:w="80" w:type="dxa"/>
              <w:end w:w="120" w:type="dxa"/>
            </w:tcMar>
          </w:tcPr>
          <w:p>
            <w:pPr>
              <w:spacing w:before="0" w:after="40" w:line="240" w:lineRule="auto"/>
            </w:pPr>
            <w:r>
              <w:rPr>
                <w:rFonts w:ascii="Calibri" w:hAnsi="Calibri" w:eastAsia="Calibri"/>
                <w:b/>
                <w:color w:val="0B2545"/>
                <w:sz w:val="18"/>
              </w:rPr>
              <w:t>Katman</w:t>
            </w:r>
          </w:p>
        </w:tc>
        <w:tc>
          <w:tcPr>
            <w:tcW w:type="dxa" w:w="7320"/>
            <w:shd w:fill="F2F4F7"/>
            <w:vAlign w:val="center"/>
            <w:tcMar>
              <w:top w:w="80" w:type="dxa"/>
              <w:start w:w="120" w:type="dxa"/>
              <w:bottom w:w="80" w:type="dxa"/>
              <w:end w:w="120" w:type="dxa"/>
            </w:tcMar>
          </w:tcPr>
          <w:p>
            <w:pPr>
              <w:spacing w:before="0" w:after="40" w:line="240" w:lineRule="auto"/>
            </w:pPr>
            <w:r>
              <w:rPr>
                <w:rFonts w:ascii="Calibri" w:hAnsi="Calibri" w:eastAsia="Calibri"/>
                <w:b/>
                <w:color w:val="0B2545"/>
                <w:sz w:val="18"/>
              </w:rPr>
              <w:t>Sorumluluk</w:t>
            </w:r>
          </w:p>
        </w:tc>
      </w:tr>
      <w:tr>
        <w:trPr>
          <w:cantSplit/>
        </w:trPr>
        <w:tc>
          <w:tcPr>
            <w:tcW w:type="dxa" w:w="204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agent</w:t>
            </w:r>
          </w:p>
        </w:tc>
        <w:tc>
          <w:tcPr>
            <w:tcW w:type="dxa" w:w="732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State machine, policy, budgets, hypothesis ledger, model directives, tool registry</w:t>
            </w:r>
          </w:p>
        </w:tc>
      </w:tr>
      <w:tr>
        <w:trPr>
          <w:cantSplit/>
        </w:trPr>
        <w:tc>
          <w:tcPr>
            <w:tcW w:type="dxa" w:w="204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runtime</w:t>
            </w:r>
          </w:p>
        </w:tc>
        <w:tc>
          <w:tcPr>
            <w:tcW w:type="dxa" w:w="732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Command runner, workspace, patcher, pytest runner, PDB protocol/session/worker</w:t>
            </w:r>
          </w:p>
        </w:tc>
      </w:tr>
      <w:tr>
        <w:trPr>
          <w:cantSplit/>
        </w:trPr>
        <w:tc>
          <w:tcPr>
            <w:tcW w:type="dxa" w:w="204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evaluation</w:t>
            </w:r>
          </w:p>
        </w:tc>
        <w:tc>
          <w:tcPr>
            <w:tcW w:type="dxa" w:w="732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Task schema, baseline, verifier, outcome taxonomy, live harness</w:t>
            </w:r>
          </w:p>
        </w:tc>
      </w:tr>
      <w:tr>
        <w:trPr>
          <w:cantSplit/>
        </w:trPr>
        <w:tc>
          <w:tcPr>
            <w:tcW w:type="dxa" w:w="204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events</w:t>
            </w:r>
          </w:p>
        </w:tc>
        <w:tc>
          <w:tcPr>
            <w:tcW w:type="dxa" w:w="732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Strict event schema, JSONL logging, replay ve golden trajectory sözleşmeleri</w:t>
            </w:r>
          </w:p>
        </w:tc>
      </w:tr>
      <w:tr>
        <w:trPr>
          <w:cantSplit/>
        </w:trPr>
        <w:tc>
          <w:tcPr>
            <w:tcW w:type="dxa" w:w="204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application</w:t>
            </w:r>
          </w:p>
        </w:tc>
        <w:tc>
          <w:tcPr>
            <w:tcW w:type="dxa" w:w="732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Session spec/result, worker boundary, journal, history, replay, local project</w:t>
            </w:r>
          </w:p>
        </w:tc>
      </w:tr>
      <w:tr>
        <w:trPr>
          <w:cantSplit/>
        </w:trPr>
        <w:tc>
          <w:tcPr>
            <w:tcW w:type="dxa" w:w="204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ui</w:t>
            </w:r>
          </w:p>
        </w:tc>
        <w:tc>
          <w:tcPr>
            <w:tcW w:type="dxa" w:w="732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Textual tabanlı Local Application V1 ve kullanıcı etkileşimleri</w:t>
            </w:r>
          </w:p>
        </w:tc>
      </w:tr>
      <w:tr>
        <w:trPr>
          <w:cantSplit/>
        </w:trPr>
        <w:tc>
          <w:tcPr>
            <w:tcW w:type="dxa" w:w="204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datasets/experiments</w:t>
            </w:r>
          </w:p>
        </w:tc>
        <w:tc>
          <w:tcPr>
            <w:tcW w:type="dxa" w:w="732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Curated fixtures, QuixBugs, lisans kapılı BugsInPy, R1–R6 ve Level-32 evidence</w:t>
            </w:r>
          </w:p>
        </w:tc>
      </w:tr>
    </w:tbl>
    <w:p>
      <w:pPr>
        <w:pStyle w:val="TableCitation"/>
      </w:pPr>
      <w:r>
        <w:t>Kaynak: agentic_debugger/; docs/architecture/local-application-v1.md.</w:t>
      </w:r>
    </w:p>
    <w:p>
      <w:pPr>
        <w:pStyle w:val="Heading2"/>
        <w:keepNext/>
      </w:pPr>
      <w:r>
        <w:t>Uçtan uca çalışma akışı</w:t>
      </w:r>
    </w:p>
    <w:p>
      <w:pPr>
        <w:numPr>
          <w:ilvl w:val="0"/>
          <w:numId w:val="11"/>
        </w:numPr>
        <w:spacing w:before="0" w:after="160" w:line="280" w:lineRule="auto"/>
        <w:ind w:left="720" w:hanging="360"/>
      </w:pPr>
      <w:r>
        <w:t>Task schema, izinli yollar, testler ve bütçeler doğrulanır.</w:t>
      </w:r>
    </w:p>
    <w:p>
      <w:pPr>
        <w:numPr>
          <w:ilvl w:val="0"/>
          <w:numId w:val="11"/>
        </w:numPr>
        <w:spacing w:before="0" w:after="160" w:line="280" w:lineRule="auto"/>
        <w:ind w:left="720" w:hanging="360"/>
      </w:pPr>
      <w:r>
        <w:t>Buggy baseline disposable workspace içinde üretilir.</w:t>
      </w:r>
    </w:p>
    <w:p>
      <w:pPr>
        <w:numPr>
          <w:ilvl w:val="0"/>
          <w:numId w:val="11"/>
        </w:numPr>
        <w:spacing w:before="0" w:after="160" w:line="280" w:lineRule="auto"/>
        <w:ind w:left="720" w:hanging="360"/>
      </w:pPr>
      <w:r>
        <w:t>Controller gözlemlerden hipotez kurar.</w:t>
      </w:r>
    </w:p>
    <w:p>
      <w:pPr>
        <w:numPr>
          <w:ilvl w:val="0"/>
          <w:numId w:val="11"/>
        </w:numPr>
        <w:spacing w:before="0" w:after="160" w:line="280" w:lineRule="auto"/>
        <w:ind w:left="720" w:hanging="360"/>
      </w:pPr>
      <w:r>
        <w:t>Politika izin verirse PDB stack, locals, next ve safe-eval kanıtı toplar.</w:t>
      </w:r>
    </w:p>
    <w:p>
      <w:pPr>
        <w:numPr>
          <w:ilvl w:val="0"/>
          <w:numId w:val="11"/>
        </w:numPr>
        <w:spacing w:before="0" w:after="160" w:line="280" w:lineRule="auto"/>
        <w:ind w:left="720" w:hanging="360"/>
      </w:pPr>
      <w:r>
        <w:t>Model unified diff üretir; patcher fail-closed uygular.</w:t>
      </w:r>
    </w:p>
    <w:p>
      <w:pPr>
        <w:numPr>
          <w:ilvl w:val="0"/>
          <w:numId w:val="11"/>
        </w:numPr>
        <w:spacing w:before="0" w:after="160" w:line="280" w:lineRule="auto"/>
        <w:ind w:left="720" w:hanging="360"/>
      </w:pPr>
      <w:r>
        <w:t>Verifier temiz kopyada baseline, candidate, F2P ve P2P çalıştırır.</w:t>
      </w:r>
    </w:p>
    <w:p>
      <w:pPr>
        <w:numPr>
          <w:ilvl w:val="0"/>
          <w:numId w:val="11"/>
        </w:numPr>
        <w:spacing w:before="0" w:after="160" w:line="280" w:lineRule="auto"/>
        <w:ind w:left="720" w:hanging="360"/>
      </w:pPr>
      <w:r>
        <w:t>Outcome ve replay kaydedilir; process ve workspace temizlenir.</w:t>
      </w:r>
    </w:p>
    <w:p>
      <w:pPr>
        <w:pStyle w:val="Heading1"/>
        <w:keepNext/>
      </w:pPr>
      <w:r>
        <w:t>Controller ve runtime sözleşmeleri</w:t>
      </w:r>
    </w:p>
    <w:p>
      <w:pPr>
        <w:pStyle w:val="Heading2"/>
        <w:keepNext/>
      </w:pPr>
      <w:r>
        <w:t>Durum makinesi</w:t>
      </w:r>
    </w:p>
    <w:p>
      <w:r>
        <w:t>Akış Reproduce → Understand → RuntimeEvidence → Patch → Validate → Done/Failed biçimindedir. Geçişler allowlist’tir; terminal durumlar açılamaz ve hatalı/stale directive başarı sayılmaz.</w:t>
      </w:r>
    </w:p>
    <w:p>
      <w:pPr>
        <w:pStyle w:val="Heading2"/>
        <w:keepNext/>
      </w:pPr>
      <w:r>
        <w:t>Hipotez ve bütçe</w:t>
      </w:r>
    </w:p>
    <w:p>
      <w:r>
        <w:t>Hypothesis ledger statement, confidence, status, evidence refs ve revision taşır. Patch, test, PDB, source ve active-hypothesis limitlerini controller policy uygular.</w:t>
      </w:r>
    </w:p>
    <w:p>
      <w:pPr>
        <w:pStyle w:val="Heading2"/>
        <w:keepNext/>
      </w:pPr>
      <w:r>
        <w:t>PDB sınırı</w:t>
      </w:r>
    </w:p>
    <w:p>
      <w:r>
        <w:t>PDB serbest terminal değildir. Protocol/session/worker yalnız start, stack, locals, step/next, safe eval ve stop’u kaydeder. Timeout, cancellation ve process-tree cleanup correctness’in parçasıdır.</w:t>
      </w:r>
    </w:p>
    <w:p>
      <w:pPr>
        <w:pStyle w:val="Heading2"/>
        <w:keepNext/>
      </w:pPr>
      <w:r>
        <w:t>Patch yaşam döngüsü</w:t>
      </w:r>
    </w:p>
    <w:p>
      <w:r>
        <w:t>Patch yalnız izinli path’lere uygulanır. Parse, authorization, apply, revert ve rollback ayrıdır. Verifier disposable kopya kullanır; canonical hash değişimi evaluator failure’dır.</w:t>
      </w:r>
    </w:p>
    <w:p>
      <w:pPr/>
      <w:r>
        <w:t>Model tarafından düzeltilebilir patch parse, allowed-path ve apply hataları, ham dosya ya da makine yolu sızdırmadan sınırlı ve sanitize edilmiş geri bildirimle controller döngüsüne dönebilir. Protocol, transport, containment, verifier ve cleanup failure’ları bu recoverable sınıfa alınmaz ve model başarısına dönüştürülmez.</w:t>
      </w:r>
    </w:p>
    <w:p>
      <w:pPr>
        <w:pStyle w:val="Heading1"/>
        <w:keepNext/>
      </w:pPr>
      <w:r>
        <w:t>Bağımsız verifier ve kanıt modeli</w:t>
      </w:r>
    </w:p>
    <w:p>
      <w:r>
        <w:t>Verifier controller’dan bağımsızdır. Önce orijinal failure’ı üretir; sonra patch, syntax, F2P, P2P, full suite, private check, timeout ve cleanup kayıtlarını oluşturur.</w:t>
      </w:r>
    </w:p>
    <w:tbl>
      <w:tblPr>
        <w:tblStyle w:val="TableGrid"/>
        <w:tblW w:type="dxa" w:w="9360"/>
        <w:jc w:val="left"/>
        <w:tblLayout w:type="fixed"/>
        <w:tblLook w:firstColumn="1" w:firstRow="1" w:lastColumn="0" w:lastRow="0" w:noHBand="0" w:noVBand="1" w:val="04A0"/>
        <w:tblInd w:w="120" w:type="dxa"/>
        <w:tblCaption w:val="Verifier outcome özeti"/>
        <w:tblDescription w:val="Bağımsız verifier tarafından kullanılan temel sonuç sınıfları."/>
      </w:tblPr>
      <w:tblGrid>
        <w:gridCol w:w="3000"/>
        <w:gridCol w:w="6360"/>
      </w:tblGrid>
      <w:tr>
        <w:trPr>
          <w:tblHeader w:val="true"/>
          <w:cantSplit/>
        </w:trPr>
        <w:tc>
          <w:tcPr>
            <w:tcW w:type="dxa" w:w="3000"/>
            <w:shd w:fill="F2F4F7"/>
            <w:vAlign w:val="center"/>
            <w:tcMar>
              <w:top w:w="80" w:type="dxa"/>
              <w:start w:w="120" w:type="dxa"/>
              <w:bottom w:w="80" w:type="dxa"/>
              <w:end w:w="120" w:type="dxa"/>
            </w:tcMar>
          </w:tcPr>
          <w:p>
            <w:pPr>
              <w:keepNext/>
              <w:spacing w:before="0" w:after="40" w:line="240" w:lineRule="auto"/>
            </w:pPr>
            <w:r>
              <w:rPr>
                <w:rFonts w:ascii="Calibri" w:hAnsi="Calibri" w:eastAsia="Calibri"/>
                <w:b/>
                <w:color w:val="0B2545"/>
                <w:sz w:val="18"/>
              </w:rPr>
              <w:t>Sonuç</w:t>
            </w:r>
          </w:p>
        </w:tc>
        <w:tc>
          <w:tcPr>
            <w:tcW w:type="dxa" w:w="6360"/>
            <w:shd w:fill="F2F4F7"/>
            <w:vAlign w:val="center"/>
            <w:tcMar>
              <w:top w:w="80" w:type="dxa"/>
              <w:start w:w="120" w:type="dxa"/>
              <w:bottom w:w="80" w:type="dxa"/>
              <w:end w:w="120" w:type="dxa"/>
            </w:tcMar>
          </w:tcPr>
          <w:p>
            <w:pPr>
              <w:keepNext/>
              <w:spacing w:before="0" w:after="40" w:line="240" w:lineRule="auto"/>
            </w:pPr>
            <w:r>
              <w:rPr>
                <w:rFonts w:ascii="Calibri" w:hAnsi="Calibri" w:eastAsia="Calibri"/>
                <w:b/>
                <w:color w:val="0B2545"/>
                <w:sz w:val="18"/>
              </w:rPr>
              <w:t>Anlam</w:t>
            </w:r>
          </w:p>
        </w:tc>
      </w:tr>
      <w:tr>
        <w:trPr>
          <w:cantSplit/>
        </w:trPr>
        <w:tc>
          <w:tcPr>
            <w:tcW w:type="dxa" w:w="300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RESOLVED</w:t>
            </w:r>
          </w:p>
        </w:tc>
        <w:tc>
          <w:tcPr>
            <w:tcW w:type="dxa" w:w="636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Baseline geçerli; F2P geçti; gerekli P2P/suite koşulları sağlandı</w:t>
            </w:r>
          </w:p>
        </w:tc>
      </w:tr>
      <w:tr>
        <w:trPr>
          <w:cantSplit/>
        </w:trPr>
        <w:tc>
          <w:tcPr>
            <w:tcW w:type="dxa" w:w="300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BREAKING_RESOLVED</w:t>
            </w:r>
          </w:p>
        </w:tc>
        <w:tc>
          <w:tcPr>
            <w:tcW w:type="dxa" w:w="636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Hedef hata düzeldi fakat regression oluştu</w:t>
            </w:r>
          </w:p>
        </w:tc>
      </w:tr>
      <w:tr>
        <w:trPr>
          <w:cantSplit/>
        </w:trPr>
        <w:tc>
          <w:tcPr>
            <w:tcW w:type="dxa" w:w="300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UNRESOLVED</w:t>
            </w:r>
          </w:p>
        </w:tc>
        <w:tc>
          <w:tcPr>
            <w:tcW w:type="dxa" w:w="636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Aday hedef failure’ı gidermedi</w:t>
            </w:r>
          </w:p>
        </w:tc>
      </w:tr>
      <w:tr>
        <w:trPr>
          <w:cantSplit/>
        </w:trPr>
        <w:tc>
          <w:tcPr>
            <w:tcW w:type="dxa" w:w="300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BASELINE_INVALID</w:t>
            </w:r>
          </w:p>
        </w:tc>
        <w:tc>
          <w:tcPr>
            <w:tcW w:type="dxa" w:w="636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Görev başlangıç sözleşmesi kanıtlanamadı</w:t>
            </w:r>
          </w:p>
        </w:tc>
      </w:tr>
      <w:tr>
        <w:trPr>
          <w:cantSplit/>
        </w:trPr>
        <w:tc>
          <w:tcPr>
            <w:tcW w:type="dxa" w:w="300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INFRASTRUCTURE_BLOCKED</w:t>
            </w:r>
          </w:p>
        </w:tc>
        <w:tc>
          <w:tcPr>
            <w:tcW w:type="dxa" w:w="636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Çevre veya execution boundary semantik sonucu engelledi</w:t>
            </w:r>
          </w:p>
        </w:tc>
      </w:tr>
      <w:tr>
        <w:trPr>
          <w:cantSplit/>
        </w:trPr>
        <w:tc>
          <w:tcPr>
            <w:tcW w:type="dxa" w:w="30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EVALUATOR_INVARIANT_FAILED</w:t>
            </w:r>
          </w:p>
        </w:tc>
        <w:tc>
          <w:tcPr>
            <w:tcW w:type="dxa" w:w="636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Verifier’ın kendi güven sözleşmesi bozuldu</w:t>
            </w:r>
          </w:p>
        </w:tc>
      </w:tr>
    </w:tbl>
    <w:p>
      <w:pPr>
        <w:pStyle w:val="TableCitation"/>
      </w:pPr>
      <w:r>
        <w:t>Kaynak: agentic_debugger/evaluation/verifier.py ve outcome_taxonomy.py.</w:t>
      </w:r>
    </w:p>
    <w:p>
      <w:pPr>
        <w:pStyle w:val="Heading1"/>
        <w:keepNext/>
      </w:pPr>
      <w:r>
        <w:t>Local Application V1</w:t>
      </w:r>
    </w:p>
    <w:p>
      <w:pPr>
        <w:keepNext/>
      </w:pPr>
      <w:r>
        <w:t>Textual tabanlı yerel uygulama, bilimsel çekirdeğin ayrı bir kopyası değildir. Aynı session, controller, runtime, independent verifier ve event sözleşmelerini kullanır. Ürün katmanı task ve model seçimi, provider bağlantıları, readiness, canlı durum, cancellation, retry, history, replay, Evidence Review ve Apply To Project akışlarını sunar.</w:t>
      </w:r>
    </w:p>
    <w:tbl>
      <w:tblPr>
        <w:tblStyle w:val="TableGrid"/>
        <w:tblW w:type="dxa" w:w="9360"/>
        <w:jc w:val="left"/>
        <w:tblLayout w:type="fixed"/>
        <w:tblLook w:firstColumn="1" w:firstRow="1" w:lastColumn="0" w:lastRow="0" w:noHBand="0" w:noVBand="1" w:val="04A0"/>
        <w:tblInd w:w="120" w:type="dxa"/>
        <w:tblCaption w:val="Local Application çalışma yüzeyleri"/>
        <w:tblDescription w:val="Yerel uygulamanın desteklediği session kaynakları ve güven sınırları."/>
      </w:tblPr>
      <w:tblGrid>
        <w:gridCol w:w="1800"/>
        <w:gridCol w:w="3480"/>
        <w:gridCol w:w="4080"/>
      </w:tblGrid>
      <w:tr>
        <w:trPr>
          <w:tblHeader w:val="true"/>
          <w:cantSplit/>
        </w:trPr>
        <w:tc>
          <w:tcPr>
            <w:tcW w:type="dxa" w:w="1800"/>
            <w:shd w:fill="F2F4F7"/>
            <w:vAlign w:val="center"/>
            <w:tcMar>
              <w:top w:w="80" w:type="dxa"/>
              <w:start w:w="120" w:type="dxa"/>
              <w:bottom w:w="80" w:type="dxa"/>
              <w:end w:w="120" w:type="dxa"/>
            </w:tcMar>
          </w:tcPr>
          <w:p>
            <w:pPr>
              <w:keepNext/>
              <w:spacing w:before="0" w:after="40" w:line="240" w:lineRule="auto"/>
            </w:pPr>
            <w:r>
              <w:rPr>
                <w:rFonts w:ascii="Calibri" w:hAnsi="Calibri" w:eastAsia="Calibri"/>
                <w:b/>
                <w:color w:val="0B2545"/>
                <w:sz w:val="18"/>
              </w:rPr>
              <w:t>Yüzey</w:t>
            </w:r>
          </w:p>
        </w:tc>
        <w:tc>
          <w:tcPr>
            <w:tcW w:type="dxa" w:w="3480"/>
            <w:shd w:fill="F2F4F7"/>
            <w:vAlign w:val="center"/>
            <w:tcMar>
              <w:top w:w="80" w:type="dxa"/>
              <w:start w:w="120" w:type="dxa"/>
              <w:bottom w:w="80" w:type="dxa"/>
              <w:end w:w="120" w:type="dxa"/>
            </w:tcMar>
          </w:tcPr>
          <w:p>
            <w:pPr>
              <w:keepNext/>
              <w:spacing w:before="0" w:after="40" w:line="240" w:lineRule="auto"/>
            </w:pPr>
            <w:r>
              <w:rPr>
                <w:rFonts w:ascii="Calibri" w:hAnsi="Calibri" w:eastAsia="Calibri"/>
                <w:b/>
                <w:color w:val="0B2545"/>
                <w:sz w:val="18"/>
              </w:rPr>
              <w:t>Davranış</w:t>
            </w:r>
          </w:p>
        </w:tc>
        <w:tc>
          <w:tcPr>
            <w:tcW w:type="dxa" w:w="4080"/>
            <w:shd w:fill="F2F4F7"/>
            <w:vAlign w:val="center"/>
            <w:tcMar>
              <w:top w:w="80" w:type="dxa"/>
              <w:start w:w="120" w:type="dxa"/>
              <w:bottom w:w="80" w:type="dxa"/>
              <w:end w:w="120" w:type="dxa"/>
            </w:tcMar>
          </w:tcPr>
          <w:p>
            <w:pPr>
              <w:keepNext/>
              <w:spacing w:before="0" w:after="40" w:line="240" w:lineRule="auto"/>
            </w:pPr>
            <w:r>
              <w:rPr>
                <w:rFonts w:ascii="Calibri" w:hAnsi="Calibri" w:eastAsia="Calibri"/>
                <w:b/>
                <w:color w:val="0B2545"/>
                <w:sz w:val="18"/>
              </w:rPr>
              <w:t>Güven sınırı</w:t>
            </w:r>
          </w:p>
        </w:tc>
      </w:tr>
      <w:tr>
        <w:trPr>
          <w:cantSplit/>
        </w:trPr>
        <w:tc>
          <w:tcPr>
            <w:tcW w:type="dxa" w:w="180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Deterministic offline</w:t>
            </w:r>
          </w:p>
        </w:tc>
        <w:tc>
          <w:tcPr>
            <w:tcW w:type="dxa" w:w="348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Catalog plan ile provider’sız yürütme</w:t>
            </w:r>
          </w:p>
        </w:tc>
        <w:tc>
          <w:tcPr>
            <w:tcW w:type="dxa" w:w="408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Demo/ürün altyapısı; model kabiliyeti iddiası yok</w:t>
            </w:r>
          </w:p>
        </w:tc>
      </w:tr>
      <w:tr>
        <w:trPr>
          <w:cantSplit/>
        </w:trPr>
        <w:tc>
          <w:tcPr>
            <w:tcW w:type="dxa" w:w="180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Configured command</w:t>
            </w:r>
          </w:p>
        </w:tc>
        <w:tc>
          <w:tcPr>
            <w:tcW w:type="dxa" w:w="348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JSONL stdin/stdout model transport</w:t>
            </w:r>
          </w:p>
        </w:tc>
        <w:tc>
          <w:tcPr>
            <w:tcW w:type="dxa" w:w="408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Boyut, timeout, identity ve cancellation kontrolleri</w:t>
            </w:r>
          </w:p>
        </w:tc>
      </w:tr>
      <w:tr>
        <w:trPr>
          <w:cantSplit/>
        </w:trPr>
        <w:tc>
          <w:tcPr>
            <w:tcW w:type="dxa" w:w="180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Ollama Cloud</w:t>
            </w:r>
          </w:p>
        </w:tc>
        <w:tc>
          <w:tcPr>
            <w:tcW w:type="dxa" w:w="348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Kabul edilmiş configured-command adapter</w:t>
            </w:r>
          </w:p>
        </w:tc>
        <w:tc>
          <w:tcPr>
            <w:tcW w:type="dxa" w:w="408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Açık model/route kimliği; fallback yok</w:t>
            </w:r>
          </w:p>
        </w:tc>
      </w:tr>
      <w:tr>
        <w:trPr>
          <w:cantSplit/>
        </w:trPr>
        <w:tc>
          <w:tcPr>
            <w:tcW w:type="dxa" w:w="180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Capability ladder</w:t>
            </w:r>
          </w:p>
        </w:tc>
        <w:tc>
          <w:tcPr>
            <w:tcW w:type="dxa" w:w="348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Donmuş PDB task sırası</w:t>
            </w:r>
          </w:p>
        </w:tc>
        <w:tc>
          <w:tcPr>
            <w:tcW w:type="dxa" w:w="408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Treatment metadata ve sıra korunur</w:t>
            </w:r>
          </w:p>
        </w:tc>
      </w:tr>
      <w:tr>
        <w:trPr>
          <w:cantSplit/>
        </w:trPr>
        <w:tc>
          <w:tcPr>
            <w:tcW w:type="dxa" w:w="180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Local Project Debug</w:t>
            </w:r>
          </w:p>
        </w:tc>
        <w:tc>
          <w:tcPr>
            <w:tcW w:type="dxa" w:w="3480"/>
            <w:vAlign w:val="center"/>
            <w:tcMar>
              <w:top w:w="80" w:type="dxa"/>
              <w:start w:w="120" w:type="dxa"/>
              <w:bottom w:w="80" w:type="dxa"/>
              <w:end w:w="120" w:type="dxa"/>
            </w:tcMar>
          </w:tcPr>
          <w:p>
            <w:r>
              <w:t>Kullanıcı repo’sunda arşivlenmiş dört bağımsız disposable workspace</w:t>
            </w:r>
          </w:p>
        </w:tc>
        <w:tc>
          <w:tcPr>
            <w:tcW w:type="dxa" w:w="4080"/>
            <w:vAlign w:val="center"/>
            <w:tcMar>
              <w:top w:w="80" w:type="dxa"/>
              <w:start w:w="120" w:type="dxa"/>
              <w:bottom w:w="80" w:type="dxa"/>
              <w:end w:w="120" w:type="dxa"/>
            </w:tcMar>
          </w:tcPr>
          <w:p>
            <w:r>
              <w:t>Baseline failure/regression, ayrı F2P/P2P patch uygulaması, sertifika ve apply-time Git kapıları</w:t>
            </w:r>
          </w:p>
        </w:tc>
      </w:tr>
      <w:tr>
        <w:trPr>
          <w:cantSplit/>
        </w:trPr>
        <w:tc>
          <w:tcPr>
            <w:tcW w:type="dxa" w:w="18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Provider platformu</w:t>
            </w:r>
          </w:p>
        </w:tc>
        <w:tc>
          <w:tcPr>
            <w:tcW w:type="dxa" w:w="348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Ollama Cloud, OpenCode Go, CommandCode GOAT ve configured profiller için registry, bağlantı yönetimi ve keşif</w:t>
            </w:r>
          </w:p>
        </w:tc>
        <w:tc>
          <w:tcPr>
            <w:tcW w:type="dxa" w:w="408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Route, protocol ve model provenance açık; credential kaydı ve sessiz fallback yok</w:t>
            </w:r>
          </w:p>
        </w:tc>
      </w:tr>
      <w:tr>
        <w:trPr>
          <w:cantSplit/>
        </w:trPr>
        <w:tc>
          <w:tcPr>
            <w:tcW w:type="dxa" w:w="18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Session Setup / Retry</w:t>
            </w:r>
          </w:p>
        </w:tc>
        <w:tc>
          <w:tcPr>
            <w:tcW w:type="dxa" w:w="348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Tek readiness otoritesi; journal-linked manuel retry ve sınırlı auto-retry</w:t>
            </w:r>
          </w:p>
        </w:tc>
        <w:tc>
          <w:tcPr>
            <w:tcW w:type="dxa" w:w="408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Her deneme ayrı session kanıtıdır; retry doğruluk üretmez</w:t>
            </w:r>
          </w:p>
        </w:tc>
      </w:tr>
      <w:tr>
        <w:trPr>
          <w:cantSplit/>
        </w:trPr>
        <w:tc>
          <w:tcPr>
            <w:tcW w:type="dxa" w:w="18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Live workspace</w:t>
            </w:r>
          </w:p>
        </w:tc>
        <w:tc>
          <w:tcPr>
            <w:tcW w:type="dxa" w:w="348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Çalışan adım, tool/PDB/verifier aktivitesi, efor özeti ve zaman tüketimi</w:t>
            </w:r>
          </w:p>
        </w:tc>
        <w:tc>
          <w:tcPr>
            <w:tcW w:type="dxa" w:w="408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UI projection journal ve runtime kanıtını özetler; verifier yerine geçmez</w:t>
            </w:r>
          </w:p>
        </w:tc>
      </w:tr>
      <w:tr>
        <w:trPr>
          <w:cantSplit/>
        </w:trPr>
        <w:tc>
          <w:tcPr>
            <w:tcW w:type="dxa" w:w="18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History / Replay</w:t>
            </w:r>
          </w:p>
        </w:tc>
        <w:tc>
          <w:tcPr>
            <w:tcW w:type="dxa" w:w="348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Immutable journal’dan read-only reconstruction</w:t>
            </w:r>
          </w:p>
        </w:tc>
        <w:tc>
          <w:tcPr>
            <w:tcW w:type="dxa" w:w="408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Replay provider çağırmaz ve doğruluk üretmez</w:t>
            </w:r>
          </w:p>
        </w:tc>
      </w:tr>
    </w:tbl>
    <w:p>
      <w:pPr>
        <w:pStyle w:val="TableCitation"/>
      </w:pPr>
      <w:r>
        <w:t>Kaynak: docs/architecture/local-application-v1.md; agentic_debugger/application/; agentic_debugger/ui/.</w:t>
      </w:r>
    </w:p>
    <w:p>
      <w:pPr>
        <w:pStyle w:val="Heading2"/>
      </w:pPr>
      <w:r>
        <w:t>Provider bağlantıları ve route sözleşmesi</w:t>
      </w:r>
    </w:p>
    <w:p>
      <w:pPr/>
      <w:r>
        <w:t>Model-provider platformu Ollama Cloud, OpenCode Go, CommandCode GOAT ve configured profilleri tek registry altında çözer. Uygulama bağlantı profillerini yönetebilir, availability durumunu credential içeriğini okumadan denetler ve desteklenen katalogları açık provider kimliğiyle sunar.</w:t>
      </w:r>
    </w:p>
    <w:p>
      <w:pPr/>
      <w:r>
        <w:t>Direct API ve legacy CLI yolları ayrı, provenance-visible route’lardır; runtime fallback yoktur. Protocol, provider model kimliği ve endpoint credential içermeden event’e bağlanır. Bu bağlantı katmanı yeni bir bilimsel model yeterlilik sonucu değildir; canlı kampanya ayrıca yetkilendirilmelidir.</w:t>
      </w:r>
    </w:p>
    <w:p>
      <w:pPr>
        <w:pStyle w:val="Heading2"/>
      </w:pPr>
      <w:r>
        <w:t>Oturum kurulumu, retry ve efor görünürlüğü</w:t>
      </w:r>
    </w:p>
    <w:p>
      <w:pPr/>
      <w:r>
        <w:t>Curated, Local Project ve capability-ladder başlangıçları tek Session Setup yüzeyinde birleşir. Run düğmesi, readiness chip’leri, status satırı ve pre-flight paneli aynı türetilmiş SessionReadiness nesnesinden beslendiği için birbiriyle çelişmez.</w:t>
      </w:r>
    </w:p>
    <w:p>
      <w:pPr/>
      <w:r>
        <w:t>Manuel retry ve transient Local Project failure’ları için sınırlı auto-retry, retry_of_session_id ile journal’a bağlanır; kalan bütçe zincir boyunca taşınır. Model istekleri, directives, tool çağrıları, PDB observations, patches, states ve verifier outcome ‘what the agent tried’ görünümünde ve güvenli session export’unda özetlenir.</w:t>
      </w:r>
    </w:p>
    <w:p>
      <w:pPr>
        <w:pStyle w:val="Heading2"/>
      </w:pPr>
      <w:r>
        <w:t>Kanıt odaklı terminal deneyimi</w:t>
      </w:r>
    </w:p>
    <w:p>
      <w:pPr/>
      <w:r>
        <w:t>Welcome, history archive, model picker, Local Project pre-flight ve live workspace ortak forensic console tasarım sistemini kullanır. Arayüz 80×24 compact terminalde çalışır; geniş terminallerde ana içeriği germek yerine ek provenance ve operasyon bağlamı gösterir.</w:t>
      </w:r>
    </w:p>
    <w:p>
      <w:pPr/>
      <w:r>
        <w:t>Live execution trace; çalışan adımı, runtime/tool/PDB/verifier aktivitesini ve zaman tüketimini gösterir. Allocation, measured duration ve toplam tüketim ayrıdır. Yeşil başarı gösterimi yalnız independent verifier tarafından doğrulanmış outcome için kullanılır.</w:t>
      </w:r>
    </w:p>
    <w:p>
      <w:pPr>
        <w:pStyle w:val="TableCitation"/>
      </w:pPr>
      <w:r>
        <w:t>Kaynak: docs/architecture/model-providers-v1.md; DESIGN.md; agentic_debugger/application/; agentic_debugger/ui/; Git e2741da, 2c4fbea, deb0adf, 808e5cb, c801237, 6de74b5 ve 206dc5e.</w:t>
      </w:r>
    </w:p>
    <w:p>
      <w:pPr>
        <w:pStyle w:val="Heading2"/>
      </w:pPr>
      <w:r>
        <w:t>Local Project doğrulama ve uygulama zinciri</w:t>
      </w:r>
    </w:p>
    <w:p>
      <w:pPr/>
      <w:r>
        <w:t>Local Project verifier, controller sonucuna güvenmez. Orijinal failure, baseline regression, patched F2P ve patched P2P komutlarını dört ayrı temiz export üzerinde çalıştırır. Patch, F2P ve P2P kopyalarına bağımsız uygulanır; süreçler ortak dosya sistemi durumu paylaşmaz.</w:t>
      </w:r>
    </w:p>
    <w:p>
      <w:pPr/>
      <w:r>
        <w:t>Verification certificate; task kimliği, session kimliği, canonical task-spec SHA-256, source HEAD, patch SHA-256, outcome ve cleanup kanıtını bağlar. Apply To Project aynı bağları ve temiz Git durumunu git apply işleminden hemen önce yeniden denetler. Harici eşzamanlı Git yazıcılarını kilitleyen bir repository lock bulunmadığı açık bir trusted-local sınırlamadır.</w:t>
      </w:r>
    </w:p>
    <w:p>
      <w:pPr/>
      <w:r>
        <w:t>Evidence Review, Reproduce → Inspect → Diagnose → Change → Verify → Cleanup zincirini aynı session projection’ından üretir. Controller tanısı bir claim’dir. Yalnız bağımsız verifier sonucu doğruluk otoritesidir. Replay yeni doğruluk üretmez; kaydedilmiş prefix’i gösterir.</w:t>
      </w:r>
    </w:p>
    <w:p>
      <w:pPr>
        <w:pStyle w:val="TableCitation"/>
      </w:pPr>
      <w:r>
        <w:t>Kaynak: agentic_debugger/evaluation/local_project_verifier.py; agentic_debugger/application/case_brief.py; agentic_debugger/application/local_project.py.</w:t>
      </w:r>
    </w:p>
    <w:p>
      <w:pPr>
        <w:pStyle w:val="Heading1"/>
        <w:keepNext/>
      </w:pPr>
      <w:r>
        <w:t>Veri kümeleri ve değerlendirme altyapısı</w:t>
      </w:r>
    </w:p>
    <w:tbl>
      <w:tblPr>
        <w:tblStyle w:val="TableGrid"/>
        <w:tblW w:type="dxa" w:w="9360"/>
        <w:jc w:val="left"/>
        <w:tblLayout w:type="fixed"/>
        <w:tblLook w:firstColumn="1" w:firstRow="1" w:lastColumn="0" w:lastRow="0" w:noHBand="0" w:noVBand="1" w:val="04A0"/>
        <w:tblInd w:w="120" w:type="dxa"/>
        <w:tblCaption w:val="Veri kaynakları"/>
        <w:tblDescription w:val="Projenin kullandığı veri kaynakları, amaçları ve güncel yürütme durumları."/>
      </w:tblPr>
      <w:tblGrid>
        <w:gridCol w:w="1800"/>
        <w:gridCol w:w="4320"/>
        <w:gridCol w:w="3240"/>
      </w:tblGrid>
      <w:tr>
        <w:trPr>
          <w:tblHeader w:val="true"/>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eastAsia="Calibri"/>
                <w:b/>
                <w:color w:val="0B2545"/>
                <w:sz w:val="18"/>
              </w:rPr>
              <w:t>Kaynak</w:t>
            </w:r>
          </w:p>
        </w:tc>
        <w:tc>
          <w:tcPr>
            <w:tcW w:type="dxa" w:w="4320"/>
            <w:shd w:fill="F2F4F7"/>
            <w:vAlign w:val="center"/>
            <w:tcMar>
              <w:top w:w="80" w:type="dxa"/>
              <w:start w:w="120" w:type="dxa"/>
              <w:bottom w:w="80" w:type="dxa"/>
              <w:end w:w="120" w:type="dxa"/>
            </w:tcMar>
          </w:tcPr>
          <w:p>
            <w:pPr>
              <w:spacing w:before="0" w:after="40" w:line="240" w:lineRule="auto"/>
            </w:pPr>
            <w:r>
              <w:rPr>
                <w:rFonts w:ascii="Calibri" w:hAnsi="Calibri" w:eastAsia="Calibri"/>
                <w:b/>
                <w:color w:val="0B2545"/>
                <w:sz w:val="18"/>
              </w:rPr>
              <w:t>Kullanım</w:t>
            </w:r>
          </w:p>
        </w:tc>
        <w:tc>
          <w:tcPr>
            <w:tcW w:type="dxa" w:w="3240"/>
            <w:shd w:fill="F2F4F7"/>
            <w:vAlign w:val="center"/>
            <w:tcMar>
              <w:top w:w="80" w:type="dxa"/>
              <w:start w:w="120" w:type="dxa"/>
              <w:bottom w:w="80" w:type="dxa"/>
              <w:end w:w="120" w:type="dxa"/>
            </w:tcMar>
          </w:tcPr>
          <w:p>
            <w:pPr>
              <w:spacing w:before="0" w:after="40" w:line="240" w:lineRule="auto"/>
            </w:pPr>
            <w:r>
              <w:rPr>
                <w:rFonts w:ascii="Calibri" w:hAnsi="Calibri" w:eastAsia="Calibri"/>
                <w:b/>
                <w:color w:val="0B2545"/>
                <w:sz w:val="18"/>
              </w:rPr>
              <w:t>Durum</w:t>
            </w:r>
          </w:p>
        </w:tc>
      </w:tr>
      <w:tr>
        <w:trPr>
          <w:cantSplit/>
        </w:trPr>
        <w:tc>
          <w:tcPr>
            <w:tcW w:type="dxa" w:w="18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Curated</w:t>
            </w:r>
          </w:p>
        </w:tc>
        <w:tc>
          <w:tcPr>
            <w:tcW w:type="dxa" w:w="432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Beş küçük Python/pytest architecture fixture</w:t>
            </w:r>
          </w:p>
        </w:tc>
        <w:tc>
          <w:tcPr>
            <w:tcW w:type="dxa" w:w="324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Repo içinde; deterministik demo ve testler</w:t>
            </w:r>
          </w:p>
        </w:tc>
      </w:tr>
      <w:tr>
        <w:trPr>
          <w:cantSplit/>
        </w:trPr>
        <w:tc>
          <w:tcPr>
            <w:tcW w:type="dxa" w:w="18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QuixBugs</w:t>
            </w:r>
          </w:p>
        </w:tc>
        <w:tc>
          <w:tcPr>
            <w:tcW w:type="dxa" w:w="432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Adapter, manifest, containment ve gold baseline</w:t>
            </w:r>
          </w:p>
        </w:tc>
        <w:tc>
          <w:tcPr>
            <w:tcW w:type="dxa" w:w="324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8/8 gold altyapı kanıtı; model sonucu değildir</w:t>
            </w:r>
          </w:p>
        </w:tc>
      </w:tr>
      <w:tr>
        <w:trPr>
          <w:cantSplit/>
        </w:trPr>
        <w:tc>
          <w:tcPr>
            <w:tcW w:type="dxa" w:w="18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SWE-rebench Level-32</w:t>
            </w:r>
          </w:p>
        </w:tc>
        <w:tc>
          <w:tcPr>
            <w:tcW w:type="dxa" w:w="432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Repository-scale candidate-artifact ve official test sınırı</w:t>
            </w:r>
          </w:p>
        </w:tc>
        <w:tc>
          <w:tcPr>
            <w:tcW w:type="dxa" w:w="324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Repaired treatment ve 15-model matrix kapalı</w:t>
            </w:r>
          </w:p>
        </w:tc>
      </w:tr>
      <w:tr>
        <w:trPr>
          <w:cantSplit/>
        </w:trPr>
        <w:tc>
          <w:tcPr>
            <w:tcW w:type="dxa" w:w="180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BugsInPy</w:t>
            </w:r>
          </w:p>
        </w:tc>
        <w:tc>
          <w:tcPr>
            <w:tcW w:type="dxa" w:w="432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Metadata, preflight ve WSL adapter tasarımı</w:t>
            </w:r>
          </w:p>
        </w:tc>
        <w:tc>
          <w:tcPr>
            <w:tcW w:type="dxa" w:w="324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License-gated; source acquisition ve execution yapılmadı</w:t>
            </w:r>
          </w:p>
        </w:tc>
      </w:tr>
      <w:tr>
        <w:trPr>
          <w:cantSplit/>
        </w:trPr>
        <w:tc>
          <w:tcPr>
            <w:tcW w:type="dxa" w:w="18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RAG / preference</w:t>
            </w:r>
          </w:p>
        </w:tc>
        <w:tc>
          <w:tcPr>
            <w:tcW w:type="dxa" w:w="432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Corpus, retrieval, comparison ve exporter altyapısı</w:t>
            </w:r>
          </w:p>
        </w:tc>
        <w:tc>
          <w:tcPr>
            <w:tcW w:type="dxa" w:w="324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S4 correctness NOT_EVALUATED; DPO yeni kampanya değil</w:t>
            </w:r>
          </w:p>
        </w:tc>
      </w:tr>
    </w:tbl>
    <w:p>
      <w:pPr>
        <w:pStyle w:val="TableCitation"/>
      </w:pPr>
      <w:r>
        <w:t>Kaynak: docs/results-index.md; research/; agentic_debugger/datasets/.</w:t>
      </w:r>
    </w:p>
    <w:p>
      <w:pPr>
        <w:pStyle w:val="Heading1"/>
        <w:keepNext/>
      </w:pPr>
      <w:r>
        <w:t>Bilimsel ve deneysel sonuçlar</w:t>
      </w:r>
    </w:p>
    <w:tbl>
      <w:tblPr>
        <w:tblStyle w:val="TableGrid"/>
        <w:tblW w:type="dxa" w:w="9360"/>
        <w:jc w:val="left"/>
        <w:tblLayout w:type="fixed"/>
        <w:tblLook w:firstColumn="1" w:firstRow="1" w:lastColumn="0" w:lastRow="0" w:noHBand="0" w:noVBand="1" w:val="04A0"/>
        <w:tblInd w:w="120" w:type="dxa"/>
        <w:tblCaption w:val="Kabul edilen deney sonuçları"/>
        <w:tblDescription w:val="Projenin kapanışında kabul edilen ölçümler ve aşırı yorumlamayı engelleyen niteleyiciler."/>
      </w:tblPr>
      <w:tblGrid>
        <w:gridCol w:w="1740"/>
        <w:gridCol w:w="4320"/>
        <w:gridCol w:w="3300"/>
      </w:tblGrid>
      <w:tr>
        <w:trPr>
          <w:tblHeader w:val="true"/>
          <w:cantSplit/>
        </w:trPr>
        <w:tc>
          <w:tcPr>
            <w:tcW w:type="dxa" w:w="1740"/>
            <w:shd w:fill="F2F4F7"/>
            <w:vAlign w:val="center"/>
            <w:tcMar>
              <w:top w:w="80" w:type="dxa"/>
              <w:start w:w="120" w:type="dxa"/>
              <w:bottom w:w="80" w:type="dxa"/>
              <w:end w:w="120" w:type="dxa"/>
            </w:tcMar>
          </w:tcPr>
          <w:p>
            <w:pPr>
              <w:spacing w:before="0" w:after="40" w:line="240" w:lineRule="auto"/>
            </w:pPr>
            <w:r>
              <w:rPr>
                <w:rFonts w:ascii="Calibri" w:hAnsi="Calibri" w:eastAsia="Calibri"/>
                <w:b/>
                <w:color w:val="0B2545"/>
                <w:sz w:val="18"/>
              </w:rPr>
              <w:t>Çalışma</w:t>
            </w:r>
          </w:p>
        </w:tc>
        <w:tc>
          <w:tcPr>
            <w:tcW w:type="dxa" w:w="4320"/>
            <w:shd w:fill="F2F4F7"/>
            <w:vAlign w:val="center"/>
            <w:tcMar>
              <w:top w:w="80" w:type="dxa"/>
              <w:start w:w="120" w:type="dxa"/>
              <w:bottom w:w="80" w:type="dxa"/>
              <w:end w:w="120" w:type="dxa"/>
            </w:tcMar>
          </w:tcPr>
          <w:p>
            <w:pPr>
              <w:spacing w:before="0" w:after="40" w:line="240" w:lineRule="auto"/>
            </w:pPr>
            <w:r>
              <w:rPr>
                <w:rFonts w:ascii="Calibri" w:hAnsi="Calibri" w:eastAsia="Calibri"/>
                <w:b/>
                <w:color w:val="0B2545"/>
                <w:sz w:val="18"/>
              </w:rPr>
              <w:t>Ölçülen sonuç</w:t>
            </w:r>
          </w:p>
        </w:tc>
        <w:tc>
          <w:tcPr>
            <w:tcW w:type="dxa" w:w="3300"/>
            <w:shd w:fill="F2F4F7"/>
            <w:vAlign w:val="center"/>
            <w:tcMar>
              <w:top w:w="80" w:type="dxa"/>
              <w:start w:w="120" w:type="dxa"/>
              <w:bottom w:w="80" w:type="dxa"/>
              <w:end w:w="120" w:type="dxa"/>
            </w:tcMar>
          </w:tcPr>
          <w:p>
            <w:pPr>
              <w:spacing w:before="0" w:after="40" w:line="240" w:lineRule="auto"/>
            </w:pPr>
            <w:r>
              <w:rPr>
                <w:rFonts w:ascii="Calibri" w:hAnsi="Calibri" w:eastAsia="Calibri"/>
                <w:b/>
                <w:color w:val="0B2545"/>
                <w:sz w:val="18"/>
              </w:rPr>
              <w:t>Geçerli yorum</w:t>
            </w:r>
          </w:p>
        </w:tc>
      </w:tr>
      <w:tr>
        <w:trPr>
          <w:cantSplit/>
        </w:trPr>
        <w:tc>
          <w:tcPr>
            <w:tcW w:type="dxa" w:w="174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R1</w:t>
            </w:r>
          </w:p>
        </w:tc>
        <w:tc>
          <w:tcPr>
            <w:tcW w:type="dxa" w:w="432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Repaired interface ile gerçek breakpoint ve ilk PDB observation</w:t>
            </w:r>
          </w:p>
        </w:tc>
        <w:tc>
          <w:tcPr>
            <w:tcW w:type="dxa" w:w="33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Dynamic evidence yolu çalıştı</w:t>
            </w:r>
          </w:p>
        </w:tc>
      </w:tr>
      <w:tr>
        <w:trPr>
          <w:cantSplit/>
        </w:trPr>
        <w:tc>
          <w:tcPr>
            <w:tcW w:type="dxa" w:w="174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R2</w:t>
            </w:r>
          </w:p>
        </w:tc>
        <w:tc>
          <w:tcPr>
            <w:tcW w:type="dxa" w:w="432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Multi-turn breakpoint, stack, locals ve next</w:t>
            </w:r>
          </w:p>
        </w:tc>
        <w:tc>
          <w:tcPr>
            <w:tcW w:type="dxa" w:w="33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Yapılandırılmış debugger loop kanıtlandı</w:t>
            </w:r>
          </w:p>
        </w:tc>
      </w:tr>
      <w:tr>
        <w:trPr>
          <w:cantSplit/>
        </w:trPr>
        <w:tc>
          <w:tcPr>
            <w:tcW w:type="dxa" w:w="174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R3</w:t>
            </w:r>
          </w:p>
        </w:tc>
        <w:tc>
          <w:tcPr>
            <w:tcW w:type="dxa" w:w="432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Debugger evidence → patch → verifier RESOLVED</w:t>
            </w:r>
          </w:p>
        </w:tc>
        <w:tc>
          <w:tcPr>
            <w:tcW w:type="dxa" w:w="33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Uçtan uca onarım yolu kanıtlandı</w:t>
            </w:r>
          </w:p>
        </w:tc>
      </w:tr>
      <w:tr>
        <w:trPr>
          <w:cantSplit/>
        </w:trPr>
        <w:tc>
          <w:tcPr>
            <w:tcW w:type="dxa" w:w="174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R4</w:t>
            </w:r>
          </w:p>
        </w:tc>
        <w:tc>
          <w:tcPr>
            <w:tcW w:type="dxa" w:w="432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Model-generated regression test buggy’de fail, repaired’da pass</w:t>
            </w:r>
          </w:p>
        </w:tc>
        <w:tc>
          <w:tcPr>
            <w:tcW w:type="dxa" w:w="33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Test-probe altyapısı çalıştı</w:t>
            </w:r>
          </w:p>
        </w:tc>
      </w:tr>
      <w:tr>
        <w:trPr>
          <w:cantSplit/>
        </w:trPr>
        <w:tc>
          <w:tcPr>
            <w:tcW w:type="dxa" w:w="174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R5</w:t>
            </w:r>
          </w:p>
        </w:tc>
        <w:tc>
          <w:tcPr>
            <w:tcW w:type="dxa" w:w="432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Clean base-14B holdout 5/5; 41 prompt’ta leakage finding 0</w:t>
            </w:r>
          </w:p>
        </w:tc>
        <w:tc>
          <w:tcPr>
            <w:tcW w:type="dxa" w:w="33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Küçük curated dağılımda pozitif sonuç</w:t>
            </w:r>
          </w:p>
        </w:tc>
      </w:tr>
      <w:tr>
        <w:trPr>
          <w:cantSplit/>
        </w:trPr>
        <w:tc>
          <w:tcPr>
            <w:tcW w:type="dxa" w:w="174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R6</w:t>
            </w:r>
          </w:p>
        </w:tc>
        <w:tc>
          <w:tcPr>
            <w:tcW w:type="dxa" w:w="432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Tuned-7B task-disjoint QuixBugs 8/8 RESOLVED</w:t>
            </w:r>
          </w:p>
        </w:tc>
        <w:tc>
          <w:tcPr>
            <w:tcW w:type="dxa" w:w="33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Matched-base nedensel fine-tuning kanıtı değil</w:t>
            </w:r>
          </w:p>
        </w:tc>
      </w:tr>
      <w:tr>
        <w:trPr>
          <w:cantSplit/>
        </w:trPr>
        <w:tc>
          <w:tcPr>
            <w:tcW w:type="dxa" w:w="174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Exact-PDB ladder</w:t>
            </w:r>
          </w:p>
        </w:tc>
        <w:tc>
          <w:tcPr>
            <w:tcW w:type="dxa" w:w="432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6/100, 12/100 ve 18/100 tek görev rungs RESOLVED</w:t>
            </w:r>
          </w:p>
        </w:tc>
        <w:tc>
          <w:tcPr>
            <w:tcW w:type="dxa" w:w="33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Üç ayrı capability proof; success rate değil</w:t>
            </w:r>
          </w:p>
        </w:tc>
      </w:tr>
      <w:tr>
        <w:trPr>
          <w:cantSplit/>
        </w:trPr>
        <w:tc>
          <w:tcPr>
            <w:tcW w:type="dxa" w:w="174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Level-32 repaired</w:t>
            </w:r>
          </w:p>
        </w:tc>
        <w:tc>
          <w:tcPr>
            <w:tcW w:type="dxa" w:w="432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GLM 5.1 ve 5.2: F2P 5/5, P2P failed 0/9</w:t>
            </w:r>
          </w:p>
        </w:tc>
        <w:tc>
          <w:tcPr>
            <w:tcW w:type="dxa" w:w="33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Candidate-artifact sınırı onarıldı</w:t>
            </w:r>
          </w:p>
        </w:tc>
      </w:tr>
      <w:tr>
        <w:trPr>
          <w:cantSplit/>
        </w:trPr>
        <w:tc>
          <w:tcPr>
            <w:tcW w:type="dxa" w:w="174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15-model matrix</w:t>
            </w:r>
          </w:p>
        </w:tc>
        <w:tc>
          <w:tcPr>
            <w:tcW w:type="dxa" w:w="432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14 exact-PDB; 7 official tests; 6 ≥4/5; 2 resolved</w:t>
            </w:r>
          </w:p>
        </w:tc>
        <w:tc>
          <w:tcPr>
            <w:tcW w:type="dxa" w:w="33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1 semantic rejection, 12 protocol failure</w:t>
            </w:r>
          </w:p>
        </w:tc>
      </w:tr>
      <w:tr>
        <w:trPr>
          <w:cantSplit/>
        </w:trPr>
        <w:tc>
          <w:tcPr>
            <w:tcW w:type="dxa" w:w="174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Ollama product proof</w:t>
            </w:r>
          </w:p>
        </w:tc>
        <w:tc>
          <w:tcPr>
            <w:tcW w:type="dxa" w:w="432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gpt-oss:20b-cloud: F2P 1/1, P2P 2/2</w:t>
            </w:r>
          </w:p>
        </w:tc>
        <w:tc>
          <w:tcPr>
            <w:tcW w:type="dxa" w:w="33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Ürün/debugging başarı; PDB NOT EXERCISED</w:t>
            </w:r>
          </w:p>
        </w:tc>
      </w:tr>
      <w:tr>
        <w:trPr>
          <w:cantSplit/>
        </w:trPr>
        <w:tc>
          <w:tcPr>
            <w:tcW w:type="dxa" w:w="174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Nemotron probe</w:t>
            </w:r>
          </w:p>
        </w:tc>
        <w:tc>
          <w:tcPr>
            <w:tcW w:type="dxa" w:w="432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1/5 RESOLVED</w:t>
            </w:r>
          </w:p>
        </w:tc>
        <w:tc>
          <w:tcPr>
            <w:tcW w:type="dxa" w:w="33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PDB 5 görevin hiçbirinde kullanılmadı</w:t>
            </w:r>
          </w:p>
        </w:tc>
      </w:tr>
    </w:tbl>
    <w:p>
      <w:pPr>
        <w:pStyle w:val="TableCitation"/>
      </w:pPr>
      <w:r>
        <w:t>Kaynak: docs/results-index.md ve docs/project-closeout.md. Rakamlar tarihsel kanıtlardan alınmıştır; kapanış sırasında canlı kampanya çalıştırılmamıştır.</w:t>
      </w:r>
    </w:p>
    <w:p>
      <w:pPr>
        <w:pStyle w:val="Heading1"/>
        <w:keepNext/>
      </w:pPr>
      <w:r>
        <w:t>Bilimsel yorum ve geçerlilik sınırları</w:t>
      </w:r>
    </w:p>
    <w:p>
      <w:pPr>
        <w:pStyle w:val="Heading2"/>
        <w:keepNext/>
      </w:pPr>
      <w:r>
        <w:t>Kanıtın desteklediği sonuçlar</w:t>
      </w:r>
    </w:p>
    <w:p>
      <w:pPr>
        <w:numPr>
          <w:ilvl w:val="0"/>
          <w:numId w:val="10"/>
        </w:numPr>
        <w:spacing w:before="0" w:after="160" w:line="280" w:lineRule="auto"/>
        <w:ind w:left="720" w:hanging="360"/>
      </w:pPr>
      <w:r>
        <w:t>Bounded PDB interaction, typed tool döngüsüne entegre edilebilir.</w:t>
      </w:r>
    </w:p>
    <w:p>
      <w:pPr>
        <w:numPr>
          <w:ilvl w:val="0"/>
          <w:numId w:val="10"/>
        </w:numPr>
        <w:spacing w:before="0" w:after="160" w:line="280" w:lineRule="auto"/>
        <w:ind w:left="720" w:hanging="360"/>
      </w:pPr>
      <w:r>
        <w:t>Runtime evidence, event trajectory içinde hipotez ve patch öncesi kaydedilebilir.</w:t>
      </w:r>
    </w:p>
    <w:p>
      <w:pPr>
        <w:numPr>
          <w:ilvl w:val="0"/>
          <w:numId w:val="10"/>
        </w:numPr>
        <w:spacing w:before="0" w:after="160" w:line="280" w:lineRule="auto"/>
        <w:ind w:left="720" w:hanging="360"/>
      </w:pPr>
      <w:r>
        <w:t>Independent verifier, model iddiasını clean-baseline evidence ile ayırabilir.</w:t>
      </w:r>
    </w:p>
    <w:p>
      <w:pPr>
        <w:numPr>
          <w:ilvl w:val="0"/>
          <w:numId w:val="10"/>
        </w:numPr>
        <w:spacing w:before="0" w:after="160" w:line="280" w:lineRule="auto"/>
        <w:ind w:left="720" w:hanging="360"/>
      </w:pPr>
      <w:r>
        <w:t>Candidate serialization ve official-test execution, model semantiğinden bağımsız bir deney değişkenidir.</w:t>
      </w:r>
    </w:p>
    <w:p>
      <w:pPr>
        <w:numPr>
          <w:ilvl w:val="0"/>
          <w:numId w:val="10"/>
        </w:numPr>
        <w:spacing w:before="0" w:after="160" w:line="280" w:lineRule="auto"/>
        <w:ind w:left="720" w:hanging="360"/>
      </w:pPr>
      <w:r>
        <w:t>Aynı çekirdek ürün yüzeyi, replay ve local-project workflow’unda korunabilir.</w:t>
      </w:r>
    </w:p>
    <w:p>
      <w:pPr>
        <w:pStyle w:val="Heading2"/>
        <w:keepNext/>
      </w:pPr>
      <w:r>
        <w:t>Kanıtın desteklemediği sonuçlar</w:t>
      </w:r>
    </w:p>
    <w:p>
      <w:pPr>
        <w:numPr>
          <w:ilvl w:val="0"/>
          <w:numId w:val="10"/>
        </w:numPr>
        <w:spacing w:before="0" w:after="160" w:line="280" w:lineRule="auto"/>
        <w:ind w:left="720" w:hanging="360"/>
      </w:pPr>
      <w:r>
        <w:t>PDB erişimi genel olarak statik yaklaşımdan daha yüksek repair rate sağlar.</w:t>
      </w:r>
    </w:p>
    <w:p>
      <w:pPr>
        <w:numPr>
          <w:ilvl w:val="0"/>
          <w:numId w:val="10"/>
        </w:numPr>
        <w:spacing w:before="0" w:after="160" w:line="280" w:lineRule="auto"/>
        <w:ind w:left="720" w:hanging="360"/>
      </w:pPr>
      <w:r>
        <w:t>R6’daki 8/8 sonuç yalnız fine-tuning nedeniyle oluşmuştur.</w:t>
      </w:r>
    </w:p>
    <w:p>
      <w:pPr>
        <w:numPr>
          <w:ilvl w:val="0"/>
          <w:numId w:val="10"/>
        </w:numPr>
        <w:spacing w:before="0" w:after="160" w:line="280" w:lineRule="auto"/>
        <w:ind w:left="720" w:hanging="360"/>
      </w:pPr>
      <w:r>
        <w:t>Küçük curated veya QuixBugs sonuçları repository-scale genelleme kanıtıdır.</w:t>
      </w:r>
    </w:p>
    <w:p>
      <w:pPr>
        <w:numPr>
          <w:ilvl w:val="0"/>
          <w:numId w:val="10"/>
        </w:numPr>
        <w:spacing w:before="0" w:after="160" w:line="280" w:lineRule="auto"/>
        <w:ind w:left="720" w:hanging="360"/>
      </w:pPr>
      <w:r>
        <w:t>Gold patch baseline bir model kabiliyeti sonucudur.</w:t>
      </w:r>
    </w:p>
    <w:p>
      <w:pPr>
        <w:numPr>
          <w:ilvl w:val="0"/>
          <w:numId w:val="10"/>
        </w:numPr>
        <w:spacing w:before="0" w:after="160" w:line="280" w:lineRule="auto"/>
        <w:ind w:left="720" w:hanging="360"/>
      </w:pPr>
      <w:r>
        <w:t>Trusted-local execution hostile code’a karşı işletim sistemi sandbox’ıdır.</w:t>
      </w:r>
    </w:p>
    <w:p>
      <w:pPr>
        <w:pStyle w:val="Heading1"/>
        <w:keepNext/>
      </w:pPr>
      <w:r>
        <w:t>Mühendislik kalitesi ve kapanış doğrulaması</w:t>
      </w:r>
    </w:p>
    <w:tbl>
      <w:tblPr>
        <w:tblStyle w:val="TableGrid"/>
        <w:tblW w:type="dxa" w:w="9360"/>
        <w:jc w:val="left"/>
        <w:tblLayout w:type="fixed"/>
        <w:tblLook w:firstColumn="1" w:firstRow="1" w:lastColumn="0" w:lastRow="0" w:noHBand="0" w:noVBand="1" w:val="04A0"/>
        <w:tblInd w:w="120" w:type="dxa"/>
        <w:tblCaption w:val="Kapanış doğrulaması"/>
        <w:tblDescription w:val="Post-tag kapanış adayında çalıştırılan yerel ve deterministik doğrulama sonuçları."/>
      </w:tblPr>
      <w:tblGrid>
        <w:gridCol w:w="2400"/>
        <w:gridCol w:w="2400"/>
        <w:gridCol w:w="4560"/>
      </w:tblGrid>
      <w:tr>
        <w:trPr>
          <w:tblHeader w:val="true"/>
          <w:cantSplit/>
        </w:trPr>
        <w:tc>
          <w:tcPr>
            <w:tcW w:type="dxa" w:w="2400"/>
            <w:shd w:fill="F2F4F7"/>
            <w:vAlign w:val="center"/>
            <w:tcMar>
              <w:top w:w="80" w:type="dxa"/>
              <w:start w:w="120" w:type="dxa"/>
              <w:bottom w:w="80" w:type="dxa"/>
              <w:end w:w="120" w:type="dxa"/>
            </w:tcMar>
          </w:tcPr>
          <w:p>
            <w:pPr>
              <w:spacing w:before="0" w:after="40" w:line="240" w:lineRule="auto"/>
            </w:pPr>
            <w:r>
              <w:rPr>
                <w:rFonts w:ascii="Calibri" w:hAnsi="Calibri" w:eastAsia="Calibri"/>
                <w:b/>
                <w:color w:val="0B2545"/>
                <w:sz w:val="18"/>
              </w:rPr>
              <w:t>Kontrol</w:t>
            </w:r>
          </w:p>
        </w:tc>
        <w:tc>
          <w:tcPr>
            <w:tcW w:type="dxa" w:w="2400"/>
            <w:shd w:fill="F2F4F7"/>
            <w:vAlign w:val="center"/>
            <w:tcMar>
              <w:top w:w="80" w:type="dxa"/>
              <w:start w:w="120" w:type="dxa"/>
              <w:bottom w:w="80" w:type="dxa"/>
              <w:end w:w="120" w:type="dxa"/>
            </w:tcMar>
          </w:tcPr>
          <w:p>
            <w:pPr>
              <w:spacing w:before="0" w:after="40" w:line="240" w:lineRule="auto"/>
            </w:pPr>
            <w:r>
              <w:rPr>
                <w:rFonts w:ascii="Calibri" w:hAnsi="Calibri" w:eastAsia="Calibri"/>
                <w:b/>
                <w:color w:val="0B2545"/>
                <w:sz w:val="18"/>
              </w:rPr>
              <w:t>Sonuç</w:t>
            </w:r>
          </w:p>
        </w:tc>
        <w:tc>
          <w:tcPr>
            <w:tcW w:type="dxa" w:w="4560"/>
            <w:shd w:fill="F2F4F7"/>
            <w:vAlign w:val="center"/>
            <w:tcMar>
              <w:top w:w="80" w:type="dxa"/>
              <w:start w:w="120" w:type="dxa"/>
              <w:bottom w:w="80" w:type="dxa"/>
              <w:end w:w="120" w:type="dxa"/>
            </w:tcMar>
          </w:tcPr>
          <w:p>
            <w:pPr>
              <w:spacing w:before="0" w:after="40" w:line="240" w:lineRule="auto"/>
            </w:pPr>
            <w:r>
              <w:rPr>
                <w:rFonts w:ascii="Calibri" w:hAnsi="Calibri" w:eastAsia="Calibri"/>
                <w:b/>
                <w:color w:val="0B2545"/>
                <w:sz w:val="18"/>
              </w:rPr>
              <w:t>Not</w:t>
            </w:r>
          </w:p>
        </w:tc>
      </w:tr>
      <w:tr>
        <w:trPr>
          <w:cantSplit/>
        </w:trPr>
        <w:tc>
          <w:tcPr>
            <w:tcW w:type="dxa" w:w="24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Test collection</w:t>
            </w:r>
          </w:p>
        </w:tc>
        <w:tc>
          <w:tcPr>
            <w:tcW w:type="dxa" w:w="2400"/>
            <w:vAlign w:val="center"/>
            <w:tcMar>
              <w:top w:w="80" w:type="dxa"/>
              <w:start w:w="120" w:type="dxa"/>
              <w:bottom w:w="80" w:type="dxa"/>
              <w:end w:w="120" w:type="dxa"/>
            </w:tcMar>
          </w:tcPr>
          <w:p>
            <w:r>
              <w:t>6031</w:t>
            </w:r>
          </w:p>
        </w:tc>
        <w:tc>
          <w:tcPr>
            <w:tcW w:type="dxa" w:w="456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Repo toplamı; 28 Ağustos 2026</w:t>
            </w:r>
          </w:p>
        </w:tc>
      </w:tr>
      <w:tr>
        <w:trPr>
          <w:cantSplit/>
        </w:trPr>
        <w:tc>
          <w:tcPr>
            <w:tcW w:type="dxa" w:w="24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Core release package</w:t>
            </w:r>
          </w:p>
        </w:tc>
        <w:tc>
          <w:tcPr>
            <w:tcW w:type="dxa" w:w="24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1145/1145 pass</w:t>
            </w:r>
          </w:p>
        </w:tc>
        <w:tc>
          <w:tcPr>
            <w:tcW w:type="dxa" w:w="456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718.17 s; controller/runtime/verifier/events/app/golden</w:t>
            </w:r>
          </w:p>
        </w:tc>
      </w:tr>
      <w:tr>
        <w:trPr>
          <w:cantSplit/>
        </w:trPr>
        <w:tc>
          <w:tcPr>
            <w:tcW w:type="dxa" w:w="24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Application/UI geniş paket</w:t>
            </w:r>
          </w:p>
        </w:tc>
        <w:tc>
          <w:tcPr>
            <w:tcW w:type="dxa" w:w="24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746 pass</w:t>
            </w:r>
          </w:p>
        </w:tc>
        <w:tc>
          <w:tcPr>
            <w:tcW w:type="dxa" w:w="456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5 stale expectation kaynakla uzlaştırıldı; repaired nodes 8 pass</w:t>
            </w:r>
          </w:p>
        </w:tc>
      </w:tr>
      <w:tr>
        <w:trPr>
          <w:cantSplit/>
        </w:trPr>
        <w:tc>
          <w:tcPr>
            <w:tcW w:type="dxa" w:w="24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Full-suite attempt</w:t>
            </w:r>
          </w:p>
        </w:tc>
        <w:tc>
          <w:tcPr>
            <w:tcW w:type="dxa" w:w="24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76 pass; controlled interrupt</w:t>
            </w:r>
          </w:p>
        </w:tc>
        <w:tc>
          <w:tcPr>
            <w:tcW w:type="dxa" w:w="456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1071.50 s ve yaklaşık %1; tamamlandı diye raporlanmaz</w:t>
            </w:r>
          </w:p>
        </w:tc>
      </w:tr>
      <w:tr>
        <w:trPr>
          <w:cantSplit/>
        </w:trPr>
        <w:tc>
          <w:tcPr>
            <w:tcW w:type="dxa" w:w="24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Professor navigation</w:t>
            </w:r>
          </w:p>
        </w:tc>
        <w:tc>
          <w:tcPr>
            <w:tcW w:type="dxa" w:w="24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10/10 pass</w:t>
            </w:r>
          </w:p>
        </w:tc>
        <w:tc>
          <w:tcPr>
            <w:tcW w:type="dxa" w:w="456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Güncel ve outdated evidence yolları</w:t>
            </w:r>
          </w:p>
        </w:tc>
      </w:tr>
      <w:tr>
        <w:trPr>
          <w:cantSplit/>
        </w:trPr>
        <w:tc>
          <w:tcPr>
            <w:tcW w:type="dxa" w:w="24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Friday manifest</w:t>
            </w:r>
          </w:p>
        </w:tc>
        <w:tc>
          <w:tcPr>
            <w:tcW w:type="dxa" w:w="24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13/13 match</w:t>
            </w:r>
          </w:p>
        </w:tc>
        <w:tc>
          <w:tcPr>
            <w:tcW w:type="dxa" w:w="456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Frozen SHA-256 teslim kayıtları</w:t>
            </w:r>
          </w:p>
        </w:tc>
      </w:tr>
      <w:tr>
        <w:trPr>
          <w:cantSplit/>
        </w:trPr>
        <w:tc>
          <w:tcPr>
            <w:tcW w:type="dxa" w:w="24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Compile</w:t>
            </w:r>
          </w:p>
        </w:tc>
        <w:tc>
          <w:tcPr>
            <w:tcW w:type="dxa" w:w="24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pass</w:t>
            </w:r>
          </w:p>
        </w:tc>
        <w:tc>
          <w:tcPr>
            <w:tcW w:type="dxa" w:w="456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agentic_debugger ve scripts</w:t>
            </w:r>
          </w:p>
        </w:tc>
      </w:tr>
      <w:tr>
        <w:trPr>
          <w:cantSplit/>
        </w:trPr>
        <w:tc>
          <w:tcPr>
            <w:tcW w:type="dxa" w:w="24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Offline demo</w:t>
            </w:r>
          </w:p>
        </w:tc>
        <w:tc>
          <w:tcPr>
            <w:tcW w:type="dxa" w:w="24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2/2 RESOLVED</w:t>
            </w:r>
          </w:p>
        </w:tc>
        <w:tc>
          <w:tcPr>
            <w:tcW w:type="dxa" w:w="456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F2P 1/1; P2P 2/2; PDB arm 5/5 observations</w:t>
            </w:r>
          </w:p>
        </w:tc>
      </w:tr>
      <w:tr>
        <w:tc>
          <w:tcPr>
            <w:tcW w:type="dxa" w:w="2400"/>
          </w:tcPr>
          <w:p>
            <w:r>
              <w:t>Public hardening focused tests</w:t>
            </w:r>
          </w:p>
        </w:tc>
        <w:tc>
          <w:tcPr>
            <w:tcW w:type="dxa" w:w="2400"/>
          </w:tcPr>
          <w:p>
            <w:r>
              <w:t>189/189 pass</w:t>
            </w:r>
          </w:p>
        </w:tc>
        <w:tc>
          <w:tcPr>
            <w:tcW w:type="dxa" w:w="4560"/>
          </w:tcPr>
          <w:p>
            <w:r>
              <w:t>Local verifier, Apply proof, Evidence Review, UI ve R6 public-contract yüzeyleri</w:t>
            </w:r>
          </w:p>
        </w:tc>
      </w:tr>
      <w:tr>
        <w:tc>
          <w:tcPr>
            <w:tcW w:type="dxa" w:w="2400"/>
          </w:tcPr>
          <w:p>
            <w:r>
              <w:t>Public evidence diagnostic</w:t>
            </w:r>
          </w:p>
        </w:tc>
        <w:tc>
          <w:tcPr>
            <w:tcW w:type="dxa" w:w="2400"/>
          </w:tcPr>
          <w:p>
            <w:r>
              <w:t>VERIFIED_DIRTY</w:t>
            </w:r>
          </w:p>
        </w:tc>
        <w:tc>
          <w:tcPr>
            <w:tcW w:type="dxa" w:w="4560"/>
          </w:tcPr>
          <w:p>
            <w:r>
              <w:t>10/10 capsule; 15/15 byte-identical trace; leakage 0; 2/2 offline RESOLVED; release_eligible=false</w:t>
            </w:r>
          </w:p>
        </w:tc>
      </w:tr>
      <w:tr>
        <w:tc>
          <w:tcPr>
            <w:tcW w:type="dxa" w:w="2400"/>
          </w:tcPr>
          <w:p>
            <w:r>
              <w:t>Terminal görsel QA</w:t>
            </w:r>
          </w:p>
        </w:tc>
        <w:tc>
          <w:tcPr>
            <w:tcW w:type="dxa" w:w="2400"/>
          </w:tcPr>
          <w:p>
            <w:r>
              <w:t>4/4 viewport</w:t>
            </w:r>
          </w:p>
        </w:tc>
        <w:tc>
          <w:tcPr>
            <w:tcW w:type="dxa" w:w="4560"/>
          </w:tcPr>
          <w:p>
            <w:r>
              <w:t>Start ve Evidence Review; 80×24 ve 120×40</w:t>
            </w:r>
          </w:p>
        </w:tc>
      </w:tr>
      <w:tr>
        <w:tc>
          <w:tcPr>
            <w:tcW w:type="dxa" w:w="2400"/>
          </w:tcPr>
          <w:p>
            <w:r>
              <w:t>Post-release odaklı regresyon</w:t>
            </w:r>
          </w:p>
        </w:tc>
        <w:tc>
          <w:tcPr>
            <w:tcW w:type="dxa" w:w="2400"/>
          </w:tcPr>
          <w:p>
            <w:r>
              <w:t>169/169 pass</w:t>
            </w:r>
          </w:p>
        </w:tc>
        <w:tc>
          <w:tcPr>
            <w:tcW w:type="dxa" w:w="4560"/>
          </w:tcPr>
          <w:p>
            <w:r>
              <w:t>Provider connections/http/direct adapter, provider UI, effort/retry ve live execution trace; 31 Ağustos 2026; canlı provider yok</w:t>
            </w:r>
          </w:p>
        </w:tc>
      </w:tr>
    </w:tbl>
    <w:p>
      <w:pPr>
        <w:pStyle w:val="TableCitation"/>
      </w:pPr>
      <w:r>
        <w:t>Kapanışta provider, Docker, WSL, paid route veya BugsInPy execution yoktur. Full suite, orantısız öngörülen süre nedeniyle kontrollü kesilmiştir.</w:t>
      </w:r>
    </w:p>
    <w:p>
      <w:pPr>
        <w:pStyle w:val="Heading1"/>
        <w:keepNext/>
      </w:pPr>
      <w:r>
        <w:t>Güvenlik, containment ve operasyon</w:t>
      </w:r>
    </w:p>
    <w:p>
      <w:pPr>
        <w:numPr>
          <w:ilvl w:val="0"/>
          <w:numId w:val="10"/>
        </w:numPr>
        <w:spacing w:before="0" w:after="160" w:line="280" w:lineRule="auto"/>
        <w:ind w:left="720" w:hanging="360"/>
      </w:pPr>
      <w:r>
        <w:t>Model candidate’ları yalnız unified-diff ve allowed-path mekanizmasıyla uygulanır.</w:t>
      </w:r>
    </w:p>
    <w:p>
      <w:pPr>
        <w:numPr>
          <w:ilvl w:val="0"/>
          <w:numId w:val="10"/>
        </w:numPr>
        <w:spacing w:before="0" w:after="160" w:line="280" w:lineRule="auto"/>
        <w:ind w:left="720" w:hanging="360"/>
      </w:pPr>
      <w:r>
        <w:t>Command execution argv, timeout, output bound, cancellation ve process-tree kill sözleşmelerine tabidir.</w:t>
      </w:r>
    </w:p>
    <w:p>
      <w:pPr>
        <w:numPr>
          <w:ilvl w:val="0"/>
          <w:numId w:val="10"/>
        </w:numPr>
        <w:spacing w:before="0" w:after="160" w:line="280" w:lineRule="auto"/>
        <w:ind w:left="720" w:hanging="360"/>
      </w:pPr>
      <w:r>
        <w:t>Windows Local Project path, job-object containment ve isolated worktree cleanup kullanır.</w:t>
      </w:r>
    </w:p>
    <w:p>
      <w:pPr>
        <w:numPr>
          <w:ilvl w:val="0"/>
          <w:numId w:val="10"/>
        </w:numPr>
        <w:spacing w:before="0" w:after="160" w:line="280" w:lineRule="auto"/>
        <w:ind w:left="720" w:hanging="360"/>
      </w:pPr>
      <w:r>
        <w:t>Journal redaction kalıcı event sınırlarında credential benzeri veriyi filtreler.</w:t>
      </w:r>
    </w:p>
    <w:p>
      <w:pPr>
        <w:numPr>
          <w:ilvl w:val="0"/>
          <w:numId w:val="10"/>
        </w:numPr>
        <w:spacing w:before="0" w:after="160" w:line="280" w:lineRule="auto"/>
        <w:ind w:left="720" w:hanging="360"/>
      </w:pPr>
      <w:r>
        <w:t>Live model/provider, Docker, WSL, BugsInPy ve paid route çalıştırmaları ayrı owner yetkisi gerektirir.</w:t>
      </w:r>
    </w:p>
    <w:p>
      <w:pPr>
        <w:numPr>
          <w:ilvl w:val="0"/>
          <w:numId w:val="10"/>
        </w:numPr>
        <w:spacing w:before="0" w:after="160" w:line="280" w:lineRule="auto"/>
        <w:ind w:left="720" w:hanging="360"/>
      </w:pPr>
      <w:r>
        <w:t>Verifier sonucu semantik doğruluk otoritesidir; UI veya model terminal mesajı değildir.</w:t>
      </w:r>
    </w:p>
    <w:p>
      <w:pPr>
        <w:pStyle w:val="Heading1"/>
        <w:keepNext/>
      </w:pPr>
      <w:r>
        <w:t>Repository yapısı ve kullanım</w:t>
      </w:r>
    </w:p>
    <w:tbl>
      <w:tblPr>
        <w:tblStyle w:val="TableGrid"/>
        <w:tblW w:type="dxa" w:w="9360"/>
        <w:jc w:val="left"/>
        <w:tblLayout w:type="fixed"/>
        <w:tblLook w:firstColumn="1" w:firstRow="1" w:lastColumn="0" w:lastRow="0" w:noHBand="0" w:noVBand="1" w:val="04A0"/>
        <w:tblInd w:w="120" w:type="dxa"/>
        <w:tblCaption w:val="Repository haritası"/>
        <w:tblDescription w:val="Güncel kaynak ağacının ana sorumluluk alanları."/>
      </w:tblPr>
      <w:tblGrid>
        <w:gridCol w:w="3360"/>
        <w:gridCol w:w="6000"/>
      </w:tblGrid>
      <w:tr>
        <w:trPr>
          <w:tblHeader w:val="true"/>
          <w:cantSplit/>
        </w:trPr>
        <w:tc>
          <w:tcPr>
            <w:tcW w:type="dxa" w:w="3360"/>
            <w:shd w:fill="F2F4F7"/>
            <w:vAlign w:val="center"/>
            <w:tcMar>
              <w:top w:w="80" w:type="dxa"/>
              <w:start w:w="120" w:type="dxa"/>
              <w:bottom w:w="80" w:type="dxa"/>
              <w:end w:w="120" w:type="dxa"/>
            </w:tcMar>
          </w:tcPr>
          <w:p>
            <w:pPr>
              <w:keepNext/>
              <w:spacing w:before="0" w:after="40" w:line="240" w:lineRule="auto"/>
            </w:pPr>
            <w:r>
              <w:rPr>
                <w:rFonts w:ascii="Calibri" w:hAnsi="Calibri" w:eastAsia="Calibri"/>
                <w:b/>
                <w:color w:val="0B2545"/>
                <w:sz w:val="18"/>
              </w:rPr>
              <w:t>Path</w:t>
            </w:r>
          </w:p>
        </w:tc>
        <w:tc>
          <w:tcPr>
            <w:tcW w:type="dxa" w:w="6000"/>
            <w:shd w:fill="F2F4F7"/>
            <w:vAlign w:val="center"/>
            <w:tcMar>
              <w:top w:w="80" w:type="dxa"/>
              <w:start w:w="120" w:type="dxa"/>
              <w:bottom w:w="80" w:type="dxa"/>
              <w:end w:w="120" w:type="dxa"/>
            </w:tcMar>
          </w:tcPr>
          <w:p>
            <w:pPr>
              <w:keepNext/>
              <w:spacing w:before="0" w:after="40" w:line="240" w:lineRule="auto"/>
            </w:pPr>
            <w:r>
              <w:rPr>
                <w:rFonts w:ascii="Calibri" w:hAnsi="Calibri" w:eastAsia="Calibri"/>
                <w:b/>
                <w:color w:val="0B2545"/>
                <w:sz w:val="18"/>
              </w:rPr>
              <w:t>Amaç</w:t>
            </w:r>
          </w:p>
        </w:tc>
      </w:tr>
      <w:tr>
        <w:trPr>
          <w:cantSplit/>
        </w:trPr>
        <w:tc>
          <w:tcPr>
            <w:tcW w:type="dxa" w:w="336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agentic_debugger/agent/</w:t>
            </w:r>
          </w:p>
        </w:tc>
        <w:tc>
          <w:tcPr>
            <w:tcW w:type="dxa" w:w="600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Controller, state, policy, directives ve tool registry</w:t>
            </w:r>
          </w:p>
        </w:tc>
      </w:tr>
      <w:tr>
        <w:trPr>
          <w:cantSplit/>
        </w:trPr>
        <w:tc>
          <w:tcPr>
            <w:tcW w:type="dxa" w:w="336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agentic_debugger/runtime/</w:t>
            </w:r>
          </w:p>
        </w:tc>
        <w:tc>
          <w:tcPr>
            <w:tcW w:type="dxa" w:w="600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Execution, workspace, patch, tests ve PDB</w:t>
            </w:r>
          </w:p>
        </w:tc>
      </w:tr>
      <w:tr>
        <w:trPr>
          <w:cantSplit/>
        </w:trPr>
        <w:tc>
          <w:tcPr>
            <w:tcW w:type="dxa" w:w="336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agentic_debugger/evaluation/</w:t>
            </w:r>
          </w:p>
        </w:tc>
        <w:tc>
          <w:tcPr>
            <w:tcW w:type="dxa" w:w="600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Task schema, live harness, verifier ve outcomes</w:t>
            </w:r>
          </w:p>
        </w:tc>
      </w:tr>
      <w:tr>
        <w:trPr>
          <w:cantSplit/>
        </w:trPr>
        <w:tc>
          <w:tcPr>
            <w:tcW w:type="dxa" w:w="336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agentic_debugger/application/</w:t>
            </w:r>
          </w:p>
        </w:tc>
        <w:tc>
          <w:tcPr>
            <w:tcW w:type="dxa" w:w="600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Session, provider bağlantıları, readiness, journal, worker, retry, history ve replay</w:t>
            </w:r>
          </w:p>
        </w:tc>
      </w:tr>
      <w:tr>
        <w:trPr>
          <w:cantSplit/>
        </w:trPr>
        <w:tc>
          <w:tcPr>
            <w:tcW w:type="dxa" w:w="336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agentic_debugger/ui/</w:t>
            </w:r>
          </w:p>
        </w:tc>
        <w:tc>
          <w:tcPr>
            <w:tcW w:type="dxa" w:w="600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Session Setup, live execution trace ve Evidence Review içeren Textual yüzeyi</w:t>
            </w:r>
          </w:p>
        </w:tc>
      </w:tr>
      <w:tr>
        <w:trPr>
          <w:cantSplit/>
        </w:trPr>
        <w:tc>
          <w:tcPr>
            <w:tcW w:type="dxa" w:w="336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experiments/ ve analysis/</w:t>
            </w:r>
          </w:p>
        </w:tc>
        <w:tc>
          <w:tcPr>
            <w:tcW w:type="dxa" w:w="600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Frozen bilimsel ve karşılaştırmalı kanıtlar</w:t>
            </w:r>
          </w:p>
        </w:tc>
      </w:tr>
      <w:tr>
        <w:trPr>
          <w:cantSplit/>
        </w:trPr>
        <w:tc>
          <w:tcPr>
            <w:tcW w:type="dxa" w:w="336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research/</w:t>
            </w:r>
          </w:p>
        </w:tc>
        <w:tc>
          <w:tcPr>
            <w:tcW w:type="dxa" w:w="600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Literatür, provenance ve dataset gate kayıtları</w:t>
            </w:r>
          </w:p>
        </w:tc>
      </w:tr>
      <w:tr>
        <w:trPr>
          <w:cantSplit/>
        </w:trPr>
        <w:tc>
          <w:tcPr>
            <w:tcW w:type="dxa" w:w="336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outdated/</w:t>
            </w:r>
          </w:p>
        </w:tc>
        <w:tc>
          <w:tcPr>
            <w:tcW w:type="dxa" w:w="600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Superseded materyal; güncel execution authority değildir</w:t>
            </w:r>
          </w:p>
        </w:tc>
      </w:tr>
      <w:tr>
        <w:trPr>
          <w:cantSplit/>
        </w:trPr>
        <w:tc>
          <w:tcPr>
            <w:tcW w:type="dxa" w:w="336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_ai-review/</w:t>
            </w:r>
          </w:p>
        </w:tc>
        <w:tc>
          <w:tcPr>
            <w:tcW w:type="dxa" w:w="60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Yerel FirstMate handoff; commit edilmez</w:t>
            </w:r>
          </w:p>
        </w:tc>
      </w:tr>
    </w:tbl>
    <w:p>
      <w:pPr>
        <w:pStyle w:val="TableCitation"/>
      </w:pPr>
      <w:r>
        <w:t>Kaynak: README.md ve AGENTS.md.</w:t>
      </w:r>
    </w:p>
    <w:p>
      <w:pPr>
        <w:pStyle w:val="Heading2"/>
        <w:keepNext/>
      </w:pPr>
      <w:r>
        <w:t>Temel komutlar</w:t>
      </w:r>
    </w:p>
    <w:p>
      <w:pPr>
        <w:pStyle w:val="Code"/>
        <w:shd w:fill="F4F6F9"/>
      </w:pPr>
      <w:r>
        <w:rPr>
          <w:rFonts w:ascii="Consolas" w:hAnsi="Consolas" w:eastAsia="Consolas"/>
          <w:color w:val="0B2545"/>
          <w:sz w:val="18"/>
        </w:rPr>
        <w:t>python -m pip install -e .[test]</w:t>
      </w:r>
    </w:p>
    <w:p>
      <w:pPr>
        <w:pStyle w:val="Code"/>
        <w:shd w:fill="F4F6F9"/>
      </w:pPr>
      <w:r>
        <w:rPr>
          <w:rFonts w:ascii="Consolas" w:hAnsi="Consolas" w:eastAsia="Consolas"/>
          <w:color w:val="0B2545"/>
          <w:sz w:val="18"/>
        </w:rPr>
        <w:t>python -m pytest --collect-only -q</w:t>
      </w:r>
    </w:p>
    <w:p>
      <w:pPr>
        <w:pStyle w:val="Code"/>
        <w:shd w:fill="F4F6F9"/>
      </w:pPr>
      <w:r>
        <w:rPr>
          <w:rFonts w:ascii="Consolas" w:hAnsi="Consolas" w:eastAsia="Consolas"/>
          <w:color w:val="0B2545"/>
          <w:sz w:val="18"/>
        </w:rPr>
        <w:t>python -m agentic_debugger.demo --output-dir demo-out --task-id curated-off-by-one-002</w:t>
      </w:r>
    </w:p>
    <w:p>
      <w:pPr>
        <w:pStyle w:val="Code"/>
        <w:shd w:fill="F4F6F9"/>
      </w:pPr>
      <w:r>
        <w:rPr>
          <w:rFonts w:ascii="Consolas" w:hAnsi="Consolas" w:eastAsia="Consolas"/>
          <w:color w:val="0B2545"/>
          <w:sz w:val="18"/>
        </w:rPr>
        <w:t>python -m agentic_debugger.ui</w:t>
      </w:r>
    </w:p>
    <w:p>
      <w:pPr>
        <w:pStyle w:val="Heading1"/>
        <w:keepNext/>
      </w:pPr>
      <w:r>
        <w:t>Kapanış durumu ve kararlar</w:t>
      </w:r>
    </w:p>
    <w:p>
      <w:r>
        <w:t>Mandatory roadmap kapalıdır. Yeni çalışma, eski TODO’nun devamı gibi açılmamalıdır. Yeni owner-approved roadmap gerektirir.</w:t>
      </w:r>
    </w:p>
    <w:tbl>
      <w:tblPr>
        <w:tblStyle w:val="TableGrid"/>
        <w:tblW w:type="dxa" w:w="9360"/>
        <w:jc w:val="left"/>
        <w:tblLayout w:type="fixed"/>
        <w:tblLook w:firstColumn="1" w:firstRow="1" w:lastColumn="0" w:lastRow="0" w:noHBand="0" w:noVBand="1" w:val="04A0"/>
        <w:tblInd w:w="120" w:type="dxa"/>
        <w:tblCaption w:val="Kapanış kararları"/>
        <w:tblDescription w:val="Açık checklist gibi taşınmayan, dürüst negatif veya kapsam sınırı olarak kapatılan başlıklar."/>
      </w:tblPr>
      <w:tblGrid>
        <w:gridCol w:w="3000"/>
        <w:gridCol w:w="6360"/>
      </w:tblGrid>
      <w:tr>
        <w:trPr>
          <w:tblHeader w:val="true"/>
          <w:cantSplit/>
        </w:trPr>
        <w:tc>
          <w:tcPr>
            <w:tcW w:type="dxa" w:w="3000"/>
            <w:shd w:fill="F2F4F7"/>
            <w:vAlign w:val="center"/>
            <w:tcMar>
              <w:top w:w="80" w:type="dxa"/>
              <w:start w:w="120" w:type="dxa"/>
              <w:bottom w:w="80" w:type="dxa"/>
              <w:end w:w="120" w:type="dxa"/>
            </w:tcMar>
          </w:tcPr>
          <w:p>
            <w:pPr>
              <w:spacing w:before="0" w:after="40" w:line="240" w:lineRule="auto"/>
            </w:pPr>
            <w:r>
              <w:rPr>
                <w:rFonts w:ascii="Calibri" w:hAnsi="Calibri" w:eastAsia="Calibri"/>
                <w:b/>
                <w:color w:val="0B2545"/>
                <w:sz w:val="18"/>
              </w:rPr>
              <w:t>Konu</w:t>
            </w:r>
          </w:p>
        </w:tc>
        <w:tc>
          <w:tcPr>
            <w:tcW w:type="dxa" w:w="6360"/>
            <w:shd w:fill="F2F4F7"/>
            <w:vAlign w:val="center"/>
            <w:tcMar>
              <w:top w:w="80" w:type="dxa"/>
              <w:start w:w="120" w:type="dxa"/>
              <w:bottom w:w="80" w:type="dxa"/>
              <w:end w:w="120" w:type="dxa"/>
            </w:tcMar>
          </w:tcPr>
          <w:p>
            <w:pPr>
              <w:spacing w:before="0" w:after="40" w:line="240" w:lineRule="auto"/>
            </w:pPr>
            <w:r>
              <w:rPr>
                <w:rFonts w:ascii="Calibri" w:hAnsi="Calibri" w:eastAsia="Calibri"/>
                <w:b/>
                <w:color w:val="0B2545"/>
                <w:sz w:val="18"/>
              </w:rPr>
              <w:t>Kapanış kararı</w:t>
            </w:r>
          </w:p>
        </w:tc>
      </w:tr>
      <w:tr>
        <w:trPr>
          <w:cantSplit/>
        </w:trPr>
        <w:tc>
          <w:tcPr>
            <w:tcW w:type="dxa" w:w="30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BugsInPy</w:t>
            </w:r>
          </w:p>
        </w:tc>
        <w:tc>
          <w:tcPr>
            <w:tcW w:type="dxa" w:w="636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CLOSED / NOT EXECUTED — license ve redistribution authority yok</w:t>
            </w:r>
          </w:p>
        </w:tc>
      </w:tr>
      <w:tr>
        <w:trPr>
          <w:cantSplit/>
        </w:trPr>
        <w:tc>
          <w:tcPr>
            <w:tcW w:type="dxa" w:w="30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OpenCode Go six-case</w:t>
            </w:r>
          </w:p>
        </w:tc>
        <w:tc>
          <w:tcPr>
            <w:tcW w:type="dxa" w:w="636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CLOSED / NOT EXECUTED — optional tarihsel operator path</w:t>
            </w:r>
          </w:p>
        </w:tc>
      </w:tr>
      <w:tr>
        <w:trPr>
          <w:cantSplit/>
        </w:trPr>
        <w:tc>
          <w:tcPr>
            <w:tcW w:type="dxa" w:w="30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Stronger R6 holdout</w:t>
            </w:r>
          </w:p>
        </w:tc>
        <w:tc>
          <w:tcPr>
            <w:tcW w:type="dxa" w:w="636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CLOSED / INCOMPLETE_HARDWARE_STOP — 3 task outcome üretmedi</w:t>
            </w:r>
          </w:p>
        </w:tc>
      </w:tr>
      <w:tr>
        <w:trPr>
          <w:cantSplit/>
        </w:trPr>
        <w:tc>
          <w:tcPr>
            <w:tcW w:type="dxa" w:w="30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Fine-tuned + RAG</w:t>
            </w:r>
          </w:p>
        </w:tc>
        <w:tc>
          <w:tcPr>
            <w:tcW w:type="dxa" w:w="636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CLOSED / PARTIAL / NOT_EVALUATED</w:t>
            </w:r>
          </w:p>
        </w:tc>
      </w:tr>
      <w:tr>
        <w:trPr>
          <w:cantSplit/>
        </w:trPr>
        <w:tc>
          <w:tcPr>
            <w:tcW w:type="dxa" w:w="30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DPO</w:t>
            </w:r>
          </w:p>
        </w:tc>
        <w:tc>
          <w:tcPr>
            <w:tcW w:type="dxa" w:w="636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CLOSED / NOT JUSTIFIED</w:t>
            </w:r>
          </w:p>
        </w:tc>
      </w:tr>
      <w:tr>
        <w:trPr>
          <w:cantSplit/>
        </w:trPr>
        <w:tc>
          <w:tcPr>
            <w:tcW w:type="dxa" w:w="30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Capability escalation</w:t>
            </w:r>
          </w:p>
        </w:tc>
        <w:tc>
          <w:tcPr>
            <w:tcW w:type="dxa" w:w="636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CLOSED / PAUSED — accepted stop Level-32</w:t>
            </w:r>
          </w:p>
        </w:tc>
      </w:tr>
      <w:tr>
        <w:trPr>
          <w:cantSplit/>
        </w:trPr>
        <w:tc>
          <w:tcPr>
            <w:tcW w:type="dxa" w:w="30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Merge ve push</w:t>
            </w:r>
          </w:p>
        </w:tc>
        <w:tc>
          <w:tcPr>
            <w:tcW w:type="dxa" w:w="636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Yapılmadı</w:t>
            </w:r>
          </w:p>
        </w:tc>
      </w:tr>
    </w:tbl>
    <w:p>
      <w:pPr>
        <w:pStyle w:val="TableCitation"/>
      </w:pPr>
      <w:r>
        <w:t>Kaynak: TODO.md; docs/release-closeout-2026-08-28.md.</w:t>
      </w:r>
    </w:p>
    <w:p>
      <w:pPr>
        <w:pStyle w:val="Heading1"/>
      </w:pPr>
      <w:r>
        <w:t>Kamuya açık kanıt kapısı</w:t>
      </w:r>
    </w:p>
    <w:p>
      <w:pPr/>
      <w:r>
        <w:t>Kamuya açık sürüm kapısı tek komutla çalışır. Varsayılan mod temiz ve geçerli bir Git HEAD ister; başlangıç ile bitiş arasında HEAD ve working-tree durumunun değişmediğini denetler.</w:t>
      </w:r>
    </w:p>
    <w:p>
      <w:pPr>
        <w:pStyle w:val="Code"/>
      </w:pPr>
      <w:r>
        <w:t>python scripts/verify_public_evidence.py</w:t>
      </w:r>
    </w:p>
    <w:p>
      <w:pPr/>
      <w:r>
        <w:t>Kapı R6 frozen capsule hash zincirini doğrular, 15 professor trace dosyasını byte-identical yeniden üretir, leakage taraması yapar, professor-facing export ve capsule manifest taşınabilirliğini denetler. Ayrıca iki policy arm için independent verifier, replay, cleanup ve canonical immutability içeren temsili offline demo çalıştırır. Gözlenen provider ve network attempt sayısı sıfır olmalıdır.</w:t>
      </w:r>
    </w:p>
    <w:p>
      <w:pPr/>
      <w:r>
        <w:t>--allow-dirty yalnız geliştirme teşhisidir. Bu mod VERIFIED_DIRTY üretir ve release_eligible=false bırakır. Frozen kampanyaları yeniden çalıştırdığını, scripted reference repair’ın canlı model kabiliyeti olduğunu veya in-process network guard’ın işletim sistemi sandbox’ı olduğunu iddia etmez. Ham ancillary evidence makine yolları taşıyabilir; portability garantisi capsule manifest ve professor-facing export yüzeyiyle sınırlıdır.</w:t>
      </w:r>
    </w:p>
    <w:p>
      <w:pPr>
        <w:pStyle w:val="TableCitation"/>
      </w:pPr>
      <w:r>
        <w:t>Kaynak: scripts/verify_public_evidence.py; .github/workflows/ci.yml; experiments/r6_debugger_training/runs/frozen/capsule_manifest.json.</w:t>
      </w:r>
    </w:p>
    <w:p>
      <w:pPr>
        <w:pStyle w:val="Heading1"/>
        <w:keepNext/>
      </w:pPr>
      <w:r>
        <w:t>Kanıt kaynakları</w:t>
      </w:r>
    </w:p>
    <w:p>
      <w:r>
        <w:t>Bu rapor internet araştırmasına dayanmaz. Aşağıdaki tracked repository kayıtları, 28 Ağustos kapanış kanıtı ve 31 Ağustos 2026 tarihli yerel odaklı doğrulama kullanılmıştır.</w:t>
      </w:r>
    </w:p>
    <w:p>
      <w:pPr>
        <w:numPr>
          <w:ilvl w:val="0"/>
          <w:numId w:val="10"/>
        </w:numPr>
        <w:spacing w:before="0" w:after="160" w:line="280" w:lineRule="auto"/>
        <w:ind w:left="720" w:hanging="360"/>
      </w:pPr>
      <w:r>
        <w:t>README.md — güncel giriş, durum ve repository haritası.</w:t>
      </w:r>
    </w:p>
    <w:p>
      <w:pPr>
        <w:numPr>
          <w:ilvl w:val="0"/>
          <w:numId w:val="10"/>
        </w:numPr>
        <w:spacing w:before="0" w:after="160" w:line="280" w:lineRule="auto"/>
        <w:ind w:left="720" w:hanging="360"/>
      </w:pPr>
      <w:r>
        <w:t>AGENTS.md — mimari, doğruluk, containment, external execution ve Git sınırları.</w:t>
      </w:r>
    </w:p>
    <w:p>
      <w:pPr>
        <w:numPr>
          <w:ilvl w:val="0"/>
          <w:numId w:val="10"/>
        </w:numPr>
        <w:spacing w:before="0" w:after="160" w:line="280" w:lineRule="auto"/>
        <w:ind w:left="720" w:hanging="360"/>
      </w:pPr>
      <w:r>
        <w:t>docs/project-closeout.md — tek güncel status authority.</w:t>
      </w:r>
    </w:p>
    <w:p>
      <w:pPr>
        <w:numPr>
          <w:ilvl w:val="0"/>
          <w:numId w:val="10"/>
        </w:numPr>
        <w:spacing w:before="0" w:after="160" w:line="280" w:lineRule="auto"/>
        <w:ind w:left="720" w:hanging="360"/>
      </w:pPr>
      <w:r>
        <w:t>docs/results-index.md — kabul edilen sonuçtan evidence’a harita.</w:t>
      </w:r>
    </w:p>
    <w:p>
      <w:pPr>
        <w:numPr>
          <w:ilvl w:val="0"/>
          <w:numId w:val="10"/>
        </w:numPr>
        <w:spacing w:before="0" w:after="160" w:line="280" w:lineRule="auto"/>
        <w:ind w:left="720" w:hanging="360"/>
      </w:pPr>
      <w:r>
        <w:t>docs/release-closeout-2026-08-28.md — post-tag kapanış ve validation boundary.</w:t>
      </w:r>
    </w:p>
    <w:p>
      <w:pPr>
        <w:numPr>
          <w:ilvl w:val="0"/>
          <w:numId w:val="10"/>
        </w:numPr>
        <w:spacing w:before="0" w:after="160" w:line="280" w:lineRule="auto"/>
        <w:ind w:left="720" w:hanging="360"/>
      </w:pPr>
      <w:r>
        <w:t>docs/architecture/local-application-v1.md — ürün mimarisi.</w:t>
      </w:r>
    </w:p>
    <w:p>
      <w:pPr>
        <w:numPr>
          <w:ilvl w:val="0"/>
          <w:numId w:val="10"/>
        </w:numPr>
        <w:spacing w:before="0" w:after="160" w:line="280" w:lineRule="auto"/>
        <w:ind w:left="720" w:hanging="360"/>
      </w:pPr>
      <w:r>
        <w:t>docs/final-report.md — R1–R6 teknik anlatısı.</w:t>
      </w:r>
    </w:p>
    <w:p>
      <w:pPr>
        <w:numPr>
          <w:ilvl w:val="0"/>
          <w:numId w:val="10"/>
        </w:numPr>
        <w:spacing w:before="0" w:after="160" w:line="280" w:lineRule="auto"/>
        <w:ind w:left="720" w:hanging="360"/>
      </w:pPr>
      <w:r>
        <w:t>experiments/README.md — frozen experiment family entry points.</w:t>
      </w:r>
    </w:p>
    <w:p>
      <w:pPr>
        <w:numPr>
          <w:ilvl w:val="0"/>
          <w:numId w:val="10"/>
        </w:numPr>
        <w:spacing w:before="0" w:after="160" w:line="280" w:lineRule="auto"/>
        <w:ind w:left="720" w:hanging="360"/>
      </w:pPr>
      <w:r>
        <w:t>analysis/level32_repaired_model_matrix_20260824.md — 15-model matrix.</w:t>
      </w:r>
    </w:p>
    <w:p>
      <w:pPr>
        <w:pStyle w:val="ListBullet"/>
      </w:pPr>
      <w:r>
        <w:t>agentic_debugger/evaluation/local_project_verifier.py — Local Project için bağımsız, fail-closed doğrulama.</w:t>
      </w:r>
    </w:p>
    <w:p>
      <w:pPr>
        <w:pStyle w:val="ListBullet"/>
      </w:pPr>
      <w:r>
        <w:t>scripts/verify_public_evidence.py — temiz-repo kamu kanıt kapısı ve dürüst sınırlama kaydı.</w:t>
      </w:r>
    </w:p>
    <w:p>
      <w:pPr>
        <w:numPr>
          <w:ilvl w:val="0"/>
          <w:numId w:val="10"/>
        </w:numPr>
        <w:spacing w:before="0" w:after="160" w:line="280" w:lineRule="auto"/>
        <w:ind w:left="720" w:hanging="360"/>
      </w:pPr>
      <w:r>
        <w:t>TODO.md ve docs/project-tracker.md — closed roadmap ve execution record.</w:t>
      </w:r>
    </w:p>
    <w:p>
      <w:pPr>
        <w:pStyle w:val="ListBullet"/>
      </w:pPr>
      <w:r>
        <w:t>docs/architecture/model-providers-v1.md — provider registry, bağlantı, route, auth ve provenance sözleşmesi.</w:t>
      </w:r>
    </w:p>
    <w:p>
      <w:pPr>
        <w:pStyle w:val="ListBullet"/>
      </w:pPr>
      <w:r>
        <w:t>DESIGN.md — evidence-led forensic console ve verifier-authority görsel kuralları.</w:t>
      </w:r>
    </w:p>
    <w:p>
      <w:pPr>
        <w:pStyle w:val="ListBullet"/>
      </w:pPr>
      <w:r>
        <w:t>Git ebc7787..206dc5e — post-release ürünleşme değişim penceresi ve ilgili regresyon testleri.</w:t>
      </w:r>
    </w:p>
    <w:p>
      <w:pPr>
        <w:pStyle w:val="Heading1"/>
        <w:keepNext/>
      </w:pPr>
      <w:r>
        <w:t>Sonuç</w:t>
      </w:r>
    </w:p>
    <w:p>
      <w:r>
        <w:t>Proje, debugger-assisted repair için araştırılabilir ve denetlenebilir bir sistem kurmuştur. En güçlü yönü tek bir model sonucu değildir. Güçlü yön; runtime evidence, patch lifecycle, bağımsız verification, replay, cleanup ve kamuya açık kanıt kapısının aynı fail-closed sözleşmede birleşmesidir.</w:t>
      </w:r>
    </w:p>
    <w:p>
      <w:r>
        <w:t>Kapanış durumu nettir. Kabul edilen bilimsel sonuçlar değişmemiştir; post-release mühendislik çalışmaları ürün yüzeyini daha erişilebilir, gözlemlenebilir ve provider-bağımsız hale getirmiştir. Bu çalışmalar yeni model başarı oranı veya fine-tuning üstünlüğü iddiası üretmez. Yeni ürün ya da araştırma fazı ayrı hedef, bütçe ve authorization ile açılmalıdır.</w:t>
      </w:r>
    </w:p>
    <w:sectPr>
      <w:headerReference w:type="default" r:id="rId9"/>
      <w:footerReference w:type="default" r:id="rId10"/>
      <w:footerReference w:type="even" r:id="rId1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5F6B76"/>
        <w:sz w:val="18"/>
      </w:rPr>
      <w:t xml:space="preserve">Sayfa </w:t>
    </w:r>
    <w:r>
      <w:rPr>
        <w:rFonts w:ascii="Calibri" w:hAnsi="Calibri" w:eastAsia="Calibri"/>
        <w:color w:val="5F6B76"/>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5F6B76"/>
        <w:sz w:val="18"/>
      </w:rPr>
      <w:t xml:space="preserve">Sayfa </w:t>
    </w:r>
    <w:r>
      <w:rPr>
        <w:rFonts w:ascii="Calibri" w:hAnsi="Calibri" w:eastAsia="Calibri"/>
        <w:color w:val="5F6B7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F6B76"/>
        <w:sz w:val="17"/>
      </w:rPr>
      <w:t>AGENTIC DEBUGGING  |  TEKNİK PROJE RAPORU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suff w:val="tab"/>
      <w:pPr>
        <w:tabs>
          <w:tab w:val="num" w:pos="720"/>
        </w:tabs>
        <w:ind w:left="720" w:hanging="360"/>
        <w:spacing w:after="160" w:line="280" w:lineRule="auto"/>
      </w:pPr>
      <w:rPr>
        <w:rFonts w:ascii="Calibri" w:hAnsi="Calibri"/>
      </w:rPr>
    </w:lvl>
  </w:abstractNum>
  <w:abstractNum w:abstractNumId="10">
    <w:multiLevelType w:val="singleLevel"/>
    <w:lvl w:ilvl="0">
      <w:start w:val="1"/>
      <w:numFmt w:val="decimal"/>
      <w:lvlText w:val="%1."/>
      <w:suff w:val="tab"/>
      <w:pPr>
        <w:tabs>
          <w:tab w:val="num" w:pos="720"/>
        </w:tabs>
        <w:ind w:left="720" w:hanging="360"/>
        <w:spacing w:after="160" w:line="28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jc w:val="left"/>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itation">
    <w:name w:val="Table Citation"/>
    <w:pPr>
      <w:spacing w:before="80" w:after="80" w:line="240" w:lineRule="auto"/>
    </w:pPr>
    <w:rPr>
      <w:rFonts w:ascii="Calibri" w:hAnsi="Calibri"/>
      <w:i/>
      <w:color w:val="5F6B76"/>
      <w:sz w:val="18"/>
    </w:rPr>
  </w:style>
  <w:style w:type="paragraph" w:customStyle="1" w:styleId="Code">
    <w:name w:val="Code"/>
    <w:pPr>
      <w:keepLines/>
      <w:spacing w:before="60" w:after="100" w:line="240" w:lineRule="auto"/>
      <w:ind w:left="216" w:right="216"/>
    </w:pPr>
    <w:rPr>
      <w:rFonts w:ascii="Consolas" w:hAnsi="Consolas"/>
      <w:color w:val="0B254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Debugging Teknik Proje Raporu — 31 Ağustos 2026</dc:title>
  <dc:subject>Python/PDB-first agentic debugging technical report</dc:subject>
  <dc:creator/>
  <cp:keywords>agentic debugging, PDB, software repair, verifier, evaluation</cp:keywords>
  <dc:description>28 Ağustos 2026 kamu inceleme adayı</dc:description>
  <cp:lastModifiedBy/>
  <cp:revision>1</cp:revision>
  <dcterms:created xsi:type="dcterms:W3CDTF">2013-12-23T23:15:00Z</dcterms:created>
  <dcterms:modified xsi:type="dcterms:W3CDTF">2026-08-31T09:45:00Z</dcterms:modified>
  <cp:category/>
</cp:coreProperties>
</file>