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eastAsia="Calibri"/>
          <w:b/>
          <w:color w:val="000000"/>
          <w:sz w:val="46"/>
        </w:rPr>
        <w:t>TEKNİK PROJE RAPORU</w:t>
      </w:r>
    </w:p>
    <w:p>
      <w:pPr>
        <w:spacing w:after="320"/>
      </w:pPr>
      <w:r>
        <w:rPr>
          <w:rFonts w:ascii="Calibri" w:hAnsi="Calibri" w:eastAsia="Calibri"/>
          <w:color w:val="373737"/>
          <w:sz w:val="28"/>
        </w:rPr>
        <w:t>Agentic Debugging Internship — Python/PDB ile Debugger Destekli Yazılım Onarımı</w:t>
      </w:r>
    </w:p>
    <w:p>
      <w:pPr>
        <w:spacing w:after="40"/>
      </w:pPr>
      <w:r>
        <w:rPr>
          <w:rFonts w:ascii="Calibri" w:hAnsi="Calibri" w:eastAsia="Calibri"/>
          <w:b/>
          <w:color w:val="000000"/>
          <w:sz w:val="21"/>
        </w:rPr>
        <w:t xml:space="preserve">Proje sahibi: </w:t>
      </w:r>
      <w:r>
        <w:rPr>
          <w:rFonts w:ascii="Calibri" w:hAnsi="Calibri" w:eastAsia="Calibri"/>
          <w:color w:val="000000"/>
          <w:sz w:val="21"/>
        </w:rPr>
        <w:t>Onur</w:t>
      </w:r>
    </w:p>
    <w:p>
      <w:pPr>
        <w:spacing w:after="40"/>
      </w:pPr>
      <w:r>
        <w:rPr>
          <w:rFonts w:ascii="Calibri" w:hAnsi="Calibri" w:eastAsia="Calibri"/>
          <w:b/>
          <w:color w:val="000000"/>
          <w:sz w:val="21"/>
        </w:rPr>
        <w:t xml:space="preserve">Teknik rol: </w:t>
      </w:r>
      <w:r>
        <w:rPr>
          <w:rFonts w:ascii="Calibri" w:hAnsi="Calibri" w:eastAsia="Calibri"/>
          <w:color w:val="000000"/>
          <w:sz w:val="21"/>
        </w:rPr>
        <w:t>FirstMate incelemesi ve kapanış raporu</w:t>
      </w:r>
    </w:p>
    <w:p>
      <w:pPr>
        <w:spacing w:after="40"/>
      </w:pPr>
      <w:r>
        <w:rPr>
          <w:rFonts w:ascii="Calibri" w:hAnsi="Calibri" w:eastAsia="Calibri"/>
          <w:b/>
          <w:color w:val="000000"/>
          <w:sz w:val="21"/>
        </w:rPr>
        <w:t xml:space="preserve">Tarih: </w:t>
      </w:r>
      <w:r>
        <w:rPr>
          <w:rFonts w:ascii="Calibri" w:hAnsi="Calibri" w:eastAsia="Calibri"/>
          <w:color w:val="000000"/>
          <w:sz w:val="21"/>
        </w:rPr>
        <w:t>28 Ağustos 2026</w:t>
      </w:r>
    </w:p>
    <w:p>
      <w:pPr>
        <w:spacing w:after="40"/>
      </w:pPr>
      <w:r>
        <w:rPr>
          <w:rFonts w:ascii="Calibri" w:hAnsi="Calibri" w:eastAsia="Calibri"/>
          <w:b/>
          <w:color w:val="000000"/>
          <w:sz w:val="21"/>
        </w:rPr>
        <w:t xml:space="preserve">Sürüm: </w:t>
      </w:r>
      <w:r>
        <w:rPr>
          <w:rFonts w:ascii="Calibri" w:hAnsi="Calibri" w:eastAsia="Calibri"/>
          <w:color w:val="000000"/>
          <w:sz w:val="21"/>
        </w:rPr>
        <w:t>v0.1.0 — post-tag kapanış adayı</w:t>
      </w:r>
    </w:p>
    <w:p>
      <w:pPr>
        <w:spacing w:after="40"/>
      </w:pPr>
      <w:r>
        <w:rPr>
          <w:rFonts w:ascii="Calibri" w:hAnsi="Calibri" w:eastAsia="Calibri"/>
          <w:b/>
          <w:color w:val="000000"/>
          <w:sz w:val="21"/>
        </w:rPr>
        <w:t xml:space="preserve">Durum: </w:t>
      </w:r>
      <w:r>
        <w:rPr>
          <w:rFonts w:ascii="Calibri" w:hAnsi="Calibri" w:eastAsia="Calibri"/>
          <w:color w:val="000000"/>
          <w:sz w:val="21"/>
        </w:rPr>
        <w:t>Zorunlu proje döngüsü kapalı; yeni iş owner onayı gerektirir</w:t>
      </w:r>
    </w:p>
    <w:p>
      <w:pPr>
        <w:spacing w:before="160" w:after="280"/>
        <w:pBdr>
          <w:bottom w:val="single" w:sz="14" w:space="4" w:color="2E74B5"/>
        </w:pBdr>
      </w:pPr>
    </w:p>
    <w:p>
      <w:pPr>
        <w:pStyle w:val="Heading1"/>
        <w:keepNext/>
      </w:pPr>
      <w:r>
        <w:t>Yönetici özeti</w:t>
      </w:r>
    </w:p>
    <w:p>
      <w:r>
        <w:t>Proje, yazılım onarım ajanına çalışma zamanı kanıtı sağlayan Python/PDB-first bir prototiptir. Tek controller, typed tools ve açık bütçeler kullanır. Bağımsız verifier doğruluk otoritesidir; model veya operatör iddiası tek başına başarı sayılmaz.</w:t>
      </w:r>
    </w:p>
    <w:p>
      <w:r>
        <w:t>Zorunlu döngü 28 Ağustos 2026’da kapanmıştır. v0.1.0 etiketi d01f7a5’i gösterir. Post-tag uygulama onarımı 8b2479b’dedir. Arşiv ve rapor adayı Git güvenlik kapısı nedeniyle unstaged’dır. Merge ve push yoktur.</w:t>
      </w:r>
    </w:p>
    <w:p>
      <w:r>
        <w:t>R5 temiz base-14B holdout 5/5’tir. R6 tuned-7B task-disjoint QuixBugs doğrulaması 8/8 RESOLVED’dır; matched-base nedensel fine-tuning kanıtı değildir. Repaired Level-32 içinde GLM 5.1 ve 5.2, F2P 5/5 ve P2P failed 0/9 elde etmiştir.</w:t>
      </w:r>
    </w:p>
    <w:p>
      <w:pPr>
        <w:pStyle w:val="Heading1"/>
        <w:keepNext/>
      </w:pPr>
      <w:r>
        <w:t>Problem ve araştırma amacı</w:t>
      </w:r>
    </w:p>
    <w:p>
      <w:r>
        <w:t>Statik okuma değer akışı ve sınır koşullarını kaçırabilir. Amaç, modeli serbest terminale bırakmadan runtime evidence’ı güvenli ve ölçülebilir araçlarla sağlamaktır.</w:t>
      </w:r>
    </w:p>
    <w:p>
      <w:pPr>
        <w:numPr>
          <w:ilvl w:val="0"/>
          <w:numId w:val="10"/>
        </w:numPr>
        <w:spacing w:before="0" w:after="160" w:line="280" w:lineRule="auto"/>
        <w:ind w:left="720" w:hanging="360"/>
      </w:pPr>
      <w:r>
        <w:t>Bir repair agent, PDB gözlemlerini tiplendirilmiş ve bütçeli bir araç döngüsünde kullanabilir mi?</w:t>
      </w:r>
    </w:p>
    <w:p>
      <w:pPr>
        <w:numPr>
          <w:ilvl w:val="0"/>
          <w:numId w:val="10"/>
        </w:numPr>
        <w:spacing w:before="0" w:after="160" w:line="280" w:lineRule="auto"/>
        <w:ind w:left="720" w:hanging="360"/>
      </w:pPr>
      <w:r>
        <w:t>Runtime evidence, hipotezden patch’e giden yolu izlenebilir hale getirebilir mi?</w:t>
      </w:r>
    </w:p>
    <w:p>
      <w:pPr>
        <w:numPr>
          <w:ilvl w:val="0"/>
          <w:numId w:val="10"/>
        </w:numPr>
        <w:spacing w:before="0" w:after="160" w:line="280" w:lineRule="auto"/>
        <w:ind w:left="720" w:hanging="360"/>
      </w:pPr>
      <w:r>
        <w:t>Model çıktısı bağımsız ve fail-closed bir verifier ile güvenilir biçimde sınıflandırılabilir mi?</w:t>
      </w:r>
    </w:p>
    <w:p>
      <w:pPr>
        <w:numPr>
          <w:ilvl w:val="0"/>
          <w:numId w:val="10"/>
        </w:numPr>
        <w:spacing w:before="0" w:after="160" w:line="280" w:lineRule="auto"/>
        <w:ind w:left="720" w:hanging="360"/>
      </w:pPr>
      <w:r>
        <w:t>Aynı bilimsel çekirdek, yerel bir ürün yüzeyinde replay, cancellation ve apply-to-project sınırlarını koruyabilir mi?</w:t>
      </w:r>
    </w:p>
    <w:p>
      <w:pPr>
        <w:pStyle w:val="Heading1"/>
        <w:keepNext/>
      </w:pPr>
      <w:r>
        <w:t>Kapsam ve kapsam dışı sınırlar</w:t>
      </w:r>
    </w:p>
    <w:tbl>
      <w:tblPr>
        <w:tblStyle w:val="TableGrid"/>
        <w:tblW w:type="dxa" w:w="9360"/>
        <w:jc w:val="left"/>
        <w:tblLayout w:type="fixed"/>
        <w:tblLook w:firstColumn="1" w:firstRow="1" w:lastColumn="0" w:lastRow="0" w:noHBand="0" w:noVBand="1" w:val="04A0"/>
        <w:tblInd w:w="120" w:type="dxa"/>
        <w:tblCaption w:val="Kapsam ve sınırlar"/>
        <w:tblDescription w:val="Projenin kabul edilen teknik kapsamı ve açıkça kapsam dışı bırakılan alanlar."/>
      </w:tblPr>
      <w:tblGrid>
        <w:gridCol w:w="1800"/>
        <w:gridCol w:w="3720"/>
        <w:gridCol w:w="3840"/>
      </w:tblGrid>
      <w:tr>
        <w:trPr>
          <w:tblHeader w:val="true"/>
          <w:cantSplit/>
        </w:trPr>
        <w:tc>
          <w:tcPr>
            <w:tcW w:type="dxa" w:w="180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Alan</w:t>
            </w:r>
          </w:p>
        </w:tc>
        <w:tc>
          <w:tcPr>
            <w:tcW w:type="dxa" w:w="372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Kabul edilen kapsam</w:t>
            </w:r>
          </w:p>
        </w:tc>
        <w:tc>
          <w:tcPr>
            <w:tcW w:type="dxa" w:w="384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Sınır</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Dil/runtime</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Python 3.11+ ve PDB</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GDB, LLDB ve çok dilli debugger yok</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Ajan mimarisi</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Tek controller; typed directives ve tools</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Multi-agent repair mimarisi yok</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Çalıştırma</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Trusted-local disposable workspace</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Hostile-code sandbox olduğu iddia edilmez</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Patch</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Unified diff ve allowlisted path</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Canonical fixture doğrudan düzenlenmez</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Doğrulama</w:t>
            </w:r>
          </w:p>
        </w:tc>
        <w:tc>
          <w:tcPr>
            <w:tcW w:type="dxa" w:w="37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Bağımsız baseline, F2P, P2P, syntax, cleanup</w:t>
            </w:r>
          </w:p>
        </w:tc>
        <w:tc>
          <w:tcPr>
            <w:tcW w:type="dxa" w:w="38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Model öz-raporu başarı otoritesi değildir</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Harici kampanya</w:t>
            </w:r>
          </w:p>
        </w:tc>
        <w:tc>
          <w:tcPr>
            <w:tcW w:type="dxa" w:w="37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Yalnız açık owner yetkisiyle</w:t>
            </w:r>
          </w:p>
        </w:tc>
        <w:tc>
          <w:tcPr>
            <w:tcW w:type="dxa" w:w="38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Kapanışta provider, Docker, WSL ve BugsInPy çalıştırılmadı</w:t>
            </w:r>
          </w:p>
        </w:tc>
      </w:tr>
    </w:tbl>
    <w:p>
      <w:pPr>
        <w:pStyle w:val="TableCitation"/>
      </w:pPr>
      <w:r>
        <w:t>Kaynak: AGENTS.md; README.md; docs/project-closeout.md.</w:t>
      </w:r>
    </w:p>
    <w:p>
      <w:pPr>
        <w:pStyle w:val="Heading1"/>
        <w:keepNext/>
      </w:pPr>
      <w:r>
        <w:t>Sistem mimarisi</w:t>
      </w:r>
    </w:p>
    <w:tbl>
      <w:tblPr>
        <w:tblStyle w:val="TableGrid"/>
        <w:tblW w:type="dxa" w:w="9360"/>
        <w:jc w:val="left"/>
        <w:tblLayout w:type="fixed"/>
        <w:tblLook w:firstColumn="1" w:firstRow="1" w:lastColumn="0" w:lastRow="0" w:noHBand="0" w:noVBand="1" w:val="04A0"/>
        <w:tblInd w:w="120" w:type="dxa"/>
        <w:tblCaption w:val="Mimari katmanlar"/>
        <w:tblDescription w:val="Üretim paketindeki ana katmanlar ve tek cümlelik sorumlulukları."/>
      </w:tblPr>
      <w:tblGrid>
        <w:gridCol w:w="2040"/>
        <w:gridCol w:w="7320"/>
      </w:tblGrid>
      <w:tr>
        <w:trPr>
          <w:tblHeader w:val="true"/>
          <w:cantSplit/>
        </w:trPr>
        <w:tc>
          <w:tcPr>
            <w:tcW w:type="dxa" w:w="204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Katman</w:t>
            </w:r>
          </w:p>
        </w:tc>
        <w:tc>
          <w:tcPr>
            <w:tcW w:type="dxa" w:w="732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Sorumluluk</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agent</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State machine, policy, budgets, hypothesis ledger, model directives, tool registry</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runtime</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Command runner, workspace, patcher, pytest runner, PDB protocol/session/worker</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evaluation</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Task schema, baseline, verifier, outcome taxonomy, live harness</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events</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Strict event schema, JSONL logging, replay ve golden trajectory sözleşmeleri</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application</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Session spec/result, worker boundary, journal, history, replay, local project</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ui</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Textual tabanlı Local Application V1 ve kullanıcı etkileşimleri</w:t>
            </w:r>
          </w:p>
        </w:tc>
      </w:tr>
      <w:tr>
        <w:trPr>
          <w:cantSplit/>
        </w:trPr>
        <w:tc>
          <w:tcPr>
            <w:tcW w:type="dxa" w:w="20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datasets/experiments</w:t>
            </w:r>
          </w:p>
        </w:tc>
        <w:tc>
          <w:tcPr>
            <w:tcW w:type="dxa" w:w="7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Curated fixtures, QuixBugs, lisans kapılı BugsInPy, R1–R6 ve Level-32 evidence</w:t>
            </w:r>
          </w:p>
        </w:tc>
      </w:tr>
    </w:tbl>
    <w:p>
      <w:pPr>
        <w:pStyle w:val="TableCitation"/>
      </w:pPr>
      <w:r>
        <w:t>Kaynak: agentic_debugger/; docs/architecture/local-application-v1.md.</w:t>
      </w:r>
    </w:p>
    <w:p>
      <w:pPr>
        <w:pStyle w:val="Heading2"/>
        <w:keepNext/>
      </w:pPr>
      <w:r>
        <w:t>Uçtan uca çalışma akışı</w:t>
      </w:r>
    </w:p>
    <w:p>
      <w:pPr>
        <w:numPr>
          <w:ilvl w:val="0"/>
          <w:numId w:val="11"/>
        </w:numPr>
        <w:spacing w:before="0" w:after="160" w:line="280" w:lineRule="auto"/>
        <w:ind w:left="720" w:hanging="360"/>
      </w:pPr>
      <w:r>
        <w:t>Task schema, izinli yollar, testler ve bütçeler doğrulanır.</w:t>
      </w:r>
    </w:p>
    <w:p>
      <w:pPr>
        <w:numPr>
          <w:ilvl w:val="0"/>
          <w:numId w:val="11"/>
        </w:numPr>
        <w:spacing w:before="0" w:after="160" w:line="280" w:lineRule="auto"/>
        <w:ind w:left="720" w:hanging="360"/>
      </w:pPr>
      <w:r>
        <w:t>Buggy baseline disposable workspace içinde üretilir.</w:t>
      </w:r>
    </w:p>
    <w:p>
      <w:pPr>
        <w:numPr>
          <w:ilvl w:val="0"/>
          <w:numId w:val="11"/>
        </w:numPr>
        <w:spacing w:before="0" w:after="160" w:line="280" w:lineRule="auto"/>
        <w:ind w:left="720" w:hanging="360"/>
      </w:pPr>
      <w:r>
        <w:t>Controller gözlemlerden hipotez kurar.</w:t>
      </w:r>
    </w:p>
    <w:p>
      <w:pPr>
        <w:numPr>
          <w:ilvl w:val="0"/>
          <w:numId w:val="11"/>
        </w:numPr>
        <w:spacing w:before="0" w:after="160" w:line="280" w:lineRule="auto"/>
        <w:ind w:left="720" w:hanging="360"/>
      </w:pPr>
      <w:r>
        <w:t>Politika izin verirse PDB stack, locals, next ve safe-eval kanıtı toplar.</w:t>
      </w:r>
    </w:p>
    <w:p>
      <w:pPr>
        <w:numPr>
          <w:ilvl w:val="0"/>
          <w:numId w:val="11"/>
        </w:numPr>
        <w:spacing w:before="0" w:after="160" w:line="280" w:lineRule="auto"/>
        <w:ind w:left="720" w:hanging="360"/>
      </w:pPr>
      <w:r>
        <w:t>Model unified diff üretir; patcher fail-closed uygular.</w:t>
      </w:r>
    </w:p>
    <w:p>
      <w:pPr>
        <w:numPr>
          <w:ilvl w:val="0"/>
          <w:numId w:val="11"/>
        </w:numPr>
        <w:spacing w:before="0" w:after="160" w:line="280" w:lineRule="auto"/>
        <w:ind w:left="720" w:hanging="360"/>
      </w:pPr>
      <w:r>
        <w:t>Verifier temiz kopyada baseline, candidate, F2P ve P2P çalıştırır.</w:t>
      </w:r>
    </w:p>
    <w:p>
      <w:pPr>
        <w:numPr>
          <w:ilvl w:val="0"/>
          <w:numId w:val="11"/>
        </w:numPr>
        <w:spacing w:before="0" w:after="160" w:line="280" w:lineRule="auto"/>
        <w:ind w:left="720" w:hanging="360"/>
      </w:pPr>
      <w:r>
        <w:t>Outcome ve replay kaydedilir; process ve workspace temizlenir.</w:t>
      </w:r>
    </w:p>
    <w:p>
      <w:pPr>
        <w:pStyle w:val="Heading1"/>
        <w:keepNext/>
      </w:pPr>
      <w:r>
        <w:t>Controller ve runtime sözleşmeleri</w:t>
      </w:r>
    </w:p>
    <w:p>
      <w:pPr>
        <w:pStyle w:val="Heading2"/>
        <w:keepNext/>
      </w:pPr>
      <w:r>
        <w:t>Durum makinesi</w:t>
      </w:r>
    </w:p>
    <w:p>
      <w:r>
        <w:t>Akış Reproduce → Understand → RuntimeEvidence → Patch → Validate → Done/Failed biçimindedir. Geçişler allowlist’tir; terminal durumlar açılamaz ve hatalı/stale directive başarı sayılmaz.</w:t>
      </w:r>
    </w:p>
    <w:p>
      <w:pPr>
        <w:pStyle w:val="Heading2"/>
        <w:keepNext/>
      </w:pPr>
      <w:r>
        <w:t>Hipotez ve bütçe</w:t>
      </w:r>
    </w:p>
    <w:p>
      <w:r>
        <w:t>Hypothesis ledger statement, confidence, status, evidence refs ve revision taşır. Patch, test, PDB, source ve active-hypothesis limitlerini controller policy uygular.</w:t>
      </w:r>
    </w:p>
    <w:p>
      <w:pPr>
        <w:pStyle w:val="Heading2"/>
        <w:keepNext/>
      </w:pPr>
      <w:r>
        <w:t>PDB sınırı</w:t>
      </w:r>
    </w:p>
    <w:p>
      <w:r>
        <w:t>PDB serbest terminal değildir. Protocol/session/worker yalnız start, stack, locals, step/next, safe eval ve stop’u kaydeder. Timeout, cancellation ve process-tree cleanup correctness’in parçasıdır.</w:t>
      </w:r>
    </w:p>
    <w:p>
      <w:pPr>
        <w:pStyle w:val="Heading2"/>
        <w:keepNext/>
      </w:pPr>
      <w:r>
        <w:t>Patch yaşam döngüsü</w:t>
      </w:r>
    </w:p>
    <w:p>
      <w:r>
        <w:t>Patch yalnız izinli path’lere uygulanır. Parse, authorization, apply, revert ve rollback ayrıdır. Verifier disposable kopya kullanır; canonical hash değişimi evaluator failure’dır.</w:t>
      </w:r>
    </w:p>
    <w:p>
      <w:pPr>
        <w:pStyle w:val="Heading1"/>
        <w:keepNext/>
      </w:pPr>
      <w:r>
        <w:t>Bağımsız verifier ve kanıt modeli</w:t>
      </w:r>
    </w:p>
    <w:p>
      <w:r>
        <w:t>Verifier controller’dan bağımsızdır. Önce orijinal failure’ı üretir; sonra patch, syntax, F2P, P2P, full suite, private check, timeout ve cleanup kayıtlarını oluşturur.</w:t>
      </w:r>
    </w:p>
    <w:tbl>
      <w:tblPr>
        <w:tblStyle w:val="TableGrid"/>
        <w:tblW w:type="dxa" w:w="9360"/>
        <w:jc w:val="left"/>
        <w:tblLayout w:type="fixed"/>
        <w:tblLook w:firstColumn="1" w:firstRow="1" w:lastColumn="0" w:lastRow="0" w:noHBand="0" w:noVBand="1" w:val="04A0"/>
        <w:tblInd w:w="120" w:type="dxa"/>
        <w:tblCaption w:val="Verifier outcome özeti"/>
        <w:tblDescription w:val="Bağımsız verifier tarafından kullanılan temel sonuç sınıfları."/>
      </w:tblPr>
      <w:tblGrid>
        <w:gridCol w:w="3000"/>
        <w:gridCol w:w="6360"/>
      </w:tblGrid>
      <w:tr>
        <w:trPr>
          <w:tblHeader w:val="true"/>
          <w:cantSplit/>
        </w:trPr>
        <w:tc>
          <w:tcPr>
            <w:tcW w:type="dxa" w:w="300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Sonuç</w:t>
            </w:r>
          </w:p>
        </w:tc>
        <w:tc>
          <w:tcPr>
            <w:tcW w:type="dxa" w:w="636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Anlam</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RESOLVED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Baseline geçerli; F2P geçti; gerekli P2P/suite koşulları sağlandı</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BREAKING_RESOLVED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Hedef hata düzeldi fakat regression oluştu</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UNRESOLVED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Aday hedef failure’ı gidermedi</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BASELINE_INVALID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Görev başlangıç sözleşmesi kanıtlanamadı</w:t>
            </w:r>
          </w:p>
        </w:tc>
      </w:tr>
      <w:tr>
        <w:trPr>
          <w:cantSplit/>
        </w:trPr>
        <w:tc>
          <w:tcPr>
            <w:tcW w:type="dxa" w:w="3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INFRASTRUCTURE_BLOCKED</w:t>
            </w:r>
          </w:p>
        </w:tc>
        <w:tc>
          <w:tcPr>
            <w:tcW w:type="dxa" w:w="6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Çevre veya execution boundary semantik sonucu engelledi</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EVALUATOR_INVARIANT_FAILED</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Verifier’ın kendi güven sözleşmesi bozuldu</w:t>
            </w:r>
          </w:p>
        </w:tc>
      </w:tr>
    </w:tbl>
    <w:p>
      <w:pPr>
        <w:pStyle w:val="TableCitation"/>
      </w:pPr>
      <w:r>
        <w:t>Kaynak: agentic_debugger/evaluation/verifier.py ve outcome_taxonomy.py.</w:t>
      </w:r>
    </w:p>
    <w:p>
      <w:pPr>
        <w:pStyle w:val="Heading1"/>
        <w:keepNext/>
      </w:pPr>
      <w:r>
        <w:t>Local Application V1</w:t>
      </w:r>
    </w:p>
    <w:p>
      <w:pPr>
        <w:keepNext/>
      </w:pPr>
      <w:r>
        <w:t>Textual tabanlı yerel uygulama, bilimsel çekirdeğin ayrı bir kopyası değildir. Aynı session, controller, runtime, verifier ve event sözleşmelerini kullanır. Ürün katmanı task seçimi, model kaynağı, canlı durum, cancellation, history, replay ve Apply To Project akışını sağlar.</w:t>
      </w:r>
    </w:p>
    <w:tbl>
      <w:tblPr>
        <w:tblStyle w:val="TableGrid"/>
        <w:tblW w:type="dxa" w:w="9360"/>
        <w:jc w:val="left"/>
        <w:tblLayout w:type="fixed"/>
        <w:tblLook w:firstColumn="1" w:firstRow="1" w:lastColumn="0" w:lastRow="0" w:noHBand="0" w:noVBand="1" w:val="04A0"/>
        <w:tblInd w:w="120" w:type="dxa"/>
        <w:tblCaption w:val="Local Application çalışma yüzeyleri"/>
        <w:tblDescription w:val="Yerel uygulamanın desteklediği session kaynakları ve güven sınırları."/>
      </w:tblPr>
      <w:tblGrid>
        <w:gridCol w:w="1800"/>
        <w:gridCol w:w="3480"/>
        <w:gridCol w:w="4080"/>
      </w:tblGrid>
      <w:tr>
        <w:trPr>
          <w:tblHeader w:val="true"/>
          <w:cantSplit/>
        </w:trPr>
        <w:tc>
          <w:tcPr>
            <w:tcW w:type="dxa" w:w="180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Yüzey</w:t>
            </w:r>
          </w:p>
        </w:tc>
        <w:tc>
          <w:tcPr>
            <w:tcW w:type="dxa" w:w="348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Davranış</w:t>
            </w:r>
          </w:p>
        </w:tc>
        <w:tc>
          <w:tcPr>
            <w:tcW w:type="dxa" w:w="408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Güven sınırı</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Deterministic offline</w:t>
            </w:r>
          </w:p>
        </w:tc>
        <w:tc>
          <w:tcPr>
            <w:tcW w:type="dxa" w:w="34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Catalog plan ile provider’sız yürütme</w:t>
            </w:r>
          </w:p>
        </w:tc>
        <w:tc>
          <w:tcPr>
            <w:tcW w:type="dxa" w:w="40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Demo/ürün altyapısı; model kabiliyeti iddiası yok</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Configured command</w:t>
            </w:r>
          </w:p>
        </w:tc>
        <w:tc>
          <w:tcPr>
            <w:tcW w:type="dxa" w:w="34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JSONL stdin/stdout model transport</w:t>
            </w:r>
          </w:p>
        </w:tc>
        <w:tc>
          <w:tcPr>
            <w:tcW w:type="dxa" w:w="40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Boyut, timeout, identity ve cancellation kontrolleri</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Ollama Cloud</w:t>
            </w:r>
          </w:p>
        </w:tc>
        <w:tc>
          <w:tcPr>
            <w:tcW w:type="dxa" w:w="34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Kabul edilmiş configured-command adapter</w:t>
            </w:r>
          </w:p>
        </w:tc>
        <w:tc>
          <w:tcPr>
            <w:tcW w:type="dxa" w:w="40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Açık model/route kimliği; fallback yok</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Capability ladder</w:t>
            </w:r>
          </w:p>
        </w:tc>
        <w:tc>
          <w:tcPr>
            <w:tcW w:type="dxa" w:w="34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Donmuş PDB task sırası</w:t>
            </w:r>
          </w:p>
        </w:tc>
        <w:tc>
          <w:tcPr>
            <w:tcW w:type="dxa" w:w="40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Treatment metadata ve sıra korunur</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Local Project Debug</w:t>
            </w:r>
          </w:p>
        </w:tc>
        <w:tc>
          <w:tcPr>
            <w:tcW w:type="dxa" w:w="34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Kullanıcı repo’sunda izole worktree</w:t>
            </w:r>
          </w:p>
        </w:tc>
        <w:tc>
          <w:tcPr>
            <w:tcW w:type="dxa" w:w="408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CommandRunner, job object, ledger ve apply gates</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History / Replay</w:t>
            </w:r>
          </w:p>
        </w:tc>
        <w:tc>
          <w:tcPr>
            <w:tcW w:type="dxa" w:w="34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Immutable journal’dan read-only reconstruction</w:t>
            </w:r>
          </w:p>
        </w:tc>
        <w:tc>
          <w:tcPr>
            <w:tcW w:type="dxa" w:w="408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Replay provider çağırmaz ve doğruluk üretmez</w:t>
            </w:r>
          </w:p>
        </w:tc>
      </w:tr>
    </w:tbl>
    <w:p>
      <w:pPr>
        <w:pStyle w:val="TableCitation"/>
      </w:pPr>
      <w:r>
        <w:t>Kaynak: docs/architecture/local-application-v1.md; agentic_debugger/application/; agentic_debugger/ui/.</w:t>
      </w:r>
    </w:p>
    <w:p>
      <w:pPr>
        <w:pStyle w:val="Heading1"/>
        <w:keepNext/>
      </w:pPr>
      <w:r>
        <w:t>Veri kümeleri ve değerlendirme altyapısı</w:t>
      </w:r>
    </w:p>
    <w:tbl>
      <w:tblPr>
        <w:tblStyle w:val="TableGrid"/>
        <w:tblW w:type="dxa" w:w="9360"/>
        <w:jc w:val="left"/>
        <w:tblLayout w:type="fixed"/>
        <w:tblLook w:firstColumn="1" w:firstRow="1" w:lastColumn="0" w:lastRow="0" w:noHBand="0" w:noVBand="1" w:val="04A0"/>
        <w:tblInd w:w="120" w:type="dxa"/>
        <w:tblCaption w:val="Veri kaynakları"/>
        <w:tblDescription w:val="Projenin kullandığı veri kaynakları, amaçları ve güncel yürütme durumları."/>
      </w:tblPr>
      <w:tblGrid>
        <w:gridCol w:w="1800"/>
        <w:gridCol w:w="4320"/>
        <w:gridCol w:w="3240"/>
      </w:tblGrid>
      <w:tr>
        <w:trPr>
          <w:tblHeader w:val="true"/>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Kaynak</w:t>
            </w:r>
          </w:p>
        </w:tc>
        <w:tc>
          <w:tcPr>
            <w:tcW w:type="dxa" w:w="432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Kullanım</w:t>
            </w:r>
          </w:p>
        </w:tc>
        <w:tc>
          <w:tcPr>
            <w:tcW w:type="dxa" w:w="324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Durum</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Curated</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Beş küçük Python/pytest architecture fixture</w:t>
            </w:r>
          </w:p>
        </w:tc>
        <w:tc>
          <w:tcPr>
            <w:tcW w:type="dxa" w:w="32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Repo içinde; deterministik demo ve testler</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QuixBugs</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Adapter, manifest, containment ve gold baseline</w:t>
            </w:r>
          </w:p>
        </w:tc>
        <w:tc>
          <w:tcPr>
            <w:tcW w:type="dxa" w:w="32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8/8 gold altyapı kanıtı; model sonucu değildir</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SWE-rebench Level-32</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Repository-scale candidate-artifact ve official test sınırı</w:t>
            </w:r>
          </w:p>
        </w:tc>
        <w:tc>
          <w:tcPr>
            <w:tcW w:type="dxa" w:w="32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Repaired treatment ve 15-model matrix kapalı</w:t>
            </w:r>
          </w:p>
        </w:tc>
      </w:tr>
      <w:tr>
        <w:trPr>
          <w:cantSplit/>
        </w:trPr>
        <w:tc>
          <w:tcPr>
            <w:tcW w:type="dxa" w:w="18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BugsInPy</w:t>
            </w:r>
          </w:p>
        </w:tc>
        <w:tc>
          <w:tcPr>
            <w:tcW w:type="dxa" w:w="432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Metadata, preflight ve WSL adapter tasarımı</w:t>
            </w:r>
          </w:p>
        </w:tc>
        <w:tc>
          <w:tcPr>
            <w:tcW w:type="dxa" w:w="324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License-gated; source acquisition ve execution yapılmadı</w:t>
            </w:r>
          </w:p>
        </w:tc>
      </w:tr>
      <w:tr>
        <w:trPr>
          <w:cantSplit/>
        </w:trPr>
        <w:tc>
          <w:tcPr>
            <w:tcW w:type="dxa" w:w="18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RAG / preference</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Corpus, retrieval, comparison ve exporter altyapısı</w:t>
            </w:r>
          </w:p>
        </w:tc>
        <w:tc>
          <w:tcPr>
            <w:tcW w:type="dxa" w:w="32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S4 correctness NOT_EVALUATED; DPO yeni kampanya değil</w:t>
            </w:r>
          </w:p>
        </w:tc>
      </w:tr>
    </w:tbl>
    <w:p>
      <w:pPr>
        <w:pStyle w:val="TableCitation"/>
      </w:pPr>
      <w:r>
        <w:t>Kaynak: docs/results-index.md; research/; agentic_debugger/datasets/.</w:t>
      </w:r>
    </w:p>
    <w:p>
      <w:pPr>
        <w:pStyle w:val="Heading1"/>
        <w:keepNext/>
      </w:pPr>
      <w:r>
        <w:t>Bilimsel ve deneysel sonuçlar</w:t>
      </w:r>
    </w:p>
    <w:tbl>
      <w:tblPr>
        <w:tblStyle w:val="TableGrid"/>
        <w:tblW w:type="dxa" w:w="9360"/>
        <w:jc w:val="left"/>
        <w:tblLayout w:type="fixed"/>
        <w:tblLook w:firstColumn="1" w:firstRow="1" w:lastColumn="0" w:lastRow="0" w:noHBand="0" w:noVBand="1" w:val="04A0"/>
        <w:tblInd w:w="120" w:type="dxa"/>
        <w:tblCaption w:val="Kabul edilen deney sonuçları"/>
        <w:tblDescription w:val="Projenin kapanışında kabul edilen ölçümler ve aşırı yorumlamayı engelleyen niteleyiciler."/>
      </w:tblPr>
      <w:tblGrid>
        <w:gridCol w:w="1740"/>
        <w:gridCol w:w="4320"/>
        <w:gridCol w:w="3300"/>
      </w:tblGrid>
      <w:tr>
        <w:trPr>
          <w:tblHeader w:val="true"/>
          <w:cantSplit/>
        </w:trPr>
        <w:tc>
          <w:tcPr>
            <w:tcW w:type="dxa" w:w="174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Çalışma</w:t>
            </w:r>
          </w:p>
        </w:tc>
        <w:tc>
          <w:tcPr>
            <w:tcW w:type="dxa" w:w="432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Ölçülen sonuç</w:t>
            </w:r>
          </w:p>
        </w:tc>
        <w:tc>
          <w:tcPr>
            <w:tcW w:type="dxa" w:w="33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Geçerli yorum</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R1</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Repaired interface ile gerçek breakpoint ve ilk PDB observation</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Dynamic evidence yolu çalıştı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R2</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Multi-turn breakpoint, stack, locals ve next</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Yapılandırılmış debugger loop kanıtlandı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R3</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Debugger evidence → patch → verifier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Uçtan uca onarım yolu kanıtlandı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R4</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Model-generated regression test buggy’de fail, repaired’da pass</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Test-probe altyapısı çalıştı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R5</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Clean base-14B holdout 5/5; 41 prompt’ta leakage finding 0</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Küçük curated dağılımda pozitif sonuç</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R6</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Tuned-7B task-disjoint QuixBugs 8/8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Matched-base nedensel fine-tuning kanıtı değil</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Exact-PDB ladder</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6/100, 12/100 ve 18/100 tek görev rungs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Üç ayrı capability proof; success rate değil</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Level-32 repaired</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GLM 5.1 ve 5.2: F2P 5/5, P2P failed 0/9</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Candidate-artifact sınırı onarıldı</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15-model matrix</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14 exact-PDB; 7 official tests; 6 ≥4/5; 2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 semantic rejection, 12 protocol failure</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Ollama product proof</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gpt-oss:20b-cloud: F2P 1/1, P2P 2/2</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Ürün/debugging başarı; PDB NOT EXERCISED</w:t>
            </w:r>
          </w:p>
        </w:tc>
      </w:tr>
      <w:tr>
        <w:trPr>
          <w:cantSplit/>
        </w:trPr>
        <w:tc>
          <w:tcPr>
            <w:tcW w:type="dxa" w:w="174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Nemotron probe</w:t>
            </w:r>
          </w:p>
        </w:tc>
        <w:tc>
          <w:tcPr>
            <w:tcW w:type="dxa" w:w="432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1/5 RESOLVED</w:t>
            </w:r>
          </w:p>
        </w:tc>
        <w:tc>
          <w:tcPr>
            <w:tcW w:type="dxa" w:w="33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PDB 5 görevin hiçbirinde kullanılmadı</w:t>
            </w:r>
          </w:p>
        </w:tc>
      </w:tr>
    </w:tbl>
    <w:p>
      <w:pPr>
        <w:pStyle w:val="TableCitation"/>
      </w:pPr>
      <w:r>
        <w:t>Kaynak: docs/results-index.md ve docs/project-closeout.md. Rakamlar tarihsel kanıtlardan alınmıştır; kapanış sırasında canlı kampanya çalıştırılmamıştır.</w:t>
      </w:r>
    </w:p>
    <w:p>
      <w:pPr>
        <w:pStyle w:val="Heading1"/>
        <w:keepNext/>
      </w:pPr>
      <w:r>
        <w:t>Bilimsel yorum ve geçerlilik sınırları</w:t>
      </w:r>
    </w:p>
    <w:p>
      <w:pPr>
        <w:pStyle w:val="Heading2"/>
        <w:keepNext/>
      </w:pPr>
      <w:r>
        <w:t>Kanıtın desteklediği sonuçlar</w:t>
      </w:r>
    </w:p>
    <w:p>
      <w:pPr>
        <w:numPr>
          <w:ilvl w:val="0"/>
          <w:numId w:val="10"/>
        </w:numPr>
        <w:spacing w:before="0" w:after="160" w:line="280" w:lineRule="auto"/>
        <w:ind w:left="720" w:hanging="360"/>
      </w:pPr>
      <w:r>
        <w:t>Bounded PDB interaction, typed tool döngüsüne entegre edilebilir.</w:t>
      </w:r>
    </w:p>
    <w:p>
      <w:pPr>
        <w:numPr>
          <w:ilvl w:val="0"/>
          <w:numId w:val="10"/>
        </w:numPr>
        <w:spacing w:before="0" w:after="160" w:line="280" w:lineRule="auto"/>
        <w:ind w:left="720" w:hanging="360"/>
      </w:pPr>
      <w:r>
        <w:t>Runtime evidence, event trajectory içinde hipotez ve patch öncesi kaydedilebilir.</w:t>
      </w:r>
    </w:p>
    <w:p>
      <w:pPr>
        <w:numPr>
          <w:ilvl w:val="0"/>
          <w:numId w:val="10"/>
        </w:numPr>
        <w:spacing w:before="0" w:after="160" w:line="280" w:lineRule="auto"/>
        <w:ind w:left="720" w:hanging="360"/>
      </w:pPr>
      <w:r>
        <w:t>Independent verifier, model iddiasını clean-baseline evidence ile ayırabilir.</w:t>
      </w:r>
    </w:p>
    <w:p>
      <w:pPr>
        <w:numPr>
          <w:ilvl w:val="0"/>
          <w:numId w:val="10"/>
        </w:numPr>
        <w:spacing w:before="0" w:after="160" w:line="280" w:lineRule="auto"/>
        <w:ind w:left="720" w:hanging="360"/>
      </w:pPr>
      <w:r>
        <w:t>Candidate serialization ve official-test execution, model semantiğinden bağımsız bir deney değişkenidir.</w:t>
      </w:r>
    </w:p>
    <w:p>
      <w:pPr>
        <w:numPr>
          <w:ilvl w:val="0"/>
          <w:numId w:val="10"/>
        </w:numPr>
        <w:spacing w:before="0" w:after="160" w:line="280" w:lineRule="auto"/>
        <w:ind w:left="720" w:hanging="360"/>
      </w:pPr>
      <w:r>
        <w:t>Aynı çekirdek ürün yüzeyi, replay ve local-project workflow’unda korunabilir.</w:t>
      </w:r>
    </w:p>
    <w:p>
      <w:pPr>
        <w:pStyle w:val="Heading2"/>
        <w:keepNext/>
      </w:pPr>
      <w:r>
        <w:t>Kanıtın desteklemediği sonuçlar</w:t>
      </w:r>
    </w:p>
    <w:p>
      <w:pPr>
        <w:numPr>
          <w:ilvl w:val="0"/>
          <w:numId w:val="10"/>
        </w:numPr>
        <w:spacing w:before="0" w:after="160" w:line="280" w:lineRule="auto"/>
        <w:ind w:left="720" w:hanging="360"/>
      </w:pPr>
      <w:r>
        <w:t>PDB erişimi genel olarak statik yaklaşımdan daha yüksek repair rate sağlar.</w:t>
      </w:r>
    </w:p>
    <w:p>
      <w:pPr>
        <w:numPr>
          <w:ilvl w:val="0"/>
          <w:numId w:val="10"/>
        </w:numPr>
        <w:spacing w:before="0" w:after="160" w:line="280" w:lineRule="auto"/>
        <w:ind w:left="720" w:hanging="360"/>
      </w:pPr>
      <w:r>
        <w:t>R6’daki 8/8 sonuç yalnız fine-tuning nedeniyle oluşmuştur.</w:t>
      </w:r>
    </w:p>
    <w:p>
      <w:pPr>
        <w:numPr>
          <w:ilvl w:val="0"/>
          <w:numId w:val="10"/>
        </w:numPr>
        <w:spacing w:before="0" w:after="160" w:line="280" w:lineRule="auto"/>
        <w:ind w:left="720" w:hanging="360"/>
      </w:pPr>
      <w:r>
        <w:t>Küçük curated veya QuixBugs sonuçları repository-scale genelleme kanıtıdır.</w:t>
      </w:r>
    </w:p>
    <w:p>
      <w:pPr>
        <w:numPr>
          <w:ilvl w:val="0"/>
          <w:numId w:val="10"/>
        </w:numPr>
        <w:spacing w:before="0" w:after="160" w:line="280" w:lineRule="auto"/>
        <w:ind w:left="720" w:hanging="360"/>
      </w:pPr>
      <w:r>
        <w:t>Gold patch baseline bir model kabiliyeti sonucudur.</w:t>
      </w:r>
    </w:p>
    <w:p>
      <w:pPr>
        <w:numPr>
          <w:ilvl w:val="0"/>
          <w:numId w:val="10"/>
        </w:numPr>
        <w:spacing w:before="0" w:after="160" w:line="280" w:lineRule="auto"/>
        <w:ind w:left="720" w:hanging="360"/>
      </w:pPr>
      <w:r>
        <w:t>Trusted-local execution hostile code’a karşı işletim sistemi sandbox’ıdır.</w:t>
      </w:r>
    </w:p>
    <w:p>
      <w:pPr>
        <w:pStyle w:val="Heading1"/>
        <w:keepNext/>
      </w:pPr>
      <w:r>
        <w:t>Mühendislik kalitesi ve kapanış doğrulaması</w:t>
      </w:r>
    </w:p>
    <w:tbl>
      <w:tblPr>
        <w:tblStyle w:val="TableGrid"/>
        <w:tblW w:type="dxa" w:w="9360"/>
        <w:jc w:val="left"/>
        <w:tblLayout w:type="fixed"/>
        <w:tblLook w:firstColumn="1" w:firstRow="1" w:lastColumn="0" w:lastRow="0" w:noHBand="0" w:noVBand="1" w:val="04A0"/>
        <w:tblInd w:w="120" w:type="dxa"/>
        <w:tblCaption w:val="Kapanış doğrulaması"/>
        <w:tblDescription w:val="Post-tag kapanış adayında çalıştırılan yerel ve deterministik doğrulama sonuçları."/>
      </w:tblPr>
      <w:tblGrid>
        <w:gridCol w:w="2400"/>
        <w:gridCol w:w="2400"/>
        <w:gridCol w:w="4560"/>
      </w:tblGrid>
      <w:tr>
        <w:trPr>
          <w:tblHeader w:val="true"/>
          <w:cantSplit/>
        </w:trPr>
        <w:tc>
          <w:tcPr>
            <w:tcW w:type="dxa" w:w="24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Kontrol</w:t>
            </w:r>
          </w:p>
        </w:tc>
        <w:tc>
          <w:tcPr>
            <w:tcW w:type="dxa" w:w="24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Sonuç</w:t>
            </w:r>
          </w:p>
        </w:tc>
        <w:tc>
          <w:tcPr>
            <w:tcW w:type="dxa" w:w="456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Not</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Test collection</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6002</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Repo toplamı; 28 Ağustos 2026</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Core release package</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1145/1145 pass</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718.17 s; controller/runtime/verifier/events/app/golden</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Application/UI geniş paket</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746 pass</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5 stale expectation kaynakla uzlaştırıldı; repaired nodes 8 pass</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Full-suite attempt</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76 pass; controlled interrupt</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1071.50 s ve yaklaşık %1; tamamlandı diye raporlanmaz</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Professor navigation</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10/10 pass</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Güncel ve outdated evidence yolları</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Friday manifest</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13/13 match</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Frozen SHA-256 teslim kayıtları</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Compile</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pass</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agentic_debugger ve scripts</w:t>
            </w:r>
          </w:p>
        </w:tc>
      </w:tr>
      <w:tr>
        <w:trPr>
          <w:cantSplit/>
        </w:trPr>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Offline demo</w:t>
            </w:r>
          </w:p>
        </w:tc>
        <w:tc>
          <w:tcPr>
            <w:tcW w:type="dxa" w:w="24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2/2 RESOLVED</w:t>
            </w:r>
          </w:p>
        </w:tc>
        <w:tc>
          <w:tcPr>
            <w:tcW w:type="dxa" w:w="45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F2P 1/1; P2P 2/2; PDB arm 5/5 observations</w:t>
            </w:r>
          </w:p>
        </w:tc>
      </w:tr>
    </w:tbl>
    <w:p>
      <w:pPr>
        <w:pStyle w:val="TableCitation"/>
      </w:pPr>
      <w:r>
        <w:t>Kapanışta provider, Docker, WSL, paid route veya BugsInPy execution yoktur. Full suite, orantısız öngörülen süre nedeniyle kontrollü kesilmiştir.</w:t>
      </w:r>
    </w:p>
    <w:p>
      <w:pPr>
        <w:pStyle w:val="Heading1"/>
        <w:keepNext/>
      </w:pPr>
      <w:r>
        <w:t>Güvenlik, containment ve operasyon</w:t>
      </w:r>
    </w:p>
    <w:p>
      <w:pPr>
        <w:numPr>
          <w:ilvl w:val="0"/>
          <w:numId w:val="10"/>
        </w:numPr>
        <w:spacing w:before="0" w:after="160" w:line="280" w:lineRule="auto"/>
        <w:ind w:left="720" w:hanging="360"/>
      </w:pPr>
      <w:r>
        <w:t>Model candidate’ları yalnız unified-diff ve allowed-path mekanizmasıyla uygulanır.</w:t>
      </w:r>
    </w:p>
    <w:p>
      <w:pPr>
        <w:numPr>
          <w:ilvl w:val="0"/>
          <w:numId w:val="10"/>
        </w:numPr>
        <w:spacing w:before="0" w:after="160" w:line="280" w:lineRule="auto"/>
        <w:ind w:left="720" w:hanging="360"/>
      </w:pPr>
      <w:r>
        <w:t>Command execution argv, timeout, output bound, cancellation ve process-tree kill sözleşmelerine tabidir.</w:t>
      </w:r>
    </w:p>
    <w:p>
      <w:pPr>
        <w:numPr>
          <w:ilvl w:val="0"/>
          <w:numId w:val="10"/>
        </w:numPr>
        <w:spacing w:before="0" w:after="160" w:line="280" w:lineRule="auto"/>
        <w:ind w:left="720" w:hanging="360"/>
      </w:pPr>
      <w:r>
        <w:t>Windows Local Project path, job-object containment ve isolated worktree cleanup kullanır.</w:t>
      </w:r>
    </w:p>
    <w:p>
      <w:pPr>
        <w:numPr>
          <w:ilvl w:val="0"/>
          <w:numId w:val="10"/>
        </w:numPr>
        <w:spacing w:before="0" w:after="160" w:line="280" w:lineRule="auto"/>
        <w:ind w:left="720" w:hanging="360"/>
      </w:pPr>
      <w:r>
        <w:t>Journal redaction kalıcı event sınırlarında credential benzeri veriyi filtreler.</w:t>
      </w:r>
    </w:p>
    <w:p>
      <w:pPr>
        <w:numPr>
          <w:ilvl w:val="0"/>
          <w:numId w:val="10"/>
        </w:numPr>
        <w:spacing w:before="0" w:after="160" w:line="280" w:lineRule="auto"/>
        <w:ind w:left="720" w:hanging="360"/>
      </w:pPr>
      <w:r>
        <w:t>Live model/provider, Docker, WSL, BugsInPy ve paid route çalıştırmaları ayrı owner yetkisi gerektirir.</w:t>
      </w:r>
    </w:p>
    <w:p>
      <w:pPr>
        <w:numPr>
          <w:ilvl w:val="0"/>
          <w:numId w:val="10"/>
        </w:numPr>
        <w:spacing w:before="0" w:after="160" w:line="280" w:lineRule="auto"/>
        <w:ind w:left="720" w:hanging="360"/>
      </w:pPr>
      <w:r>
        <w:t>Verifier sonucu semantik doğruluk otoritesidir; UI veya model terminal mesajı değildir.</w:t>
      </w:r>
    </w:p>
    <w:p>
      <w:pPr>
        <w:pStyle w:val="Heading1"/>
        <w:keepNext/>
      </w:pPr>
      <w:r>
        <w:t>Repository yapısı ve kullanım</w:t>
      </w:r>
    </w:p>
    <w:tbl>
      <w:tblPr>
        <w:tblStyle w:val="TableGrid"/>
        <w:tblW w:type="dxa" w:w="9360"/>
        <w:jc w:val="left"/>
        <w:tblLayout w:type="fixed"/>
        <w:tblLook w:firstColumn="1" w:firstRow="1" w:lastColumn="0" w:lastRow="0" w:noHBand="0" w:noVBand="1" w:val="04A0"/>
        <w:tblInd w:w="120" w:type="dxa"/>
        <w:tblCaption w:val="Repository haritası"/>
        <w:tblDescription w:val="Güncel kaynak ağacının ana sorumluluk alanları."/>
      </w:tblPr>
      <w:tblGrid>
        <w:gridCol w:w="3360"/>
        <w:gridCol w:w="6000"/>
      </w:tblGrid>
      <w:tr>
        <w:trPr>
          <w:tblHeader w:val="true"/>
          <w:cantSplit/>
        </w:trPr>
        <w:tc>
          <w:tcPr>
            <w:tcW w:type="dxa" w:w="336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Path</w:t>
            </w:r>
          </w:p>
        </w:tc>
        <w:tc>
          <w:tcPr>
            <w:tcW w:type="dxa" w:w="6000"/>
            <w:shd w:fill="F2F4F7"/>
            <w:vAlign w:val="center"/>
            <w:tcMar>
              <w:top w:w="80" w:type="dxa"/>
              <w:start w:w="120" w:type="dxa"/>
              <w:bottom w:w="80" w:type="dxa"/>
              <w:end w:w="120" w:type="dxa"/>
            </w:tcMar>
          </w:tcPr>
          <w:p>
            <w:pPr>
              <w:keepNext/>
              <w:spacing w:before="0" w:after="40" w:line="240" w:lineRule="auto"/>
            </w:pPr>
            <w:r>
              <w:rPr>
                <w:rFonts w:ascii="Calibri" w:hAnsi="Calibri" w:eastAsia="Calibri"/>
                <w:b/>
                <w:color w:val="0B2545"/>
                <w:sz w:val="18"/>
              </w:rPr>
              <w:t>Amaç</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agentic_debugger/agent/</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Controller, state, policy, directives ve tool registry</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agentic_debugger/runtime/</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Execution, workspace, patch, tests ve PDB</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agentic_debugger/evaluation/</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Task schema, live harness, verifier ve outcomes</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agentic_debugger/application/</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Session, journal, worker, history ve replay</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agentic_debugger/ui/</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Local Application V1 Textual yüzeyi</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experiments/ ve analysis/</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Frozen bilimsel ve karşılaştırmalı kanıtlar</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research/</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Literatür, provenance ve dataset gate kayıtları</w:t>
            </w:r>
          </w:p>
        </w:tc>
      </w:tr>
      <w:tr>
        <w:trPr>
          <w:cantSplit/>
        </w:trPr>
        <w:tc>
          <w:tcPr>
            <w:tcW w:type="dxa" w:w="336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outdated/</w:t>
            </w:r>
          </w:p>
        </w:tc>
        <w:tc>
          <w:tcPr>
            <w:tcW w:type="dxa" w:w="6000"/>
            <w:vAlign w:val="center"/>
            <w:tcMar>
              <w:top w:w="80" w:type="dxa"/>
              <w:start w:w="120" w:type="dxa"/>
              <w:bottom w:w="80" w:type="dxa"/>
              <w:end w:w="120" w:type="dxa"/>
            </w:tcMar>
          </w:tcPr>
          <w:p>
            <w:pPr>
              <w:keepNext/>
              <w:spacing w:before="0" w:after="40" w:line="240" w:lineRule="auto"/>
            </w:pPr>
            <w:r>
              <w:rPr>
                <w:rFonts w:ascii="Calibri" w:hAnsi="Calibri" w:eastAsia="Calibri"/>
                <w:color w:val="000000"/>
                <w:sz w:val="18"/>
              </w:rPr>
              <w:t>Superseded materyal; güncel execution authority değildir</w:t>
            </w:r>
          </w:p>
        </w:tc>
      </w:tr>
      <w:tr>
        <w:trPr>
          <w:cantSplit/>
        </w:trPr>
        <w:tc>
          <w:tcPr>
            <w:tcW w:type="dxa" w:w="3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_ai-review/</w:t>
            </w:r>
          </w:p>
        </w:tc>
        <w:tc>
          <w:tcPr>
            <w:tcW w:type="dxa" w:w="6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Yerel FirstMate handoff; commit edilmez</w:t>
            </w:r>
          </w:p>
        </w:tc>
      </w:tr>
    </w:tbl>
    <w:p>
      <w:pPr>
        <w:pStyle w:val="TableCitation"/>
      </w:pPr>
      <w:r>
        <w:t>Kaynak: README.md ve AGENTS.md.</w:t>
      </w:r>
    </w:p>
    <w:p>
      <w:pPr>
        <w:pStyle w:val="Heading2"/>
        <w:keepNext/>
      </w:pPr>
      <w:r>
        <w:t>Temel komutlar</w:t>
      </w:r>
    </w:p>
    <w:p>
      <w:pPr>
        <w:pStyle w:val="Code"/>
        <w:shd w:fill="F4F6F9"/>
      </w:pPr>
      <w:r>
        <w:rPr>
          <w:rFonts w:ascii="Consolas" w:hAnsi="Consolas" w:eastAsia="Consolas"/>
          <w:color w:val="0B2545"/>
          <w:sz w:val="18"/>
        </w:rPr>
        <w:t>python -m pip install -e .[test]</w:t>
      </w:r>
    </w:p>
    <w:p>
      <w:pPr>
        <w:pStyle w:val="Code"/>
        <w:shd w:fill="F4F6F9"/>
      </w:pPr>
      <w:r>
        <w:rPr>
          <w:rFonts w:ascii="Consolas" w:hAnsi="Consolas" w:eastAsia="Consolas"/>
          <w:color w:val="0B2545"/>
          <w:sz w:val="18"/>
        </w:rPr>
        <w:t>python -m pytest --collect-only -q</w:t>
      </w:r>
    </w:p>
    <w:p>
      <w:pPr>
        <w:pStyle w:val="Code"/>
        <w:shd w:fill="F4F6F9"/>
      </w:pPr>
      <w:r>
        <w:rPr>
          <w:rFonts w:ascii="Consolas" w:hAnsi="Consolas" w:eastAsia="Consolas"/>
          <w:color w:val="0B2545"/>
          <w:sz w:val="18"/>
        </w:rPr>
        <w:t>python -m agentic_debugger.demo --output-dir demo-out --task-id curated-off-by-one-002</w:t>
      </w:r>
    </w:p>
    <w:p>
      <w:pPr>
        <w:pStyle w:val="Code"/>
        <w:shd w:fill="F4F6F9"/>
      </w:pPr>
      <w:r>
        <w:rPr>
          <w:rFonts w:ascii="Consolas" w:hAnsi="Consolas" w:eastAsia="Consolas"/>
          <w:color w:val="0B2545"/>
          <w:sz w:val="18"/>
        </w:rPr>
        <w:t>python -m agentic_debugger.ui</w:t>
      </w:r>
    </w:p>
    <w:p>
      <w:pPr>
        <w:pStyle w:val="Heading1"/>
        <w:keepNext/>
      </w:pPr>
      <w:r>
        <w:t>Kapanış durumu ve kararlar</w:t>
      </w:r>
    </w:p>
    <w:p>
      <w:r>
        <w:t>Mandatory roadmap kapalıdır. Yeni çalışma, eski TODO’nun devamı gibi açılmamalıdır. Yeni owner-approved roadmap gerektirir.</w:t>
      </w:r>
    </w:p>
    <w:tbl>
      <w:tblPr>
        <w:tblStyle w:val="TableGrid"/>
        <w:tblW w:type="dxa" w:w="9360"/>
        <w:jc w:val="left"/>
        <w:tblLayout w:type="fixed"/>
        <w:tblLook w:firstColumn="1" w:firstRow="1" w:lastColumn="0" w:lastRow="0" w:noHBand="0" w:noVBand="1" w:val="04A0"/>
        <w:tblInd w:w="120" w:type="dxa"/>
        <w:tblCaption w:val="Kapanış kararları"/>
        <w:tblDescription w:val="Açık checklist gibi taşınmayan, dürüst negatif veya kapsam sınırı olarak kapatılan başlıklar."/>
      </w:tblPr>
      <w:tblGrid>
        <w:gridCol w:w="3000"/>
        <w:gridCol w:w="6360"/>
      </w:tblGrid>
      <w:tr>
        <w:trPr>
          <w:tblHeader w:val="true"/>
          <w:cantSplit/>
        </w:trPr>
        <w:tc>
          <w:tcPr>
            <w:tcW w:type="dxa" w:w="300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Konu</w:t>
            </w:r>
          </w:p>
        </w:tc>
        <w:tc>
          <w:tcPr>
            <w:tcW w:type="dxa" w:w="6360"/>
            <w:shd w:fill="F2F4F7"/>
            <w:vAlign w:val="center"/>
            <w:tcMar>
              <w:top w:w="80" w:type="dxa"/>
              <w:start w:w="120" w:type="dxa"/>
              <w:bottom w:w="80" w:type="dxa"/>
              <w:end w:w="120" w:type="dxa"/>
            </w:tcMar>
          </w:tcPr>
          <w:p>
            <w:pPr>
              <w:spacing w:before="0" w:after="40" w:line="240" w:lineRule="auto"/>
            </w:pPr>
            <w:r>
              <w:rPr>
                <w:rFonts w:ascii="Calibri" w:hAnsi="Calibri" w:eastAsia="Calibri"/>
                <w:b/>
                <w:color w:val="0B2545"/>
                <w:sz w:val="18"/>
              </w:rPr>
              <w:t>Kapanış kararı</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BugsInPy</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NOT EXECUTED — license ve redistribution authority yok</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OpenCode Go six-case</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NOT EXECUTED — optional tarihsel operator path</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Stronger R6 holdout</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INCOMPLETE_HARDWARE_STOP — 3 task outcome üretmedi</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Fine-tuned + RAG</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PARTIAL / NOT_EVALUATED</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DPO</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NOT JUSTIFIED</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Capability escalation</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CLOSED / PAUSED — accepted stop Level-32</w:t>
            </w:r>
          </w:p>
        </w:tc>
      </w:tr>
      <w:tr>
        <w:trPr>
          <w:cantSplit/>
        </w:trPr>
        <w:tc>
          <w:tcPr>
            <w:tcW w:type="dxa" w:w="300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Merge ve push</w:t>
            </w:r>
          </w:p>
        </w:tc>
        <w:tc>
          <w:tcPr>
            <w:tcW w:type="dxa" w:w="6360"/>
            <w:vAlign w:val="center"/>
            <w:tcMar>
              <w:top w:w="80" w:type="dxa"/>
              <w:start w:w="120" w:type="dxa"/>
              <w:bottom w:w="80" w:type="dxa"/>
              <w:end w:w="120" w:type="dxa"/>
            </w:tcMar>
          </w:tcPr>
          <w:p>
            <w:pPr>
              <w:spacing w:before="0" w:after="40" w:line="240" w:lineRule="auto"/>
            </w:pPr>
            <w:r>
              <w:rPr>
                <w:rFonts w:ascii="Calibri" w:hAnsi="Calibri" w:eastAsia="Calibri"/>
                <w:color w:val="000000"/>
                <w:sz w:val="18"/>
              </w:rPr>
              <w:t>Yapılmadı</w:t>
            </w:r>
          </w:p>
        </w:tc>
      </w:tr>
    </w:tbl>
    <w:p>
      <w:pPr>
        <w:pStyle w:val="TableCitation"/>
      </w:pPr>
      <w:r>
        <w:t>Kaynak: TODO.md; docs/release-closeout-2026-08-28.md.</w:t>
      </w:r>
    </w:p>
    <w:p>
      <w:pPr>
        <w:pStyle w:val="Heading1"/>
        <w:keepNext/>
      </w:pPr>
      <w:r>
        <w:t>Kanıt kaynakları</w:t>
      </w:r>
    </w:p>
    <w:p>
      <w:r>
        <w:t>Bu rapor internet araştırmasına dayanmaz. Aşağıdaki tracked repository kayıtları ve 28 Ağustos 2026 yerel doğrulama çıktıları kullanılmıştır.</w:t>
      </w:r>
    </w:p>
    <w:p>
      <w:pPr>
        <w:numPr>
          <w:ilvl w:val="0"/>
          <w:numId w:val="10"/>
        </w:numPr>
        <w:spacing w:before="0" w:after="160" w:line="280" w:lineRule="auto"/>
        <w:ind w:left="720" w:hanging="360"/>
      </w:pPr>
      <w:r>
        <w:t>README.md — güncel giriş, durum ve repository haritası.</w:t>
      </w:r>
    </w:p>
    <w:p>
      <w:pPr>
        <w:numPr>
          <w:ilvl w:val="0"/>
          <w:numId w:val="10"/>
        </w:numPr>
        <w:spacing w:before="0" w:after="160" w:line="280" w:lineRule="auto"/>
        <w:ind w:left="720" w:hanging="360"/>
      </w:pPr>
      <w:r>
        <w:t>AGENTS.md — mimari, doğruluk, containment, external execution ve Git sınırları.</w:t>
      </w:r>
    </w:p>
    <w:p>
      <w:pPr>
        <w:numPr>
          <w:ilvl w:val="0"/>
          <w:numId w:val="10"/>
        </w:numPr>
        <w:spacing w:before="0" w:after="160" w:line="280" w:lineRule="auto"/>
        <w:ind w:left="720" w:hanging="360"/>
      </w:pPr>
      <w:r>
        <w:t>docs/project-closeout.md — tek güncel status authority.</w:t>
      </w:r>
    </w:p>
    <w:p>
      <w:pPr>
        <w:numPr>
          <w:ilvl w:val="0"/>
          <w:numId w:val="10"/>
        </w:numPr>
        <w:spacing w:before="0" w:after="160" w:line="280" w:lineRule="auto"/>
        <w:ind w:left="720" w:hanging="360"/>
      </w:pPr>
      <w:r>
        <w:t>docs/results-index.md — kabul edilen sonuçtan evidence’a harita.</w:t>
      </w:r>
    </w:p>
    <w:p>
      <w:pPr>
        <w:numPr>
          <w:ilvl w:val="0"/>
          <w:numId w:val="10"/>
        </w:numPr>
        <w:spacing w:before="0" w:after="160" w:line="280" w:lineRule="auto"/>
        <w:ind w:left="720" w:hanging="360"/>
      </w:pPr>
      <w:r>
        <w:t>docs/release-closeout-2026-08-28.md — post-tag kapanış ve validation boundary.</w:t>
      </w:r>
    </w:p>
    <w:p>
      <w:pPr>
        <w:numPr>
          <w:ilvl w:val="0"/>
          <w:numId w:val="10"/>
        </w:numPr>
        <w:spacing w:before="0" w:after="160" w:line="280" w:lineRule="auto"/>
        <w:ind w:left="720" w:hanging="360"/>
      </w:pPr>
      <w:r>
        <w:t>docs/architecture/local-application-v1.md — ürün mimarisi.</w:t>
      </w:r>
    </w:p>
    <w:p>
      <w:pPr>
        <w:numPr>
          <w:ilvl w:val="0"/>
          <w:numId w:val="10"/>
        </w:numPr>
        <w:spacing w:before="0" w:after="160" w:line="280" w:lineRule="auto"/>
        <w:ind w:left="720" w:hanging="360"/>
      </w:pPr>
      <w:r>
        <w:t>docs/final-report.md — R1–R6 teknik anlatısı.</w:t>
      </w:r>
    </w:p>
    <w:p>
      <w:pPr>
        <w:numPr>
          <w:ilvl w:val="0"/>
          <w:numId w:val="10"/>
        </w:numPr>
        <w:spacing w:before="0" w:after="160" w:line="280" w:lineRule="auto"/>
        <w:ind w:left="720" w:hanging="360"/>
      </w:pPr>
      <w:r>
        <w:t>experiments/README.md — frozen experiment family entry points.</w:t>
      </w:r>
    </w:p>
    <w:p>
      <w:pPr>
        <w:numPr>
          <w:ilvl w:val="0"/>
          <w:numId w:val="10"/>
        </w:numPr>
        <w:spacing w:before="0" w:after="160" w:line="280" w:lineRule="auto"/>
        <w:ind w:left="720" w:hanging="360"/>
      </w:pPr>
      <w:r>
        <w:t>analysis/level32_repaired_model_matrix_20260824.md — 15-model matrix.</w:t>
      </w:r>
    </w:p>
    <w:p>
      <w:pPr>
        <w:numPr>
          <w:ilvl w:val="0"/>
          <w:numId w:val="10"/>
        </w:numPr>
        <w:spacing w:before="0" w:after="160" w:line="280" w:lineRule="auto"/>
        <w:ind w:left="720" w:hanging="360"/>
      </w:pPr>
      <w:r>
        <w:t>TODO.md ve docs/project-tracker.md — closed roadmap ve execution record.</w:t>
      </w:r>
    </w:p>
    <w:p>
      <w:pPr>
        <w:pStyle w:val="Heading1"/>
        <w:keepNext/>
      </w:pPr>
      <w:r>
        <w:t>Sonuç</w:t>
      </w:r>
    </w:p>
    <w:p>
      <w:r>
        <w:t>Proje, debugger-assisted repair için araştırılabilir ve denetlenebilir bir sistem kurmuştur. En güçlü yönü tek bir model sonucu değildir. Güçlü yön; runtime evidence, patch lifecycle, bağımsız verification, replay ve cleanup’ın aynı fail-closed sözleşmede birleşmesidir.</w:t>
      </w:r>
    </w:p>
    <w:p>
      <w:r>
        <w:t>Kapanış durumu nettir. Zorunlu iş kalmamıştır. Bilimsel iddialar, ölçülen görevler ve açık sınırlamalarla bağlıdır. Yeni ürün veya araştırma fazı, yeni hedef, bütçe ve authorization ile ayrı açılmalıdır.</w:t>
      </w:r>
    </w:p>
    <w:sectPr w:rsidR="00FC693F" w:rsidRPr="0006063C" w:rsidSect="00034616">
      <w:headerReference w:type="default" r:id="rId9"/>
      <w:footerReference w:type="default" r:id="rId10"/>
      <w:footerReference w:type="even"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F6B76"/>
        <w:sz w:val="18"/>
      </w:rPr>
      <w:t xml:space="preserve">Sayfa </w:t>
    </w:r>
    <w:r>
      <w:rPr>
        <w:rFonts w:ascii="Calibri" w:hAnsi="Calibri" w:eastAsia="Calibri"/>
        <w:color w:val="5F6B76"/>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F6B76"/>
        <w:sz w:val="18"/>
      </w:rPr>
      <w:t xml:space="preserve">Sayfa </w:t>
    </w:r>
    <w:r>
      <w:rPr>
        <w:rFonts w:ascii="Calibri" w:hAnsi="Calibri" w:eastAsia="Calibri"/>
        <w:color w:val="5F6B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7"/>
      </w:rPr>
      <w:t>AGENTIC DEBUGGING  |  TEKNİK PROJE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40" w:lineRule="auto"/>
    </w:pPr>
    <w:rPr>
      <w:rFonts w:ascii="Calibri" w:hAnsi="Calibri"/>
      <w:i/>
      <w:color w:val="5F6B76"/>
      <w:sz w:val="18"/>
    </w:rPr>
  </w:style>
  <w:style w:type="paragraph" w:customStyle="1" w:styleId="Code">
    <w:name w:val="Code"/>
    <w:pPr>
      <w:keepLines/>
      <w:spacing w:before="60" w:after="100" w:line="240" w:lineRule="auto"/>
      <w:ind w:left="216" w:right="216"/>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Debugging Internship — Teknik Proje Raporu</dc:title>
  <dc:subject>Python/PDB-first debugger-assisted software repair</dc:subject>
  <dc:creator>Onur / FirstMate</dc:creator>
  <cp:keywords>agentic debugging, PDB, software repair, verifier, evaluation</cp:keywords>
  <dc:description>generated by python-docx</dc:description>
  <cp:lastModifiedBy/>
  <cp:revision>1</cp:revision>
  <dcterms:created xsi:type="dcterms:W3CDTF">2013-12-23T23:15:00Z</dcterms:created>
  <dcterms:modified xsi:type="dcterms:W3CDTF">2013-12-23T23:15:00Z</dcterms:modified>
  <cp:category/>
</cp:coreProperties>
</file>