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eastAsia="Calibri"/>
          <w:b/>
          <w:color w:val="000000"/>
          <w:sz w:val="46"/>
        </w:rPr>
        <w:t>TEKNİK PROJE RAPORU</w:t>
      </w:r>
    </w:p>
    <w:p>
      <w:pPr>
        <w:spacing w:after="320"/>
      </w:pPr>
      <w:r>
        <w:rPr>
          <w:rFonts w:ascii="Calibri" w:hAnsi="Calibri" w:eastAsia="Calibri"/>
          <w:color w:val="373737"/>
          <w:sz w:val="28"/>
        </w:rPr>
        <w:t>Agentic Debugging Internship — Python/PDB ile Debugger Destekli Yazılım Onarımı</w:t>
      </w:r>
    </w:p>
    <w:p>
      <w:pPr>
        <w:spacing w:after="40"/>
      </w:pPr>
      <w:r>
        <w:rPr>
          <w:rFonts w:ascii="Calibri" w:hAnsi="Calibri" w:eastAsia="Calibri"/>
          <w:b/>
          <w:color w:val="000000"/>
          <w:sz w:val="21"/>
        </w:rPr>
        <w:t xml:space="preserve">Proje sahibi: </w:t>
      </w:r>
      <w:r>
        <w:rPr>
          <w:rFonts w:ascii="Calibri" w:hAnsi="Calibri" w:eastAsia="Calibri"/>
          <w:color w:val="000000"/>
          <w:sz w:val="21"/>
        </w:rPr>
        <w:t>Onur</w:t>
      </w:r>
    </w:p>
    <w:p>
      <w:pPr>
        <w:spacing w:after="40"/>
      </w:pPr>
      <w:r>
        <w:rPr>
          <w:rFonts w:ascii="Calibri" w:hAnsi="Calibri" w:eastAsia="Calibri"/>
          <w:b/>
          <w:color w:val="000000"/>
          <w:sz w:val="21"/>
        </w:rPr>
        <w:t xml:space="preserve">Teknik rol: </w:t>
      </w:r>
      <w:r>
        <w:rPr>
          <w:rFonts w:ascii="Calibri" w:hAnsi="Calibri" w:eastAsia="Calibri"/>
          <w:color w:val="000000"/>
          <w:sz w:val="21"/>
        </w:rPr>
        <w:t>FirstMate incelemesi ve kapanış raporu</w:t>
      </w:r>
    </w:p>
    <w:p>
      <w:pPr>
        <w:spacing w:after="40"/>
      </w:pPr>
      <w:r>
        <w:rPr>
          <w:rFonts w:ascii="Calibri" w:hAnsi="Calibri" w:eastAsia="Calibri"/>
          <w:b/>
          <w:color w:val="000000"/>
          <w:sz w:val="21"/>
        </w:rPr>
        <w:t xml:space="preserve">Tarih: </w:t>
      </w:r>
      <w:r>
        <w:rPr>
          <w:rFonts w:ascii="Calibri" w:hAnsi="Calibri" w:eastAsia="Calibri"/>
          <w:color w:val="000000"/>
          <w:sz w:val="21"/>
        </w:rPr>
        <w:t>28 Ağustos 2026</w:t>
      </w:r>
    </w:p>
    <w:p>
      <w:pPr>
        <w:spacing w:after="40"/>
      </w:pPr>
      <w:r>
        <w:t>Sürüm: v0.1.0 sonrası kamu inceleme adayı</w:t>
      </w:r>
    </w:p>
    <w:p>
      <w:pPr>
        <w:spacing w:after="40"/>
      </w:pPr>
      <w:r>
        <w:t>Durum: Zorunlu proje döngüsü kapalı; kamuya açılma öncesi kanıt bütünlüğü hardening’i FirstMate incelemesinde</w:t>
      </w:r>
    </w:p>
    <w:p>
      <w:pPr>
        <w:spacing w:before="160" w:after="280"/>
        <w:pBdr>
          <w:bottom w:val="single" w:sz="14" w:space="4" w:color="2E74B5"/>
        </w:pBdr>
      </w:pPr>
    </w:p>
    <w:p>
      <w:pPr>
        <w:pStyle w:val="Heading1"/>
        <w:keepNext/>
      </w:pPr>
      <w:r>
        <w:t>Yönetici özeti</w:t>
      </w:r>
    </w:p>
    <w:p>
      <w:r>
        <w:t>Proje, yazılım onarım ajanına çalışma zamanı kanıtı sağlayan Python/PDB-first bir prototiptir. Tek controller, typed tools ve açık bütçeler kullanır. Bağımsız verifier doğruluk otoritesidir; model veya operatör iddiası tek başına başarı sayılmaz.</w:t>
      </w:r>
    </w:p>
    <w:p>
      <w:r>
        <w:t>Zorunlu döngü 28 Ağustos 2026’da kapanmıştır. v0.1.0 etiketi d01f7a5’i gösterir. Post-tag uygulama onarımı 8b2479b’dedir. Kamuya açılma öncesi hardening değişiklikleri FirstMate incelemesi için çalışma ağacında tutulmaktadır. Merge ve push yapılmamıştır.</w:t>
      </w:r>
    </w:p>
    <w:p>
      <w:r>
        <w:t>R5 temiz base-14B holdout 5/5’tir. R6 tuned-7B task-disjoint QuixBugs doğrulaması 8/8 RESOLVED’dır; matched-base nedensel fine-tuning kanıtı değildir. Repaired Level-32 içinde GLM 5.1 ve 5.2, F2P 5/5 ve P2P failed 0/9 elde etmiştir.</w:t>
      </w:r>
    </w:p>
    <w:p>
      <w:pPr>
        <w:pStyle w:val="Heading1"/>
        <w:keepNext/>
      </w:pPr>
      <w:r>
        <w:t>Problem ve araştırma amacı</w:t>
      </w:r>
    </w:p>
    <w:p>
      <w:r>
        <w:t>Statik okuma değer akışı ve sınır koşullarını kaçırabilir. Amaç, modeli serbest terminale bırakmadan runtime evidence’ı güvenli ve ölçülebilir araçlarla sağlamaktır.</w:t>
      </w:r>
    </w:p>
    <w:p>
      <w:pPr>
        <w:numPr>
          <w:ilvl w:val="0"/>
          <w:numId w:val="10"/>
        </w:numPr>
        <w:spacing w:before="0" w:after="160" w:line="280" w:lineRule="auto"/>
        <w:ind w:left="720" w:hanging="360"/>
      </w:pPr>
      <w:r>
        <w:t>Bir repair agent, PDB gözlemlerini tiplendirilmiş ve bütçeli bir araç döngüsünde kullanabilir mi?</w:t>
      </w:r>
    </w:p>
    <w:p>
      <w:pPr>
        <w:numPr>
          <w:ilvl w:val="0"/>
          <w:numId w:val="10"/>
        </w:numPr>
        <w:spacing w:before="0" w:after="160" w:line="280" w:lineRule="auto"/>
        <w:ind w:left="720" w:hanging="360"/>
      </w:pPr>
      <w:r>
        <w:t>Runtime evidence, hipotezden patch’e giden yolu izlenebilir hale getirebilir mi?</w:t>
      </w:r>
    </w:p>
    <w:p>
      <w:pPr>
        <w:numPr>
          <w:ilvl w:val="0"/>
          <w:numId w:val="10"/>
        </w:numPr>
        <w:spacing w:before="0" w:after="160" w:line="280" w:lineRule="auto"/>
        <w:ind w:left="720" w:hanging="360"/>
      </w:pPr>
      <w:r>
        <w:t>Model çıktısı bağımsız ve fail-closed bir verifier ile güvenilir biçimde sınıflandırılabilir mi?</w:t>
      </w:r>
    </w:p>
    <w:p>
      <w:pPr>
        <w:numPr>
          <w:ilvl w:val="0"/>
          <w:numId w:val="10"/>
        </w:numPr>
        <w:spacing w:before="0" w:after="160" w:line="280" w:lineRule="auto"/>
        <w:ind w:left="720" w:hanging="360"/>
      </w:pPr>
      <w:r>
        <w:t>Aynı bilimsel çekirdek, yerel bir ürün yüzeyinde replay, cancellation ve apply-to-project sınırlarını koruyabilir mi?</w:t>
      </w:r>
    </w:p>
    <w:p>
      <w:pPr>
        <w:pStyle w:val="Heading1"/>
        <w:keepNext/>
      </w:pPr>
      <w:r>
        <w:t>Kapsam ve kapsam dışı sınırlar</w:t>
      </w:r>
    </w:p>
    <w:tbl>
      <w:tblPr>
        <w:tblStyle w:val="TableGrid"/>
        <w:tblW w:type="dxa" w:w="9360"/>
        <w:jc w:val="left"/>
        <w:tblLayout w:type="fixed"/>
        <w:tblLook w:firstColumn="1" w:firstRow="1" w:lastColumn="0" w:lastRow="0" w:noHBand="0" w:noVBand="1" w:val="04A0"/>
        <w:tblInd w:w="120" w:type="dxa"/>
        <w:tblCaption w:val="Kapsam ve sınırlar"/>
        <w:tblDescription w:val="Projenin kabul edilen teknik kapsamı ve açıkça kapsam dışı bırakılan alanlar."/>
      </w:tblPr>
      <w:tblGrid>
        <w:gridCol w:w="1800"/>
        <w:gridCol w:w="3720"/>
        <w:gridCol w:w="3840"/>
      </w:tblGrid>
      <w:tr>
        <w:trPr>
          <w:tblHeader w:val="true"/>
          <w:cantSplit/>
        </w:trPr>
        <w:tc>
          <w:tcPr>
            <w:tcW w:type="dxa" w:w="1800"/>
            <w:shd w:fill="F2F4F7"/>
            <w:vAlign w:val="center"/>
            <w:tcMar>
              <w:top w:w="80" w:type="dxa"/>
              <w:start w:w="120" w:type="dxa"/>
              <w:bottom w:w="80" w:type="dxa"/>
              <w:end w:w="120" w:type="dxa"/>
            </w:tcMar>
          </w:tcPr>
          <w:p>
            <w:pPr>
              <w:keepNext/>
              <w:spacing w:before="0" w:after="40" w:line="240" w:lineRule="auto"/>
            </w:pPr>
            <w:r>
              <w:rPr>
                <w:rFonts w:ascii="Calibri" w:hAnsi="Calibri" w:eastAsia="Calibri"/>
                <w:b/>
                <w:color w:val="0B2545"/>
                <w:sz w:val="18"/>
              </w:rPr>
              <w:t>Alan</w:t>
            </w:r>
          </w:p>
        </w:tc>
        <w:tc>
          <w:tcPr>
            <w:tcW w:type="dxa" w:w="3720"/>
            <w:shd w:fill="F2F4F7"/>
            <w:vAlign w:val="center"/>
            <w:tcMar>
              <w:top w:w="80" w:type="dxa"/>
              <w:start w:w="120" w:type="dxa"/>
              <w:bottom w:w="80" w:type="dxa"/>
              <w:end w:w="120" w:type="dxa"/>
            </w:tcMar>
          </w:tcPr>
          <w:p>
            <w:pPr>
              <w:keepNext/>
              <w:spacing w:before="0" w:after="40" w:line="240" w:lineRule="auto"/>
            </w:pPr>
            <w:r>
              <w:rPr>
                <w:rFonts w:ascii="Calibri" w:hAnsi="Calibri" w:eastAsia="Calibri"/>
                <w:b/>
                <w:color w:val="0B2545"/>
                <w:sz w:val="18"/>
              </w:rPr>
              <w:t>Kabul edilen kapsam</w:t>
            </w:r>
          </w:p>
        </w:tc>
        <w:tc>
          <w:tcPr>
            <w:tcW w:type="dxa" w:w="3840"/>
            <w:shd w:fill="F2F4F7"/>
            <w:vAlign w:val="center"/>
            <w:tcMar>
              <w:top w:w="80" w:type="dxa"/>
              <w:start w:w="120" w:type="dxa"/>
              <w:bottom w:w="80" w:type="dxa"/>
              <w:end w:w="120" w:type="dxa"/>
            </w:tcMar>
          </w:tcPr>
          <w:p>
            <w:pPr>
              <w:keepNext/>
              <w:spacing w:before="0" w:after="40" w:line="240" w:lineRule="auto"/>
            </w:pPr>
            <w:r>
              <w:rPr>
                <w:rFonts w:ascii="Calibri" w:hAnsi="Calibri" w:eastAsia="Calibri"/>
                <w:b/>
                <w:color w:val="0B2545"/>
                <w:sz w:val="18"/>
              </w:rPr>
              <w:t>Sınır</w:t>
            </w:r>
          </w:p>
        </w:tc>
      </w:tr>
      <w:tr>
        <w:trPr>
          <w:cantSplit/>
        </w:trPr>
        <w:tc>
          <w:tcPr>
            <w:tcW w:type="dxa" w:w="18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Dil/runtime</w:t>
            </w:r>
          </w:p>
        </w:tc>
        <w:tc>
          <w:tcPr>
            <w:tcW w:type="dxa" w:w="372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Python 3.11+ ve PDB</w:t>
            </w:r>
          </w:p>
        </w:tc>
        <w:tc>
          <w:tcPr>
            <w:tcW w:type="dxa" w:w="384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GDB, LLDB ve çok dilli debugger yok</w:t>
            </w:r>
          </w:p>
        </w:tc>
      </w:tr>
      <w:tr>
        <w:trPr>
          <w:cantSplit/>
        </w:trPr>
        <w:tc>
          <w:tcPr>
            <w:tcW w:type="dxa" w:w="18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Ajan mimarisi</w:t>
            </w:r>
          </w:p>
        </w:tc>
        <w:tc>
          <w:tcPr>
            <w:tcW w:type="dxa" w:w="372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Tek controller; typed directives ve tools</w:t>
            </w:r>
          </w:p>
        </w:tc>
        <w:tc>
          <w:tcPr>
            <w:tcW w:type="dxa" w:w="384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Multi-agent repair mimarisi yok</w:t>
            </w:r>
          </w:p>
        </w:tc>
      </w:tr>
      <w:tr>
        <w:trPr>
          <w:cantSplit/>
        </w:trPr>
        <w:tc>
          <w:tcPr>
            <w:tcW w:type="dxa" w:w="18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Çalıştırma</w:t>
            </w:r>
          </w:p>
        </w:tc>
        <w:tc>
          <w:tcPr>
            <w:tcW w:type="dxa" w:w="372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Trusted-local disposable workspace</w:t>
            </w:r>
          </w:p>
        </w:tc>
        <w:tc>
          <w:tcPr>
            <w:tcW w:type="dxa" w:w="384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Hostile-code sandbox olduğu iddia edilmez</w:t>
            </w:r>
          </w:p>
        </w:tc>
      </w:tr>
      <w:tr>
        <w:trPr>
          <w:cantSplit/>
        </w:trPr>
        <w:tc>
          <w:tcPr>
            <w:tcW w:type="dxa" w:w="18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Patch</w:t>
            </w:r>
          </w:p>
        </w:tc>
        <w:tc>
          <w:tcPr>
            <w:tcW w:type="dxa" w:w="372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Unified diff ve allowlisted path</w:t>
            </w:r>
          </w:p>
        </w:tc>
        <w:tc>
          <w:tcPr>
            <w:tcW w:type="dxa" w:w="384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Canonical fixture doğrudan düzenlenmez</w:t>
            </w:r>
          </w:p>
        </w:tc>
      </w:tr>
      <w:tr>
        <w:trPr>
          <w:cantSplit/>
        </w:trPr>
        <w:tc>
          <w:tcPr>
            <w:tcW w:type="dxa" w:w="18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Doğrulama</w:t>
            </w:r>
          </w:p>
        </w:tc>
        <w:tc>
          <w:tcPr>
            <w:tcW w:type="dxa" w:w="372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Bağımsız baseline, F2P, P2P, syntax, cleanup</w:t>
            </w:r>
          </w:p>
        </w:tc>
        <w:tc>
          <w:tcPr>
            <w:tcW w:type="dxa" w:w="384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Model öz-raporu başarı otoritesi değildir</w:t>
            </w:r>
          </w:p>
        </w:tc>
      </w:tr>
      <w:tr>
        <w:trPr>
          <w:cantSplit/>
        </w:trPr>
        <w:tc>
          <w:tcPr>
            <w:tcW w:type="dxa" w:w="18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Harici kampanya</w:t>
            </w:r>
          </w:p>
        </w:tc>
        <w:tc>
          <w:tcPr>
            <w:tcW w:type="dxa" w:w="37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Yalnız açık owner yetkisiyle</w:t>
            </w:r>
          </w:p>
        </w:tc>
        <w:tc>
          <w:tcPr>
            <w:tcW w:type="dxa" w:w="38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Kapanışta provider, Docker, WSL ve BugsInPy çalıştırılmadı</w:t>
            </w:r>
          </w:p>
        </w:tc>
      </w:tr>
    </w:tbl>
    <w:p>
      <w:pPr>
        <w:pStyle w:val="TableCitation"/>
      </w:pPr>
      <w:r>
        <w:t>Kaynak: AGENTS.md; README.md; docs/project-closeout.md.</w:t>
      </w:r>
    </w:p>
    <w:p>
      <w:pPr>
        <w:pStyle w:val="Heading1"/>
        <w:keepNext/>
      </w:pPr>
      <w:r>
        <w:t>Sistem mimarisi</w:t>
      </w:r>
    </w:p>
    <w:tbl>
      <w:tblPr>
        <w:tblStyle w:val="TableGrid"/>
        <w:tblW w:type="dxa" w:w="9360"/>
        <w:jc w:val="left"/>
        <w:tblLayout w:type="fixed"/>
        <w:tblLook w:firstColumn="1" w:firstRow="1" w:lastColumn="0" w:lastRow="0" w:noHBand="0" w:noVBand="1" w:val="04A0"/>
        <w:tblInd w:w="120" w:type="dxa"/>
        <w:tblCaption w:val="Mimari katmanlar"/>
        <w:tblDescription w:val="Üretim paketindeki ana katmanlar ve tek cümlelik sorumlulukları."/>
      </w:tblPr>
      <w:tblGrid>
        <w:gridCol w:w="2040"/>
        <w:gridCol w:w="7320"/>
      </w:tblGrid>
      <w:tr>
        <w:trPr>
          <w:tblHeader w:val="true"/>
          <w:cantSplit/>
        </w:trPr>
        <w:tc>
          <w:tcPr>
            <w:tcW w:type="dxa" w:w="2040"/>
            <w:shd w:fill="F2F4F7"/>
            <w:vAlign w:val="center"/>
            <w:tcMar>
              <w:top w:w="80" w:type="dxa"/>
              <w:start w:w="120" w:type="dxa"/>
              <w:bottom w:w="80" w:type="dxa"/>
              <w:end w:w="120" w:type="dxa"/>
            </w:tcMar>
          </w:tcPr>
          <w:p>
            <w:pPr>
              <w:spacing w:before="0" w:after="40" w:line="240" w:lineRule="auto"/>
            </w:pPr>
            <w:r>
              <w:rPr>
                <w:rFonts w:ascii="Calibri" w:hAnsi="Calibri" w:eastAsia="Calibri"/>
                <w:b/>
                <w:color w:val="0B2545"/>
                <w:sz w:val="18"/>
              </w:rPr>
              <w:t>Katman</w:t>
            </w:r>
          </w:p>
        </w:tc>
        <w:tc>
          <w:tcPr>
            <w:tcW w:type="dxa" w:w="7320"/>
            <w:shd w:fill="F2F4F7"/>
            <w:vAlign w:val="center"/>
            <w:tcMar>
              <w:top w:w="80" w:type="dxa"/>
              <w:start w:w="120" w:type="dxa"/>
              <w:bottom w:w="80" w:type="dxa"/>
              <w:end w:w="120" w:type="dxa"/>
            </w:tcMar>
          </w:tcPr>
          <w:p>
            <w:pPr>
              <w:spacing w:before="0" w:after="40" w:line="240" w:lineRule="auto"/>
            </w:pPr>
            <w:r>
              <w:rPr>
                <w:rFonts w:ascii="Calibri" w:hAnsi="Calibri" w:eastAsia="Calibri"/>
                <w:b/>
                <w:color w:val="0B2545"/>
                <w:sz w:val="18"/>
              </w:rPr>
              <w:t>Sorumluluk</w:t>
            </w:r>
          </w:p>
        </w:tc>
      </w:tr>
      <w:tr>
        <w:trPr>
          <w:cantSplit/>
        </w:trPr>
        <w:tc>
          <w:tcPr>
            <w:tcW w:type="dxa" w:w="20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agent</w:t>
            </w:r>
          </w:p>
        </w:tc>
        <w:tc>
          <w:tcPr>
            <w:tcW w:type="dxa" w:w="7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State machine, policy, budgets, hypothesis ledger, model directives, tool registry</w:t>
            </w:r>
          </w:p>
        </w:tc>
      </w:tr>
      <w:tr>
        <w:trPr>
          <w:cantSplit/>
        </w:trPr>
        <w:tc>
          <w:tcPr>
            <w:tcW w:type="dxa" w:w="20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runtime</w:t>
            </w:r>
          </w:p>
        </w:tc>
        <w:tc>
          <w:tcPr>
            <w:tcW w:type="dxa" w:w="7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Command runner, workspace, patcher, pytest runner, PDB protocol/session/worker</w:t>
            </w:r>
          </w:p>
        </w:tc>
      </w:tr>
      <w:tr>
        <w:trPr>
          <w:cantSplit/>
        </w:trPr>
        <w:tc>
          <w:tcPr>
            <w:tcW w:type="dxa" w:w="20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evaluation</w:t>
            </w:r>
          </w:p>
        </w:tc>
        <w:tc>
          <w:tcPr>
            <w:tcW w:type="dxa" w:w="7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Task schema, baseline, verifier, outcome taxonomy, live harness</w:t>
            </w:r>
          </w:p>
        </w:tc>
      </w:tr>
      <w:tr>
        <w:trPr>
          <w:cantSplit/>
        </w:trPr>
        <w:tc>
          <w:tcPr>
            <w:tcW w:type="dxa" w:w="20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events</w:t>
            </w:r>
          </w:p>
        </w:tc>
        <w:tc>
          <w:tcPr>
            <w:tcW w:type="dxa" w:w="7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Strict event schema, JSONL logging, replay ve golden trajectory sözleşmeleri</w:t>
            </w:r>
          </w:p>
        </w:tc>
      </w:tr>
      <w:tr>
        <w:trPr>
          <w:cantSplit/>
        </w:trPr>
        <w:tc>
          <w:tcPr>
            <w:tcW w:type="dxa" w:w="20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application</w:t>
            </w:r>
          </w:p>
        </w:tc>
        <w:tc>
          <w:tcPr>
            <w:tcW w:type="dxa" w:w="7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Session spec/result, worker boundary, journal, history, replay, local project</w:t>
            </w:r>
          </w:p>
        </w:tc>
      </w:tr>
      <w:tr>
        <w:trPr>
          <w:cantSplit/>
        </w:trPr>
        <w:tc>
          <w:tcPr>
            <w:tcW w:type="dxa" w:w="20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ui</w:t>
            </w:r>
          </w:p>
        </w:tc>
        <w:tc>
          <w:tcPr>
            <w:tcW w:type="dxa" w:w="7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Textual tabanlı Local Application V1 ve kullanıcı etkileşimleri</w:t>
            </w:r>
          </w:p>
        </w:tc>
      </w:tr>
      <w:tr>
        <w:trPr>
          <w:cantSplit/>
        </w:trPr>
        <w:tc>
          <w:tcPr>
            <w:tcW w:type="dxa" w:w="20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datasets/experiments</w:t>
            </w:r>
          </w:p>
        </w:tc>
        <w:tc>
          <w:tcPr>
            <w:tcW w:type="dxa" w:w="7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Curated fixtures, QuixBugs, lisans kapılı BugsInPy, R1–R6 ve Level-32 evidence</w:t>
            </w:r>
          </w:p>
        </w:tc>
      </w:tr>
    </w:tbl>
    <w:p>
      <w:pPr>
        <w:pStyle w:val="TableCitation"/>
      </w:pPr>
      <w:r>
        <w:t>Kaynak: agentic_debugger/; docs/architecture/local-application-v1.md.</w:t>
      </w:r>
    </w:p>
    <w:p>
      <w:pPr>
        <w:pStyle w:val="Heading2"/>
        <w:keepNext/>
      </w:pPr>
      <w:r>
        <w:t>Uçtan uca çalışma akışı</w:t>
      </w:r>
    </w:p>
    <w:p>
      <w:pPr>
        <w:numPr>
          <w:ilvl w:val="0"/>
          <w:numId w:val="11"/>
        </w:numPr>
        <w:spacing w:before="0" w:after="160" w:line="280" w:lineRule="auto"/>
        <w:ind w:left="720" w:hanging="360"/>
      </w:pPr>
      <w:r>
        <w:t>Task schema, izinli yollar, testler ve bütçeler doğrulanır.</w:t>
      </w:r>
    </w:p>
    <w:p>
      <w:pPr>
        <w:numPr>
          <w:ilvl w:val="0"/>
          <w:numId w:val="11"/>
        </w:numPr>
        <w:spacing w:before="0" w:after="160" w:line="280" w:lineRule="auto"/>
        <w:ind w:left="720" w:hanging="360"/>
      </w:pPr>
      <w:r>
        <w:t>Buggy baseline disposable workspace içinde üretilir.</w:t>
      </w:r>
    </w:p>
    <w:p>
      <w:pPr>
        <w:numPr>
          <w:ilvl w:val="0"/>
          <w:numId w:val="11"/>
        </w:numPr>
        <w:spacing w:before="0" w:after="160" w:line="280" w:lineRule="auto"/>
        <w:ind w:left="720" w:hanging="360"/>
      </w:pPr>
      <w:r>
        <w:t>Controller gözlemlerden hipotez kurar.</w:t>
      </w:r>
    </w:p>
    <w:p>
      <w:pPr>
        <w:numPr>
          <w:ilvl w:val="0"/>
          <w:numId w:val="11"/>
        </w:numPr>
        <w:spacing w:before="0" w:after="160" w:line="280" w:lineRule="auto"/>
        <w:ind w:left="720" w:hanging="360"/>
      </w:pPr>
      <w:r>
        <w:t>Politika izin verirse PDB stack, locals, next ve safe-eval kanıtı toplar.</w:t>
      </w:r>
    </w:p>
    <w:p>
      <w:pPr>
        <w:numPr>
          <w:ilvl w:val="0"/>
          <w:numId w:val="11"/>
        </w:numPr>
        <w:spacing w:before="0" w:after="160" w:line="280" w:lineRule="auto"/>
        <w:ind w:left="720" w:hanging="360"/>
      </w:pPr>
      <w:r>
        <w:t>Model unified diff üretir; patcher fail-closed uygular.</w:t>
      </w:r>
    </w:p>
    <w:p>
      <w:pPr>
        <w:numPr>
          <w:ilvl w:val="0"/>
          <w:numId w:val="11"/>
        </w:numPr>
        <w:spacing w:before="0" w:after="160" w:line="280" w:lineRule="auto"/>
        <w:ind w:left="720" w:hanging="360"/>
      </w:pPr>
      <w:r>
        <w:t>Verifier temiz kopyada baseline, candidate, F2P ve P2P çalıştırır.</w:t>
      </w:r>
    </w:p>
    <w:p>
      <w:pPr>
        <w:numPr>
          <w:ilvl w:val="0"/>
          <w:numId w:val="11"/>
        </w:numPr>
        <w:spacing w:before="0" w:after="160" w:line="280" w:lineRule="auto"/>
        <w:ind w:left="720" w:hanging="360"/>
      </w:pPr>
      <w:r>
        <w:t>Outcome ve replay kaydedilir; process ve workspace temizlenir.</w:t>
      </w:r>
    </w:p>
    <w:p>
      <w:pPr>
        <w:pStyle w:val="Heading1"/>
        <w:keepNext/>
      </w:pPr>
      <w:r>
        <w:t>Controller ve runtime sözleşmeleri</w:t>
      </w:r>
    </w:p>
    <w:p>
      <w:pPr>
        <w:pStyle w:val="Heading2"/>
        <w:keepNext/>
      </w:pPr>
      <w:r>
        <w:t>Durum makinesi</w:t>
      </w:r>
    </w:p>
    <w:p>
      <w:r>
        <w:t>Akış Reproduce → Understand → RuntimeEvidence → Patch → Validate → Done/Failed biçimindedir. Geçişler allowlist’tir; terminal durumlar açılamaz ve hatalı/stale directive başarı sayılmaz.</w:t>
      </w:r>
    </w:p>
    <w:p>
      <w:pPr>
        <w:pStyle w:val="Heading2"/>
        <w:keepNext/>
      </w:pPr>
      <w:r>
        <w:t>Hipotez ve bütçe</w:t>
      </w:r>
    </w:p>
    <w:p>
      <w:r>
        <w:t>Hypothesis ledger statement, confidence, status, evidence refs ve revision taşır. Patch, test, PDB, source ve active-hypothesis limitlerini controller policy uygular.</w:t>
      </w:r>
    </w:p>
    <w:p>
      <w:pPr>
        <w:pStyle w:val="Heading2"/>
        <w:keepNext/>
      </w:pPr>
      <w:r>
        <w:t>PDB sınırı</w:t>
      </w:r>
    </w:p>
    <w:p>
      <w:r>
        <w:t>PDB serbest terminal değildir. Protocol/session/worker yalnız start, stack, locals, step/next, safe eval ve stop’u kaydeder. Timeout, cancellation ve process-tree cleanup correctness’in parçasıdır.</w:t>
      </w:r>
    </w:p>
    <w:p>
      <w:pPr>
        <w:pStyle w:val="Heading2"/>
        <w:keepNext/>
      </w:pPr>
      <w:r>
        <w:t>Patch yaşam döngüsü</w:t>
      </w:r>
    </w:p>
    <w:p>
      <w:r>
        <w:t>Patch yalnız izinli path’lere uygulanır. Parse, authorization, apply, revert ve rollback ayrıdır. Verifier disposable kopya kullanır; canonical hash değişimi evaluator failure’dır.</w:t>
      </w:r>
    </w:p>
    <w:p>
      <w:pPr>
        <w:pStyle w:val="Heading1"/>
        <w:keepNext/>
      </w:pPr>
      <w:r>
        <w:t>Bağımsız verifier ve kanıt modeli</w:t>
      </w:r>
    </w:p>
    <w:p>
      <w:r>
        <w:t>Verifier controller’dan bağımsızdır. Önce orijinal failure’ı üretir; sonra patch, syntax, F2P, P2P, full suite, private check, timeout ve cleanup kayıtlarını oluşturur.</w:t>
      </w:r>
    </w:p>
    <w:tbl>
      <w:tblPr>
        <w:tblStyle w:val="TableGrid"/>
        <w:tblW w:type="dxa" w:w="9360"/>
        <w:jc w:val="left"/>
        <w:tblLayout w:type="fixed"/>
        <w:tblLook w:firstColumn="1" w:firstRow="1" w:lastColumn="0" w:lastRow="0" w:noHBand="0" w:noVBand="1" w:val="04A0"/>
        <w:tblInd w:w="120" w:type="dxa"/>
        <w:tblCaption w:val="Verifier outcome özeti"/>
        <w:tblDescription w:val="Bağımsız verifier tarafından kullanılan temel sonuç sınıfları."/>
      </w:tblPr>
      <w:tblGrid>
        <w:gridCol w:w="3000"/>
        <w:gridCol w:w="6360"/>
      </w:tblGrid>
      <w:tr>
        <w:trPr>
          <w:tblHeader w:val="true"/>
          <w:cantSplit/>
        </w:trPr>
        <w:tc>
          <w:tcPr>
            <w:tcW w:type="dxa" w:w="3000"/>
            <w:shd w:fill="F2F4F7"/>
            <w:vAlign w:val="center"/>
            <w:tcMar>
              <w:top w:w="80" w:type="dxa"/>
              <w:start w:w="120" w:type="dxa"/>
              <w:bottom w:w="80" w:type="dxa"/>
              <w:end w:w="120" w:type="dxa"/>
            </w:tcMar>
          </w:tcPr>
          <w:p>
            <w:pPr>
              <w:keepNext/>
              <w:spacing w:before="0" w:after="40" w:line="240" w:lineRule="auto"/>
            </w:pPr>
            <w:r>
              <w:rPr>
                <w:rFonts w:ascii="Calibri" w:hAnsi="Calibri" w:eastAsia="Calibri"/>
                <w:b/>
                <w:color w:val="0B2545"/>
                <w:sz w:val="18"/>
              </w:rPr>
              <w:t>Sonuç</w:t>
            </w:r>
          </w:p>
        </w:tc>
        <w:tc>
          <w:tcPr>
            <w:tcW w:type="dxa" w:w="6360"/>
            <w:shd w:fill="F2F4F7"/>
            <w:vAlign w:val="center"/>
            <w:tcMar>
              <w:top w:w="80" w:type="dxa"/>
              <w:start w:w="120" w:type="dxa"/>
              <w:bottom w:w="80" w:type="dxa"/>
              <w:end w:w="120" w:type="dxa"/>
            </w:tcMar>
          </w:tcPr>
          <w:p>
            <w:pPr>
              <w:keepNext/>
              <w:spacing w:before="0" w:after="40" w:line="240" w:lineRule="auto"/>
            </w:pPr>
            <w:r>
              <w:rPr>
                <w:rFonts w:ascii="Calibri" w:hAnsi="Calibri" w:eastAsia="Calibri"/>
                <w:b/>
                <w:color w:val="0B2545"/>
                <w:sz w:val="18"/>
              </w:rPr>
              <w:t>Anlam</w:t>
            </w:r>
          </w:p>
        </w:tc>
      </w:tr>
      <w:tr>
        <w:trPr>
          <w:cantSplit/>
        </w:trPr>
        <w:tc>
          <w:tcPr>
            <w:tcW w:type="dxa" w:w="30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RESOLVED</w:t>
            </w:r>
          </w:p>
        </w:tc>
        <w:tc>
          <w:tcPr>
            <w:tcW w:type="dxa" w:w="636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Baseline geçerli; F2P geçti; gerekli P2P/suite koşulları sağlandı</w:t>
            </w:r>
          </w:p>
        </w:tc>
      </w:tr>
      <w:tr>
        <w:trPr>
          <w:cantSplit/>
        </w:trPr>
        <w:tc>
          <w:tcPr>
            <w:tcW w:type="dxa" w:w="30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BREAKING_RESOLVED</w:t>
            </w:r>
          </w:p>
        </w:tc>
        <w:tc>
          <w:tcPr>
            <w:tcW w:type="dxa" w:w="636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Hedef hata düzeldi fakat regression oluştu</w:t>
            </w:r>
          </w:p>
        </w:tc>
      </w:tr>
      <w:tr>
        <w:trPr>
          <w:cantSplit/>
        </w:trPr>
        <w:tc>
          <w:tcPr>
            <w:tcW w:type="dxa" w:w="30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UNRESOLVED</w:t>
            </w:r>
          </w:p>
        </w:tc>
        <w:tc>
          <w:tcPr>
            <w:tcW w:type="dxa" w:w="636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Aday hedef failure’ı gidermedi</w:t>
            </w:r>
          </w:p>
        </w:tc>
      </w:tr>
      <w:tr>
        <w:trPr>
          <w:cantSplit/>
        </w:trPr>
        <w:tc>
          <w:tcPr>
            <w:tcW w:type="dxa" w:w="30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BASELINE_INVALID</w:t>
            </w:r>
          </w:p>
        </w:tc>
        <w:tc>
          <w:tcPr>
            <w:tcW w:type="dxa" w:w="636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Görev başlangıç sözleşmesi kanıtlanamadı</w:t>
            </w:r>
          </w:p>
        </w:tc>
      </w:tr>
      <w:tr>
        <w:trPr>
          <w:cantSplit/>
        </w:trPr>
        <w:tc>
          <w:tcPr>
            <w:tcW w:type="dxa" w:w="30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INFRASTRUCTURE_BLOCKED</w:t>
            </w:r>
          </w:p>
        </w:tc>
        <w:tc>
          <w:tcPr>
            <w:tcW w:type="dxa" w:w="636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Çevre veya execution boundary semantik sonucu engelledi</w:t>
            </w:r>
          </w:p>
        </w:tc>
      </w:tr>
      <w:tr>
        <w:trPr>
          <w:cantSplit/>
        </w:trPr>
        <w:tc>
          <w:tcPr>
            <w:tcW w:type="dxa" w:w="30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EVALUATOR_INVARIANT_FAILED</w:t>
            </w:r>
          </w:p>
        </w:tc>
        <w:tc>
          <w:tcPr>
            <w:tcW w:type="dxa" w:w="636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Verifier’ın kendi güven sözleşmesi bozuldu</w:t>
            </w:r>
          </w:p>
        </w:tc>
      </w:tr>
    </w:tbl>
    <w:p>
      <w:pPr>
        <w:pStyle w:val="TableCitation"/>
      </w:pPr>
      <w:r>
        <w:t>Kaynak: agentic_debugger/evaluation/verifier.py ve outcome_taxonomy.py.</w:t>
      </w:r>
    </w:p>
    <w:p>
      <w:pPr>
        <w:pStyle w:val="Heading1"/>
        <w:keepNext/>
      </w:pPr>
      <w:r>
        <w:t>Local Application V1</w:t>
      </w:r>
    </w:p>
    <w:p>
      <w:pPr>
        <w:keepNext/>
      </w:pPr>
      <w:r>
        <w:t>Textual tabanlı yerel uygulama, bilimsel çekirdeğin ayrı bir kopyası değildir. Aynı session, controller, runtime, independent verifier ve event sözleşmelerini kullanır. Ürün katmanı task seçimi, model kaynağı, canlı durum, cancellation, history, replay, Evidence Review ve Apply To Project akışlarını sunar.</w:t>
      </w:r>
    </w:p>
    <w:tbl>
      <w:tblPr>
        <w:tblStyle w:val="TableGrid"/>
        <w:tblW w:type="dxa" w:w="9360"/>
        <w:jc w:val="left"/>
        <w:tblLayout w:type="fixed"/>
        <w:tblLook w:firstColumn="1" w:firstRow="1" w:lastColumn="0" w:lastRow="0" w:noHBand="0" w:noVBand="1" w:val="04A0"/>
        <w:tblInd w:w="120" w:type="dxa"/>
        <w:tblCaption w:val="Local Application çalışma yüzeyleri"/>
        <w:tblDescription w:val="Yerel uygulamanın desteklediği session kaynakları ve güven sınırları."/>
      </w:tblPr>
      <w:tblGrid>
        <w:gridCol w:w="1800"/>
        <w:gridCol w:w="3480"/>
        <w:gridCol w:w="4080"/>
      </w:tblGrid>
      <w:tr>
        <w:trPr>
          <w:tblHeader w:val="true"/>
          <w:cantSplit/>
        </w:trPr>
        <w:tc>
          <w:tcPr>
            <w:tcW w:type="dxa" w:w="1800"/>
            <w:shd w:fill="F2F4F7"/>
            <w:vAlign w:val="center"/>
            <w:tcMar>
              <w:top w:w="80" w:type="dxa"/>
              <w:start w:w="120" w:type="dxa"/>
              <w:bottom w:w="80" w:type="dxa"/>
              <w:end w:w="120" w:type="dxa"/>
            </w:tcMar>
          </w:tcPr>
          <w:p>
            <w:pPr>
              <w:keepNext/>
              <w:spacing w:before="0" w:after="40" w:line="240" w:lineRule="auto"/>
            </w:pPr>
            <w:r>
              <w:rPr>
                <w:rFonts w:ascii="Calibri" w:hAnsi="Calibri" w:eastAsia="Calibri"/>
                <w:b/>
                <w:color w:val="0B2545"/>
                <w:sz w:val="18"/>
              </w:rPr>
              <w:t>Yüzey</w:t>
            </w:r>
          </w:p>
        </w:tc>
        <w:tc>
          <w:tcPr>
            <w:tcW w:type="dxa" w:w="3480"/>
            <w:shd w:fill="F2F4F7"/>
            <w:vAlign w:val="center"/>
            <w:tcMar>
              <w:top w:w="80" w:type="dxa"/>
              <w:start w:w="120" w:type="dxa"/>
              <w:bottom w:w="80" w:type="dxa"/>
              <w:end w:w="120" w:type="dxa"/>
            </w:tcMar>
          </w:tcPr>
          <w:p>
            <w:pPr>
              <w:keepNext/>
              <w:spacing w:before="0" w:after="40" w:line="240" w:lineRule="auto"/>
            </w:pPr>
            <w:r>
              <w:rPr>
                <w:rFonts w:ascii="Calibri" w:hAnsi="Calibri" w:eastAsia="Calibri"/>
                <w:b/>
                <w:color w:val="0B2545"/>
                <w:sz w:val="18"/>
              </w:rPr>
              <w:t>Davranış</w:t>
            </w:r>
          </w:p>
        </w:tc>
        <w:tc>
          <w:tcPr>
            <w:tcW w:type="dxa" w:w="4080"/>
            <w:shd w:fill="F2F4F7"/>
            <w:vAlign w:val="center"/>
            <w:tcMar>
              <w:top w:w="80" w:type="dxa"/>
              <w:start w:w="120" w:type="dxa"/>
              <w:bottom w:w="80" w:type="dxa"/>
              <w:end w:w="120" w:type="dxa"/>
            </w:tcMar>
          </w:tcPr>
          <w:p>
            <w:pPr>
              <w:keepNext/>
              <w:spacing w:before="0" w:after="40" w:line="240" w:lineRule="auto"/>
            </w:pPr>
            <w:r>
              <w:rPr>
                <w:rFonts w:ascii="Calibri" w:hAnsi="Calibri" w:eastAsia="Calibri"/>
                <w:b/>
                <w:color w:val="0B2545"/>
                <w:sz w:val="18"/>
              </w:rPr>
              <w:t>Güven sınırı</w:t>
            </w:r>
          </w:p>
        </w:tc>
      </w:tr>
      <w:tr>
        <w:trPr>
          <w:cantSplit/>
        </w:trPr>
        <w:tc>
          <w:tcPr>
            <w:tcW w:type="dxa" w:w="18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Deterministic offline</w:t>
            </w:r>
          </w:p>
        </w:tc>
        <w:tc>
          <w:tcPr>
            <w:tcW w:type="dxa" w:w="348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Catalog plan ile provider’sız yürütme</w:t>
            </w:r>
          </w:p>
        </w:tc>
        <w:tc>
          <w:tcPr>
            <w:tcW w:type="dxa" w:w="408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Demo/ürün altyapısı; model kabiliyeti iddiası yok</w:t>
            </w:r>
          </w:p>
        </w:tc>
      </w:tr>
      <w:tr>
        <w:trPr>
          <w:cantSplit/>
        </w:trPr>
        <w:tc>
          <w:tcPr>
            <w:tcW w:type="dxa" w:w="18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Configured command</w:t>
            </w:r>
          </w:p>
        </w:tc>
        <w:tc>
          <w:tcPr>
            <w:tcW w:type="dxa" w:w="348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JSONL stdin/stdout model transport</w:t>
            </w:r>
          </w:p>
        </w:tc>
        <w:tc>
          <w:tcPr>
            <w:tcW w:type="dxa" w:w="408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Boyut, timeout, identity ve cancellation kontrolleri</w:t>
            </w:r>
          </w:p>
        </w:tc>
      </w:tr>
      <w:tr>
        <w:trPr>
          <w:cantSplit/>
        </w:trPr>
        <w:tc>
          <w:tcPr>
            <w:tcW w:type="dxa" w:w="18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Ollama Cloud</w:t>
            </w:r>
          </w:p>
        </w:tc>
        <w:tc>
          <w:tcPr>
            <w:tcW w:type="dxa" w:w="348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Kabul edilmiş configured-command adapter</w:t>
            </w:r>
          </w:p>
        </w:tc>
        <w:tc>
          <w:tcPr>
            <w:tcW w:type="dxa" w:w="408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Açık model/route kimliği; fallback yok</w:t>
            </w:r>
          </w:p>
        </w:tc>
      </w:tr>
      <w:tr>
        <w:trPr>
          <w:cantSplit/>
        </w:trPr>
        <w:tc>
          <w:tcPr>
            <w:tcW w:type="dxa" w:w="18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Capability ladder</w:t>
            </w:r>
          </w:p>
        </w:tc>
        <w:tc>
          <w:tcPr>
            <w:tcW w:type="dxa" w:w="348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Donmuş PDB task sırası</w:t>
            </w:r>
          </w:p>
        </w:tc>
        <w:tc>
          <w:tcPr>
            <w:tcW w:type="dxa" w:w="408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Treatment metadata ve sıra korunur</w:t>
            </w:r>
          </w:p>
        </w:tc>
      </w:tr>
      <w:tr>
        <w:trPr>
          <w:cantSplit/>
        </w:trPr>
        <w:tc>
          <w:tcPr>
            <w:tcW w:type="dxa" w:w="18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Local Project Debug</w:t>
            </w:r>
          </w:p>
        </w:tc>
        <w:tc>
          <w:tcPr>
            <w:tcW w:type="dxa" w:w="3480"/>
            <w:vAlign w:val="center"/>
            <w:tcMar>
              <w:top w:w="80" w:type="dxa"/>
              <w:start w:w="120" w:type="dxa"/>
              <w:bottom w:w="80" w:type="dxa"/>
              <w:end w:w="120" w:type="dxa"/>
            </w:tcMar>
          </w:tcPr>
          <w:p>
            <w:r>
              <w:t>Kullanıcı repo’sunda arşivlenmiş dört bağımsız disposable workspace</w:t>
            </w:r>
          </w:p>
        </w:tc>
        <w:tc>
          <w:tcPr>
            <w:tcW w:type="dxa" w:w="4080"/>
            <w:vAlign w:val="center"/>
            <w:tcMar>
              <w:top w:w="80" w:type="dxa"/>
              <w:start w:w="120" w:type="dxa"/>
              <w:bottom w:w="80" w:type="dxa"/>
              <w:end w:w="120" w:type="dxa"/>
            </w:tcMar>
          </w:tcPr>
          <w:p>
            <w:r>
              <w:t>Baseline failure/regression, ayrı F2P/P2P patch uygulaması, sertifika ve apply-time Git kapıları</w:t>
            </w:r>
          </w:p>
        </w:tc>
      </w:tr>
      <w:tr>
        <w:trPr>
          <w:cantSplit/>
        </w:trPr>
        <w:tc>
          <w:tcPr>
            <w:tcW w:type="dxa" w:w="18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History / Replay</w:t>
            </w:r>
          </w:p>
        </w:tc>
        <w:tc>
          <w:tcPr>
            <w:tcW w:type="dxa" w:w="348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Immutable journal’dan read-only reconstruction</w:t>
            </w:r>
          </w:p>
        </w:tc>
        <w:tc>
          <w:tcPr>
            <w:tcW w:type="dxa" w:w="408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Replay provider çağırmaz ve doğruluk üretmez</w:t>
            </w:r>
          </w:p>
        </w:tc>
      </w:tr>
    </w:tbl>
    <w:p>
      <w:pPr>
        <w:pStyle w:val="TableCitation"/>
      </w:pPr>
      <w:r>
        <w:t>Kaynak: docs/architecture/local-application-v1.md; agentic_debugger/application/; agentic_debugger/ui/.</w:t>
      </w:r>
    </w:p>
    <w:p>
      <w:pPr>
        <w:pStyle w:val="Heading2"/>
      </w:pPr>
      <w:r>
        <w:t>Local Project doğrulama ve uygulama zinciri</w:t>
      </w:r>
    </w:p>
    <w:p>
      <w:pPr/>
      <w:r>
        <w:t>Local Project verifier, controller sonucuna güvenmez. Orijinal failure, baseline regression, patched F2P ve patched P2P komutlarını dört ayrı temiz export üzerinde çalıştırır. Patch, F2P ve P2P kopyalarına bağımsız uygulanır; süreçler ortak dosya sistemi durumu paylaşmaz.</w:t>
      </w:r>
    </w:p>
    <w:p>
      <w:pPr/>
      <w:r>
        <w:t>Verification certificate; task kimliği, session kimliği, canonical task-spec SHA-256, source HEAD, patch SHA-256, outcome ve cleanup kanıtını bağlar. Apply To Project aynı bağları ve temiz Git durumunu git apply işleminden hemen önce yeniden denetler. Harici eşzamanlı Git yazıcılarını kilitleyen bir repository lock bulunmadığı açık bir trusted-local sınırlamadır.</w:t>
      </w:r>
    </w:p>
    <w:p>
      <w:pPr/>
      <w:r>
        <w:t>Evidence Review, Reproduce → Inspect → Diagnose → Change → Verify → Cleanup zincirini aynı session projection’ından üretir. Controller tanısı bir claim’dir. Yalnız bağımsız verifier sonucu doğruluk otoritesidir. Replay yeni doğruluk üretmez; kaydedilmiş prefix’i gösterir.</w:t>
      </w:r>
    </w:p>
    <w:p>
      <w:pPr>
        <w:pStyle w:val="TableCitation"/>
      </w:pPr>
      <w:r>
        <w:t>Kaynak: agentic_debugger/evaluation/local_project_verifier.py; agentic_debugger/application/case_brief.py; agentic_debugger/application/local_project.py.</w:t>
      </w:r>
    </w:p>
    <w:p>
      <w:pPr>
        <w:pStyle w:val="Heading1"/>
        <w:keepNext/>
      </w:pPr>
      <w:r>
        <w:t>Veri kümeleri ve değerlendirme altyapısı</w:t>
      </w:r>
    </w:p>
    <w:tbl>
      <w:tblPr>
        <w:tblStyle w:val="TableGrid"/>
        <w:tblW w:type="dxa" w:w="9360"/>
        <w:jc w:val="left"/>
        <w:tblLayout w:type="fixed"/>
        <w:tblLook w:firstColumn="1" w:firstRow="1" w:lastColumn="0" w:lastRow="0" w:noHBand="0" w:noVBand="1" w:val="04A0"/>
        <w:tblInd w:w="120" w:type="dxa"/>
        <w:tblCaption w:val="Veri kaynakları"/>
        <w:tblDescription w:val="Projenin kullandığı veri kaynakları, amaçları ve güncel yürütme durumları."/>
      </w:tblPr>
      <w:tblGrid>
        <w:gridCol w:w="1800"/>
        <w:gridCol w:w="4320"/>
        <w:gridCol w:w="3240"/>
      </w:tblGrid>
      <w:tr>
        <w:trPr>
          <w:tblHeader w:val="true"/>
          <w:cantSplit/>
        </w:trPr>
        <w:tc>
          <w:tcPr>
            <w:tcW w:type="dxa" w:w="1800"/>
            <w:shd w:fill="F2F4F7"/>
            <w:vAlign w:val="center"/>
            <w:tcMar>
              <w:top w:w="80" w:type="dxa"/>
              <w:start w:w="120" w:type="dxa"/>
              <w:bottom w:w="80" w:type="dxa"/>
              <w:end w:w="120" w:type="dxa"/>
            </w:tcMar>
          </w:tcPr>
          <w:p>
            <w:pPr>
              <w:spacing w:before="0" w:after="40" w:line="240" w:lineRule="auto"/>
            </w:pPr>
            <w:r>
              <w:rPr>
                <w:rFonts w:ascii="Calibri" w:hAnsi="Calibri" w:eastAsia="Calibri"/>
                <w:b/>
                <w:color w:val="0B2545"/>
                <w:sz w:val="18"/>
              </w:rPr>
              <w:t>Kaynak</w:t>
            </w:r>
          </w:p>
        </w:tc>
        <w:tc>
          <w:tcPr>
            <w:tcW w:type="dxa" w:w="4320"/>
            <w:shd w:fill="F2F4F7"/>
            <w:vAlign w:val="center"/>
            <w:tcMar>
              <w:top w:w="80" w:type="dxa"/>
              <w:start w:w="120" w:type="dxa"/>
              <w:bottom w:w="80" w:type="dxa"/>
              <w:end w:w="120" w:type="dxa"/>
            </w:tcMar>
          </w:tcPr>
          <w:p>
            <w:pPr>
              <w:spacing w:before="0" w:after="40" w:line="240" w:lineRule="auto"/>
            </w:pPr>
            <w:r>
              <w:rPr>
                <w:rFonts w:ascii="Calibri" w:hAnsi="Calibri" w:eastAsia="Calibri"/>
                <w:b/>
                <w:color w:val="0B2545"/>
                <w:sz w:val="18"/>
              </w:rPr>
              <w:t>Kullanım</w:t>
            </w:r>
          </w:p>
        </w:tc>
        <w:tc>
          <w:tcPr>
            <w:tcW w:type="dxa" w:w="3240"/>
            <w:shd w:fill="F2F4F7"/>
            <w:vAlign w:val="center"/>
            <w:tcMar>
              <w:top w:w="80" w:type="dxa"/>
              <w:start w:w="120" w:type="dxa"/>
              <w:bottom w:w="80" w:type="dxa"/>
              <w:end w:w="120" w:type="dxa"/>
            </w:tcMar>
          </w:tcPr>
          <w:p>
            <w:pPr>
              <w:spacing w:before="0" w:after="40" w:line="240" w:lineRule="auto"/>
            </w:pPr>
            <w:r>
              <w:rPr>
                <w:rFonts w:ascii="Calibri" w:hAnsi="Calibri" w:eastAsia="Calibri"/>
                <w:b/>
                <w:color w:val="0B2545"/>
                <w:sz w:val="18"/>
              </w:rPr>
              <w:t>Durum</w:t>
            </w:r>
          </w:p>
        </w:tc>
      </w:tr>
      <w:tr>
        <w:trPr>
          <w:cantSplit/>
        </w:trPr>
        <w:tc>
          <w:tcPr>
            <w:tcW w:type="dxa" w:w="18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Curated</w:t>
            </w:r>
          </w:p>
        </w:tc>
        <w:tc>
          <w:tcPr>
            <w:tcW w:type="dxa" w:w="4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Beş küçük Python/pytest architecture fixture</w:t>
            </w:r>
          </w:p>
        </w:tc>
        <w:tc>
          <w:tcPr>
            <w:tcW w:type="dxa" w:w="32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Repo içinde; deterministik demo ve testler</w:t>
            </w:r>
          </w:p>
        </w:tc>
      </w:tr>
      <w:tr>
        <w:trPr>
          <w:cantSplit/>
        </w:trPr>
        <w:tc>
          <w:tcPr>
            <w:tcW w:type="dxa" w:w="18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QuixBugs</w:t>
            </w:r>
          </w:p>
        </w:tc>
        <w:tc>
          <w:tcPr>
            <w:tcW w:type="dxa" w:w="4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Adapter, manifest, containment ve gold baseline</w:t>
            </w:r>
          </w:p>
        </w:tc>
        <w:tc>
          <w:tcPr>
            <w:tcW w:type="dxa" w:w="32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8/8 gold altyapı kanıtı; model sonucu değildir</w:t>
            </w:r>
          </w:p>
        </w:tc>
      </w:tr>
      <w:tr>
        <w:trPr>
          <w:cantSplit/>
        </w:trPr>
        <w:tc>
          <w:tcPr>
            <w:tcW w:type="dxa" w:w="18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SWE-rebench Level-32</w:t>
            </w:r>
          </w:p>
        </w:tc>
        <w:tc>
          <w:tcPr>
            <w:tcW w:type="dxa" w:w="4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Repository-scale candidate-artifact ve official test sınırı</w:t>
            </w:r>
          </w:p>
        </w:tc>
        <w:tc>
          <w:tcPr>
            <w:tcW w:type="dxa" w:w="32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Repaired treatment ve 15-model matrix kapalı</w:t>
            </w:r>
          </w:p>
        </w:tc>
      </w:tr>
      <w:tr>
        <w:trPr>
          <w:cantSplit/>
        </w:trPr>
        <w:tc>
          <w:tcPr>
            <w:tcW w:type="dxa" w:w="18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BugsInPy</w:t>
            </w:r>
          </w:p>
        </w:tc>
        <w:tc>
          <w:tcPr>
            <w:tcW w:type="dxa" w:w="432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Metadata, preflight ve WSL adapter tasarımı</w:t>
            </w:r>
          </w:p>
        </w:tc>
        <w:tc>
          <w:tcPr>
            <w:tcW w:type="dxa" w:w="324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License-gated; source acquisition ve execution yapılmadı</w:t>
            </w:r>
          </w:p>
        </w:tc>
      </w:tr>
      <w:tr>
        <w:trPr>
          <w:cantSplit/>
        </w:trPr>
        <w:tc>
          <w:tcPr>
            <w:tcW w:type="dxa" w:w="18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RAG / preference</w:t>
            </w:r>
          </w:p>
        </w:tc>
        <w:tc>
          <w:tcPr>
            <w:tcW w:type="dxa" w:w="4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Corpus, retrieval, comparison ve exporter altyapısı</w:t>
            </w:r>
          </w:p>
        </w:tc>
        <w:tc>
          <w:tcPr>
            <w:tcW w:type="dxa" w:w="32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S4 correctness NOT_EVALUATED; DPO yeni kampanya değil</w:t>
            </w:r>
          </w:p>
        </w:tc>
      </w:tr>
    </w:tbl>
    <w:p>
      <w:pPr>
        <w:pStyle w:val="TableCitation"/>
      </w:pPr>
      <w:r>
        <w:t>Kaynak: docs/results-index.md; research/; agentic_debugger/datasets/.</w:t>
      </w:r>
    </w:p>
    <w:p>
      <w:pPr>
        <w:pStyle w:val="Heading1"/>
        <w:keepNext/>
      </w:pPr>
      <w:r>
        <w:t>Bilimsel ve deneysel sonuçlar</w:t>
      </w:r>
    </w:p>
    <w:tbl>
      <w:tblPr>
        <w:tblStyle w:val="TableGrid"/>
        <w:tblW w:type="dxa" w:w="9360"/>
        <w:jc w:val="left"/>
        <w:tblLayout w:type="fixed"/>
        <w:tblLook w:firstColumn="1" w:firstRow="1" w:lastColumn="0" w:lastRow="0" w:noHBand="0" w:noVBand="1" w:val="04A0"/>
        <w:tblInd w:w="120" w:type="dxa"/>
        <w:tblCaption w:val="Kabul edilen deney sonuçları"/>
        <w:tblDescription w:val="Projenin kapanışında kabul edilen ölçümler ve aşırı yorumlamayı engelleyen niteleyiciler."/>
      </w:tblPr>
      <w:tblGrid>
        <w:gridCol w:w="1740"/>
        <w:gridCol w:w="4320"/>
        <w:gridCol w:w="3300"/>
      </w:tblGrid>
      <w:tr>
        <w:trPr>
          <w:tblHeader w:val="true"/>
          <w:cantSplit/>
        </w:trPr>
        <w:tc>
          <w:tcPr>
            <w:tcW w:type="dxa" w:w="1740"/>
            <w:shd w:fill="F2F4F7"/>
            <w:vAlign w:val="center"/>
            <w:tcMar>
              <w:top w:w="80" w:type="dxa"/>
              <w:start w:w="120" w:type="dxa"/>
              <w:bottom w:w="80" w:type="dxa"/>
              <w:end w:w="120" w:type="dxa"/>
            </w:tcMar>
          </w:tcPr>
          <w:p>
            <w:pPr>
              <w:spacing w:before="0" w:after="40" w:line="240" w:lineRule="auto"/>
            </w:pPr>
            <w:r>
              <w:rPr>
                <w:rFonts w:ascii="Calibri" w:hAnsi="Calibri" w:eastAsia="Calibri"/>
                <w:b/>
                <w:color w:val="0B2545"/>
                <w:sz w:val="18"/>
              </w:rPr>
              <w:t>Çalışma</w:t>
            </w:r>
          </w:p>
        </w:tc>
        <w:tc>
          <w:tcPr>
            <w:tcW w:type="dxa" w:w="4320"/>
            <w:shd w:fill="F2F4F7"/>
            <w:vAlign w:val="center"/>
            <w:tcMar>
              <w:top w:w="80" w:type="dxa"/>
              <w:start w:w="120" w:type="dxa"/>
              <w:bottom w:w="80" w:type="dxa"/>
              <w:end w:w="120" w:type="dxa"/>
            </w:tcMar>
          </w:tcPr>
          <w:p>
            <w:pPr>
              <w:spacing w:before="0" w:after="40" w:line="240" w:lineRule="auto"/>
            </w:pPr>
            <w:r>
              <w:rPr>
                <w:rFonts w:ascii="Calibri" w:hAnsi="Calibri" w:eastAsia="Calibri"/>
                <w:b/>
                <w:color w:val="0B2545"/>
                <w:sz w:val="18"/>
              </w:rPr>
              <w:t>Ölçülen sonuç</w:t>
            </w:r>
          </w:p>
        </w:tc>
        <w:tc>
          <w:tcPr>
            <w:tcW w:type="dxa" w:w="3300"/>
            <w:shd w:fill="F2F4F7"/>
            <w:vAlign w:val="center"/>
            <w:tcMar>
              <w:top w:w="80" w:type="dxa"/>
              <w:start w:w="120" w:type="dxa"/>
              <w:bottom w:w="80" w:type="dxa"/>
              <w:end w:w="120" w:type="dxa"/>
            </w:tcMar>
          </w:tcPr>
          <w:p>
            <w:pPr>
              <w:spacing w:before="0" w:after="40" w:line="240" w:lineRule="auto"/>
            </w:pPr>
            <w:r>
              <w:rPr>
                <w:rFonts w:ascii="Calibri" w:hAnsi="Calibri" w:eastAsia="Calibri"/>
                <w:b/>
                <w:color w:val="0B2545"/>
                <w:sz w:val="18"/>
              </w:rPr>
              <w:t>Geçerli yorum</w:t>
            </w:r>
          </w:p>
        </w:tc>
      </w:tr>
      <w:tr>
        <w:trPr>
          <w:cantSplit/>
        </w:trPr>
        <w:tc>
          <w:tcPr>
            <w:tcW w:type="dxa" w:w="17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R1</w:t>
            </w:r>
          </w:p>
        </w:tc>
        <w:tc>
          <w:tcPr>
            <w:tcW w:type="dxa" w:w="4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Repaired interface ile gerçek breakpoint ve ilk PDB observation</w:t>
            </w:r>
          </w:p>
        </w:tc>
        <w:tc>
          <w:tcPr>
            <w:tcW w:type="dxa" w:w="33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Dynamic evidence yolu çalıştı</w:t>
            </w:r>
          </w:p>
        </w:tc>
      </w:tr>
      <w:tr>
        <w:trPr>
          <w:cantSplit/>
        </w:trPr>
        <w:tc>
          <w:tcPr>
            <w:tcW w:type="dxa" w:w="17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R2</w:t>
            </w:r>
          </w:p>
        </w:tc>
        <w:tc>
          <w:tcPr>
            <w:tcW w:type="dxa" w:w="4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Multi-turn breakpoint, stack, locals ve next</w:t>
            </w:r>
          </w:p>
        </w:tc>
        <w:tc>
          <w:tcPr>
            <w:tcW w:type="dxa" w:w="33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Yapılandırılmış debugger loop kanıtlandı</w:t>
            </w:r>
          </w:p>
        </w:tc>
      </w:tr>
      <w:tr>
        <w:trPr>
          <w:cantSplit/>
        </w:trPr>
        <w:tc>
          <w:tcPr>
            <w:tcW w:type="dxa" w:w="17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R3</w:t>
            </w:r>
          </w:p>
        </w:tc>
        <w:tc>
          <w:tcPr>
            <w:tcW w:type="dxa" w:w="4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Debugger evidence → patch → verifier RESOLVED</w:t>
            </w:r>
          </w:p>
        </w:tc>
        <w:tc>
          <w:tcPr>
            <w:tcW w:type="dxa" w:w="33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Uçtan uca onarım yolu kanıtlandı</w:t>
            </w:r>
          </w:p>
        </w:tc>
      </w:tr>
      <w:tr>
        <w:trPr>
          <w:cantSplit/>
        </w:trPr>
        <w:tc>
          <w:tcPr>
            <w:tcW w:type="dxa" w:w="17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R4</w:t>
            </w:r>
          </w:p>
        </w:tc>
        <w:tc>
          <w:tcPr>
            <w:tcW w:type="dxa" w:w="4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Model-generated regression test buggy’de fail, repaired’da pass</w:t>
            </w:r>
          </w:p>
        </w:tc>
        <w:tc>
          <w:tcPr>
            <w:tcW w:type="dxa" w:w="33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Test-probe altyapısı çalıştı</w:t>
            </w:r>
          </w:p>
        </w:tc>
      </w:tr>
      <w:tr>
        <w:trPr>
          <w:cantSplit/>
        </w:trPr>
        <w:tc>
          <w:tcPr>
            <w:tcW w:type="dxa" w:w="17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R5</w:t>
            </w:r>
          </w:p>
        </w:tc>
        <w:tc>
          <w:tcPr>
            <w:tcW w:type="dxa" w:w="4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Clean base-14B holdout 5/5; 41 prompt’ta leakage finding 0</w:t>
            </w:r>
          </w:p>
        </w:tc>
        <w:tc>
          <w:tcPr>
            <w:tcW w:type="dxa" w:w="33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Küçük curated dağılımda pozitif sonuç</w:t>
            </w:r>
          </w:p>
        </w:tc>
      </w:tr>
      <w:tr>
        <w:trPr>
          <w:cantSplit/>
        </w:trPr>
        <w:tc>
          <w:tcPr>
            <w:tcW w:type="dxa" w:w="17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R6</w:t>
            </w:r>
          </w:p>
        </w:tc>
        <w:tc>
          <w:tcPr>
            <w:tcW w:type="dxa" w:w="4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Tuned-7B task-disjoint QuixBugs 8/8 RESOLVED</w:t>
            </w:r>
          </w:p>
        </w:tc>
        <w:tc>
          <w:tcPr>
            <w:tcW w:type="dxa" w:w="33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Matched-base nedensel fine-tuning kanıtı değil</w:t>
            </w:r>
          </w:p>
        </w:tc>
      </w:tr>
      <w:tr>
        <w:trPr>
          <w:cantSplit/>
        </w:trPr>
        <w:tc>
          <w:tcPr>
            <w:tcW w:type="dxa" w:w="17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Exact-PDB ladder</w:t>
            </w:r>
          </w:p>
        </w:tc>
        <w:tc>
          <w:tcPr>
            <w:tcW w:type="dxa" w:w="4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6/100, 12/100 ve 18/100 tek görev rungs RESOLVED</w:t>
            </w:r>
          </w:p>
        </w:tc>
        <w:tc>
          <w:tcPr>
            <w:tcW w:type="dxa" w:w="33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Üç ayrı capability proof; success rate değil</w:t>
            </w:r>
          </w:p>
        </w:tc>
      </w:tr>
      <w:tr>
        <w:trPr>
          <w:cantSplit/>
        </w:trPr>
        <w:tc>
          <w:tcPr>
            <w:tcW w:type="dxa" w:w="17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Level-32 repaired</w:t>
            </w:r>
          </w:p>
        </w:tc>
        <w:tc>
          <w:tcPr>
            <w:tcW w:type="dxa" w:w="4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GLM 5.1 ve 5.2: F2P 5/5, P2P failed 0/9</w:t>
            </w:r>
          </w:p>
        </w:tc>
        <w:tc>
          <w:tcPr>
            <w:tcW w:type="dxa" w:w="33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Candidate-artifact sınırı onarıldı</w:t>
            </w:r>
          </w:p>
        </w:tc>
      </w:tr>
      <w:tr>
        <w:trPr>
          <w:cantSplit/>
        </w:trPr>
        <w:tc>
          <w:tcPr>
            <w:tcW w:type="dxa" w:w="17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15-model matrix</w:t>
            </w:r>
          </w:p>
        </w:tc>
        <w:tc>
          <w:tcPr>
            <w:tcW w:type="dxa" w:w="4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14 exact-PDB; 7 official tests; 6 ≥4/5; 2 resolved</w:t>
            </w:r>
          </w:p>
        </w:tc>
        <w:tc>
          <w:tcPr>
            <w:tcW w:type="dxa" w:w="33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1 semantic rejection, 12 protocol failure</w:t>
            </w:r>
          </w:p>
        </w:tc>
      </w:tr>
      <w:tr>
        <w:trPr>
          <w:cantSplit/>
        </w:trPr>
        <w:tc>
          <w:tcPr>
            <w:tcW w:type="dxa" w:w="17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Ollama product proof</w:t>
            </w:r>
          </w:p>
        </w:tc>
        <w:tc>
          <w:tcPr>
            <w:tcW w:type="dxa" w:w="4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gpt-oss:20b-cloud: F2P 1/1, P2P 2/2</w:t>
            </w:r>
          </w:p>
        </w:tc>
        <w:tc>
          <w:tcPr>
            <w:tcW w:type="dxa" w:w="33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Ürün/debugging başarı; PDB NOT EXERCISED</w:t>
            </w:r>
          </w:p>
        </w:tc>
      </w:tr>
      <w:tr>
        <w:trPr>
          <w:cantSplit/>
        </w:trPr>
        <w:tc>
          <w:tcPr>
            <w:tcW w:type="dxa" w:w="174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Nemotron probe</w:t>
            </w:r>
          </w:p>
        </w:tc>
        <w:tc>
          <w:tcPr>
            <w:tcW w:type="dxa" w:w="432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1/5 RESOLVED</w:t>
            </w:r>
          </w:p>
        </w:tc>
        <w:tc>
          <w:tcPr>
            <w:tcW w:type="dxa" w:w="33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PDB 5 görevin hiçbirinde kullanılmadı</w:t>
            </w:r>
          </w:p>
        </w:tc>
      </w:tr>
    </w:tbl>
    <w:p>
      <w:pPr>
        <w:pStyle w:val="TableCitation"/>
      </w:pPr>
      <w:r>
        <w:t>Kaynak: docs/results-index.md ve docs/project-closeout.md. Rakamlar tarihsel kanıtlardan alınmıştır; kapanış sırasında canlı kampanya çalıştırılmamıştır.</w:t>
      </w:r>
    </w:p>
    <w:p>
      <w:pPr>
        <w:pStyle w:val="Heading1"/>
        <w:keepNext/>
      </w:pPr>
      <w:r>
        <w:t>Bilimsel yorum ve geçerlilik sınırları</w:t>
      </w:r>
    </w:p>
    <w:p>
      <w:pPr>
        <w:pStyle w:val="Heading2"/>
        <w:keepNext/>
      </w:pPr>
      <w:r>
        <w:t>Kanıtın desteklediği sonuçlar</w:t>
      </w:r>
    </w:p>
    <w:p>
      <w:pPr>
        <w:numPr>
          <w:ilvl w:val="0"/>
          <w:numId w:val="10"/>
        </w:numPr>
        <w:spacing w:before="0" w:after="160" w:line="280" w:lineRule="auto"/>
        <w:ind w:left="720" w:hanging="360"/>
      </w:pPr>
      <w:r>
        <w:t>Bounded PDB interaction, typed tool döngüsüne entegre edilebilir.</w:t>
      </w:r>
    </w:p>
    <w:p>
      <w:pPr>
        <w:numPr>
          <w:ilvl w:val="0"/>
          <w:numId w:val="10"/>
        </w:numPr>
        <w:spacing w:before="0" w:after="160" w:line="280" w:lineRule="auto"/>
        <w:ind w:left="720" w:hanging="360"/>
      </w:pPr>
      <w:r>
        <w:t>Runtime evidence, event trajectory içinde hipotez ve patch öncesi kaydedilebilir.</w:t>
      </w:r>
    </w:p>
    <w:p>
      <w:pPr>
        <w:numPr>
          <w:ilvl w:val="0"/>
          <w:numId w:val="10"/>
        </w:numPr>
        <w:spacing w:before="0" w:after="160" w:line="280" w:lineRule="auto"/>
        <w:ind w:left="720" w:hanging="360"/>
      </w:pPr>
      <w:r>
        <w:t>Independent verifier, model iddiasını clean-baseline evidence ile ayırabilir.</w:t>
      </w:r>
    </w:p>
    <w:p>
      <w:pPr>
        <w:numPr>
          <w:ilvl w:val="0"/>
          <w:numId w:val="10"/>
        </w:numPr>
        <w:spacing w:before="0" w:after="160" w:line="280" w:lineRule="auto"/>
        <w:ind w:left="720" w:hanging="360"/>
      </w:pPr>
      <w:r>
        <w:t>Candidate serialization ve official-test execution, model semantiğinden bağımsız bir deney değişkenidir.</w:t>
      </w:r>
    </w:p>
    <w:p>
      <w:pPr>
        <w:numPr>
          <w:ilvl w:val="0"/>
          <w:numId w:val="10"/>
        </w:numPr>
        <w:spacing w:before="0" w:after="160" w:line="280" w:lineRule="auto"/>
        <w:ind w:left="720" w:hanging="360"/>
      </w:pPr>
      <w:r>
        <w:t>Aynı çekirdek ürün yüzeyi, replay ve local-project workflow’unda korunabilir.</w:t>
      </w:r>
    </w:p>
    <w:p>
      <w:pPr>
        <w:pStyle w:val="Heading2"/>
        <w:keepNext/>
      </w:pPr>
      <w:r>
        <w:t>Kanıtın desteklemediği sonuçlar</w:t>
      </w:r>
    </w:p>
    <w:p>
      <w:pPr>
        <w:numPr>
          <w:ilvl w:val="0"/>
          <w:numId w:val="10"/>
        </w:numPr>
        <w:spacing w:before="0" w:after="160" w:line="280" w:lineRule="auto"/>
        <w:ind w:left="720" w:hanging="360"/>
      </w:pPr>
      <w:r>
        <w:t>PDB erişimi genel olarak statik yaklaşımdan daha yüksek repair rate sağlar.</w:t>
      </w:r>
    </w:p>
    <w:p>
      <w:pPr>
        <w:numPr>
          <w:ilvl w:val="0"/>
          <w:numId w:val="10"/>
        </w:numPr>
        <w:spacing w:before="0" w:after="160" w:line="280" w:lineRule="auto"/>
        <w:ind w:left="720" w:hanging="360"/>
      </w:pPr>
      <w:r>
        <w:t>R6’daki 8/8 sonuç yalnız fine-tuning nedeniyle oluşmuştur.</w:t>
      </w:r>
    </w:p>
    <w:p>
      <w:pPr>
        <w:numPr>
          <w:ilvl w:val="0"/>
          <w:numId w:val="10"/>
        </w:numPr>
        <w:spacing w:before="0" w:after="160" w:line="280" w:lineRule="auto"/>
        <w:ind w:left="720" w:hanging="360"/>
      </w:pPr>
      <w:r>
        <w:t>Küçük curated veya QuixBugs sonuçları repository-scale genelleme kanıtıdır.</w:t>
      </w:r>
    </w:p>
    <w:p>
      <w:pPr>
        <w:numPr>
          <w:ilvl w:val="0"/>
          <w:numId w:val="10"/>
        </w:numPr>
        <w:spacing w:before="0" w:after="160" w:line="280" w:lineRule="auto"/>
        <w:ind w:left="720" w:hanging="360"/>
      </w:pPr>
      <w:r>
        <w:t>Gold patch baseline bir model kabiliyeti sonucudur.</w:t>
      </w:r>
    </w:p>
    <w:p>
      <w:pPr>
        <w:numPr>
          <w:ilvl w:val="0"/>
          <w:numId w:val="10"/>
        </w:numPr>
        <w:spacing w:before="0" w:after="160" w:line="280" w:lineRule="auto"/>
        <w:ind w:left="720" w:hanging="360"/>
      </w:pPr>
      <w:r>
        <w:t>Trusted-local execution hostile code’a karşı işletim sistemi sandbox’ıdır.</w:t>
      </w:r>
    </w:p>
    <w:p>
      <w:pPr>
        <w:pStyle w:val="Heading1"/>
        <w:keepNext/>
      </w:pPr>
      <w:r>
        <w:t>Mühendislik kalitesi ve kapanış doğrulaması</w:t>
      </w:r>
    </w:p>
    <w:tbl>
      <w:tblPr>
        <w:tblStyle w:val="TableGrid"/>
        <w:tblW w:type="dxa" w:w="9360"/>
        <w:jc w:val="left"/>
        <w:tblLayout w:type="fixed"/>
        <w:tblLook w:firstColumn="1" w:firstRow="1" w:lastColumn="0" w:lastRow="0" w:noHBand="0" w:noVBand="1" w:val="04A0"/>
        <w:tblInd w:w="120" w:type="dxa"/>
        <w:tblCaption w:val="Kapanış doğrulaması"/>
        <w:tblDescription w:val="Post-tag kapanış adayında çalıştırılan yerel ve deterministik doğrulama sonuçları."/>
      </w:tblPr>
      <w:tblGrid>
        <w:gridCol w:w="2400"/>
        <w:gridCol w:w="2400"/>
        <w:gridCol w:w="4560"/>
      </w:tblGrid>
      <w:tr>
        <w:trPr>
          <w:tblHeader w:val="true"/>
          <w:cantSplit/>
        </w:trPr>
        <w:tc>
          <w:tcPr>
            <w:tcW w:type="dxa" w:w="2400"/>
            <w:shd w:fill="F2F4F7"/>
            <w:vAlign w:val="center"/>
            <w:tcMar>
              <w:top w:w="80" w:type="dxa"/>
              <w:start w:w="120" w:type="dxa"/>
              <w:bottom w:w="80" w:type="dxa"/>
              <w:end w:w="120" w:type="dxa"/>
            </w:tcMar>
          </w:tcPr>
          <w:p>
            <w:pPr>
              <w:spacing w:before="0" w:after="40" w:line="240" w:lineRule="auto"/>
            </w:pPr>
            <w:r>
              <w:rPr>
                <w:rFonts w:ascii="Calibri" w:hAnsi="Calibri" w:eastAsia="Calibri"/>
                <w:b/>
                <w:color w:val="0B2545"/>
                <w:sz w:val="18"/>
              </w:rPr>
              <w:t>Kontrol</w:t>
            </w:r>
          </w:p>
        </w:tc>
        <w:tc>
          <w:tcPr>
            <w:tcW w:type="dxa" w:w="2400"/>
            <w:shd w:fill="F2F4F7"/>
            <w:vAlign w:val="center"/>
            <w:tcMar>
              <w:top w:w="80" w:type="dxa"/>
              <w:start w:w="120" w:type="dxa"/>
              <w:bottom w:w="80" w:type="dxa"/>
              <w:end w:w="120" w:type="dxa"/>
            </w:tcMar>
          </w:tcPr>
          <w:p>
            <w:pPr>
              <w:spacing w:before="0" w:after="40" w:line="240" w:lineRule="auto"/>
            </w:pPr>
            <w:r>
              <w:rPr>
                <w:rFonts w:ascii="Calibri" w:hAnsi="Calibri" w:eastAsia="Calibri"/>
                <w:b/>
                <w:color w:val="0B2545"/>
                <w:sz w:val="18"/>
              </w:rPr>
              <w:t>Sonuç</w:t>
            </w:r>
          </w:p>
        </w:tc>
        <w:tc>
          <w:tcPr>
            <w:tcW w:type="dxa" w:w="4560"/>
            <w:shd w:fill="F2F4F7"/>
            <w:vAlign w:val="center"/>
            <w:tcMar>
              <w:top w:w="80" w:type="dxa"/>
              <w:start w:w="120" w:type="dxa"/>
              <w:bottom w:w="80" w:type="dxa"/>
              <w:end w:w="120" w:type="dxa"/>
            </w:tcMar>
          </w:tcPr>
          <w:p>
            <w:pPr>
              <w:spacing w:before="0" w:after="40" w:line="240" w:lineRule="auto"/>
            </w:pPr>
            <w:r>
              <w:rPr>
                <w:rFonts w:ascii="Calibri" w:hAnsi="Calibri" w:eastAsia="Calibri"/>
                <w:b/>
                <w:color w:val="0B2545"/>
                <w:sz w:val="18"/>
              </w:rPr>
              <w:t>Not</w:t>
            </w:r>
          </w:p>
        </w:tc>
      </w:tr>
      <w:tr>
        <w:trPr>
          <w:cantSplit/>
        </w:trPr>
        <w:tc>
          <w:tcPr>
            <w:tcW w:type="dxa" w:w="24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Test collection</w:t>
            </w:r>
          </w:p>
        </w:tc>
        <w:tc>
          <w:tcPr>
            <w:tcW w:type="dxa" w:w="2400"/>
            <w:vAlign w:val="center"/>
            <w:tcMar>
              <w:top w:w="80" w:type="dxa"/>
              <w:start w:w="120" w:type="dxa"/>
              <w:bottom w:w="80" w:type="dxa"/>
              <w:end w:w="120" w:type="dxa"/>
            </w:tcMar>
          </w:tcPr>
          <w:p>
            <w:r>
              <w:t>6031</w:t>
            </w:r>
          </w:p>
        </w:tc>
        <w:tc>
          <w:tcPr>
            <w:tcW w:type="dxa" w:w="456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Repo toplamı; 28 Ağustos 2026</w:t>
            </w:r>
          </w:p>
        </w:tc>
      </w:tr>
      <w:tr>
        <w:trPr>
          <w:cantSplit/>
        </w:trPr>
        <w:tc>
          <w:tcPr>
            <w:tcW w:type="dxa" w:w="24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Core release package</w:t>
            </w:r>
          </w:p>
        </w:tc>
        <w:tc>
          <w:tcPr>
            <w:tcW w:type="dxa" w:w="24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1145/1145 pass</w:t>
            </w:r>
          </w:p>
        </w:tc>
        <w:tc>
          <w:tcPr>
            <w:tcW w:type="dxa" w:w="456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718.17 s; controller/runtime/verifier/events/app/golden</w:t>
            </w:r>
          </w:p>
        </w:tc>
      </w:tr>
      <w:tr>
        <w:trPr>
          <w:cantSplit/>
        </w:trPr>
        <w:tc>
          <w:tcPr>
            <w:tcW w:type="dxa" w:w="24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Application/UI geniş paket</w:t>
            </w:r>
          </w:p>
        </w:tc>
        <w:tc>
          <w:tcPr>
            <w:tcW w:type="dxa" w:w="24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746 pass</w:t>
            </w:r>
          </w:p>
        </w:tc>
        <w:tc>
          <w:tcPr>
            <w:tcW w:type="dxa" w:w="456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5 stale expectation kaynakla uzlaştırıldı; repaired nodes 8 pass</w:t>
            </w:r>
          </w:p>
        </w:tc>
      </w:tr>
      <w:tr>
        <w:trPr>
          <w:cantSplit/>
        </w:trPr>
        <w:tc>
          <w:tcPr>
            <w:tcW w:type="dxa" w:w="24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Full-suite attempt</w:t>
            </w:r>
          </w:p>
        </w:tc>
        <w:tc>
          <w:tcPr>
            <w:tcW w:type="dxa" w:w="24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76 pass; controlled interrupt</w:t>
            </w:r>
          </w:p>
        </w:tc>
        <w:tc>
          <w:tcPr>
            <w:tcW w:type="dxa" w:w="456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1071.50 s ve yaklaşık %1; tamamlandı diye raporlanmaz</w:t>
            </w:r>
          </w:p>
        </w:tc>
      </w:tr>
      <w:tr>
        <w:trPr>
          <w:cantSplit/>
        </w:trPr>
        <w:tc>
          <w:tcPr>
            <w:tcW w:type="dxa" w:w="24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Professor navigation</w:t>
            </w:r>
          </w:p>
        </w:tc>
        <w:tc>
          <w:tcPr>
            <w:tcW w:type="dxa" w:w="24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10/10 pass</w:t>
            </w:r>
          </w:p>
        </w:tc>
        <w:tc>
          <w:tcPr>
            <w:tcW w:type="dxa" w:w="456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Güncel ve outdated evidence yolları</w:t>
            </w:r>
          </w:p>
        </w:tc>
      </w:tr>
      <w:tr>
        <w:trPr>
          <w:cantSplit/>
        </w:trPr>
        <w:tc>
          <w:tcPr>
            <w:tcW w:type="dxa" w:w="24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Friday manifest</w:t>
            </w:r>
          </w:p>
        </w:tc>
        <w:tc>
          <w:tcPr>
            <w:tcW w:type="dxa" w:w="24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13/13 match</w:t>
            </w:r>
          </w:p>
        </w:tc>
        <w:tc>
          <w:tcPr>
            <w:tcW w:type="dxa" w:w="456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Frozen SHA-256 teslim kayıtları</w:t>
            </w:r>
          </w:p>
        </w:tc>
      </w:tr>
      <w:tr>
        <w:trPr>
          <w:cantSplit/>
        </w:trPr>
        <w:tc>
          <w:tcPr>
            <w:tcW w:type="dxa" w:w="24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Compile</w:t>
            </w:r>
          </w:p>
        </w:tc>
        <w:tc>
          <w:tcPr>
            <w:tcW w:type="dxa" w:w="24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pass</w:t>
            </w:r>
          </w:p>
        </w:tc>
        <w:tc>
          <w:tcPr>
            <w:tcW w:type="dxa" w:w="456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agentic_debugger ve scripts</w:t>
            </w:r>
          </w:p>
        </w:tc>
      </w:tr>
      <w:tr>
        <w:trPr>
          <w:cantSplit/>
        </w:trPr>
        <w:tc>
          <w:tcPr>
            <w:tcW w:type="dxa" w:w="24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Offline demo</w:t>
            </w:r>
          </w:p>
        </w:tc>
        <w:tc>
          <w:tcPr>
            <w:tcW w:type="dxa" w:w="24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2/2 RESOLVED</w:t>
            </w:r>
          </w:p>
        </w:tc>
        <w:tc>
          <w:tcPr>
            <w:tcW w:type="dxa" w:w="456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F2P 1/1; P2P 2/2; PDB arm 5/5 observations</w:t>
            </w:r>
          </w:p>
        </w:tc>
      </w:tr>
      <w:tr>
        <w:tc>
          <w:tcPr>
            <w:tcW w:type="dxa" w:w="2400"/>
          </w:tcPr>
          <w:p>
            <w:r>
              <w:t>Public hardening focused tests</w:t>
            </w:r>
          </w:p>
        </w:tc>
        <w:tc>
          <w:tcPr>
            <w:tcW w:type="dxa" w:w="2400"/>
          </w:tcPr>
          <w:p>
            <w:r>
              <w:t>189/189 pass</w:t>
            </w:r>
          </w:p>
        </w:tc>
        <w:tc>
          <w:tcPr>
            <w:tcW w:type="dxa" w:w="4560"/>
          </w:tcPr>
          <w:p>
            <w:r>
              <w:t>Local verifier, Apply proof, Evidence Review, UI ve R6 public-contract yüzeyleri</w:t>
            </w:r>
          </w:p>
        </w:tc>
      </w:tr>
      <w:tr>
        <w:tc>
          <w:tcPr>
            <w:tcW w:type="dxa" w:w="2400"/>
          </w:tcPr>
          <w:p>
            <w:r>
              <w:t>Public evidence diagnostic</w:t>
            </w:r>
          </w:p>
        </w:tc>
        <w:tc>
          <w:tcPr>
            <w:tcW w:type="dxa" w:w="2400"/>
          </w:tcPr>
          <w:p>
            <w:r>
              <w:t>VERIFIED_DIRTY</w:t>
            </w:r>
          </w:p>
        </w:tc>
        <w:tc>
          <w:tcPr>
            <w:tcW w:type="dxa" w:w="4560"/>
          </w:tcPr>
          <w:p>
            <w:r>
              <w:t>10/10 capsule; 15/15 byte-identical trace; leakage 0; 2/2 offline RESOLVED; release_eligible=false</w:t>
            </w:r>
          </w:p>
        </w:tc>
      </w:tr>
      <w:tr>
        <w:tc>
          <w:tcPr>
            <w:tcW w:type="dxa" w:w="2400"/>
          </w:tcPr>
          <w:p>
            <w:r>
              <w:t>Terminal görsel QA</w:t>
            </w:r>
          </w:p>
        </w:tc>
        <w:tc>
          <w:tcPr>
            <w:tcW w:type="dxa" w:w="2400"/>
          </w:tcPr>
          <w:p>
            <w:r>
              <w:t>4/4 viewport</w:t>
            </w:r>
          </w:p>
        </w:tc>
        <w:tc>
          <w:tcPr>
            <w:tcW w:type="dxa" w:w="4560"/>
          </w:tcPr>
          <w:p>
            <w:r>
              <w:t>Start ve Evidence Review; 80×24 ve 120×40</w:t>
            </w:r>
          </w:p>
        </w:tc>
      </w:tr>
    </w:tbl>
    <w:p>
      <w:pPr>
        <w:pStyle w:val="TableCitation"/>
      </w:pPr>
      <w:r>
        <w:t>Kapanışta provider, Docker, WSL, paid route veya BugsInPy execution yoktur. Full suite, orantısız öngörülen süre nedeniyle kontrollü kesilmiştir.</w:t>
      </w:r>
    </w:p>
    <w:p>
      <w:pPr>
        <w:pStyle w:val="Heading1"/>
        <w:keepNext/>
      </w:pPr>
      <w:r>
        <w:t>Güvenlik, containment ve operasyon</w:t>
      </w:r>
    </w:p>
    <w:p>
      <w:pPr>
        <w:numPr>
          <w:ilvl w:val="0"/>
          <w:numId w:val="10"/>
        </w:numPr>
        <w:spacing w:before="0" w:after="160" w:line="280" w:lineRule="auto"/>
        <w:ind w:left="720" w:hanging="360"/>
      </w:pPr>
      <w:r>
        <w:t>Model candidate’ları yalnız unified-diff ve allowed-path mekanizmasıyla uygulanır.</w:t>
      </w:r>
    </w:p>
    <w:p>
      <w:pPr>
        <w:numPr>
          <w:ilvl w:val="0"/>
          <w:numId w:val="10"/>
        </w:numPr>
        <w:spacing w:before="0" w:after="160" w:line="280" w:lineRule="auto"/>
        <w:ind w:left="720" w:hanging="360"/>
      </w:pPr>
      <w:r>
        <w:t>Command execution argv, timeout, output bound, cancellation ve process-tree kill sözleşmelerine tabidir.</w:t>
      </w:r>
    </w:p>
    <w:p>
      <w:pPr>
        <w:numPr>
          <w:ilvl w:val="0"/>
          <w:numId w:val="10"/>
        </w:numPr>
        <w:spacing w:before="0" w:after="160" w:line="280" w:lineRule="auto"/>
        <w:ind w:left="720" w:hanging="360"/>
      </w:pPr>
      <w:r>
        <w:t>Windows Local Project path, job-object containment ve isolated worktree cleanup kullanır.</w:t>
      </w:r>
    </w:p>
    <w:p>
      <w:pPr>
        <w:numPr>
          <w:ilvl w:val="0"/>
          <w:numId w:val="10"/>
        </w:numPr>
        <w:spacing w:before="0" w:after="160" w:line="280" w:lineRule="auto"/>
        <w:ind w:left="720" w:hanging="360"/>
      </w:pPr>
      <w:r>
        <w:t>Journal redaction kalıcı event sınırlarında credential benzeri veriyi filtreler.</w:t>
      </w:r>
    </w:p>
    <w:p>
      <w:pPr>
        <w:numPr>
          <w:ilvl w:val="0"/>
          <w:numId w:val="10"/>
        </w:numPr>
        <w:spacing w:before="0" w:after="160" w:line="280" w:lineRule="auto"/>
        <w:ind w:left="720" w:hanging="360"/>
      </w:pPr>
      <w:r>
        <w:t>Live model/provider, Docker, WSL, BugsInPy ve paid route çalıştırmaları ayrı owner yetkisi gerektirir.</w:t>
      </w:r>
    </w:p>
    <w:p>
      <w:pPr>
        <w:numPr>
          <w:ilvl w:val="0"/>
          <w:numId w:val="10"/>
        </w:numPr>
        <w:spacing w:before="0" w:after="160" w:line="280" w:lineRule="auto"/>
        <w:ind w:left="720" w:hanging="360"/>
      </w:pPr>
      <w:r>
        <w:t>Verifier sonucu semantik doğruluk otoritesidir; UI veya model terminal mesajı değildir.</w:t>
      </w:r>
    </w:p>
    <w:p>
      <w:pPr>
        <w:pStyle w:val="Heading1"/>
        <w:keepNext/>
      </w:pPr>
      <w:r>
        <w:t>Repository yapısı ve kullanım</w:t>
      </w:r>
    </w:p>
    <w:tbl>
      <w:tblPr>
        <w:tblStyle w:val="TableGrid"/>
        <w:tblW w:type="dxa" w:w="9360"/>
        <w:jc w:val="left"/>
        <w:tblLayout w:type="fixed"/>
        <w:tblLook w:firstColumn="1" w:firstRow="1" w:lastColumn="0" w:lastRow="0" w:noHBand="0" w:noVBand="1" w:val="04A0"/>
        <w:tblInd w:w="120" w:type="dxa"/>
        <w:tblCaption w:val="Repository haritası"/>
        <w:tblDescription w:val="Güncel kaynak ağacının ana sorumluluk alanları."/>
      </w:tblPr>
      <w:tblGrid>
        <w:gridCol w:w="3360"/>
        <w:gridCol w:w="6000"/>
      </w:tblGrid>
      <w:tr>
        <w:trPr>
          <w:tblHeader w:val="true"/>
          <w:cantSplit/>
        </w:trPr>
        <w:tc>
          <w:tcPr>
            <w:tcW w:type="dxa" w:w="3360"/>
            <w:shd w:fill="F2F4F7"/>
            <w:vAlign w:val="center"/>
            <w:tcMar>
              <w:top w:w="80" w:type="dxa"/>
              <w:start w:w="120" w:type="dxa"/>
              <w:bottom w:w="80" w:type="dxa"/>
              <w:end w:w="120" w:type="dxa"/>
            </w:tcMar>
          </w:tcPr>
          <w:p>
            <w:pPr>
              <w:keepNext/>
              <w:spacing w:before="0" w:after="40" w:line="240" w:lineRule="auto"/>
            </w:pPr>
            <w:r>
              <w:rPr>
                <w:rFonts w:ascii="Calibri" w:hAnsi="Calibri" w:eastAsia="Calibri"/>
                <w:b/>
                <w:color w:val="0B2545"/>
                <w:sz w:val="18"/>
              </w:rPr>
              <w:t>Path</w:t>
            </w:r>
          </w:p>
        </w:tc>
        <w:tc>
          <w:tcPr>
            <w:tcW w:type="dxa" w:w="6000"/>
            <w:shd w:fill="F2F4F7"/>
            <w:vAlign w:val="center"/>
            <w:tcMar>
              <w:top w:w="80" w:type="dxa"/>
              <w:start w:w="120" w:type="dxa"/>
              <w:bottom w:w="80" w:type="dxa"/>
              <w:end w:w="120" w:type="dxa"/>
            </w:tcMar>
          </w:tcPr>
          <w:p>
            <w:pPr>
              <w:keepNext/>
              <w:spacing w:before="0" w:after="40" w:line="240" w:lineRule="auto"/>
            </w:pPr>
            <w:r>
              <w:rPr>
                <w:rFonts w:ascii="Calibri" w:hAnsi="Calibri" w:eastAsia="Calibri"/>
                <w:b/>
                <w:color w:val="0B2545"/>
                <w:sz w:val="18"/>
              </w:rPr>
              <w:t>Amaç</w:t>
            </w:r>
          </w:p>
        </w:tc>
      </w:tr>
      <w:tr>
        <w:trPr>
          <w:cantSplit/>
        </w:trPr>
        <w:tc>
          <w:tcPr>
            <w:tcW w:type="dxa" w:w="336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agentic_debugger/agent/</w:t>
            </w:r>
          </w:p>
        </w:tc>
        <w:tc>
          <w:tcPr>
            <w:tcW w:type="dxa" w:w="60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Controller, state, policy, directives ve tool registry</w:t>
            </w:r>
          </w:p>
        </w:tc>
      </w:tr>
      <w:tr>
        <w:trPr>
          <w:cantSplit/>
        </w:trPr>
        <w:tc>
          <w:tcPr>
            <w:tcW w:type="dxa" w:w="336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agentic_debugger/runtime/</w:t>
            </w:r>
          </w:p>
        </w:tc>
        <w:tc>
          <w:tcPr>
            <w:tcW w:type="dxa" w:w="60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Execution, workspace, patch, tests ve PDB</w:t>
            </w:r>
          </w:p>
        </w:tc>
      </w:tr>
      <w:tr>
        <w:trPr>
          <w:cantSplit/>
        </w:trPr>
        <w:tc>
          <w:tcPr>
            <w:tcW w:type="dxa" w:w="336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agentic_debugger/evaluation/</w:t>
            </w:r>
          </w:p>
        </w:tc>
        <w:tc>
          <w:tcPr>
            <w:tcW w:type="dxa" w:w="60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Task schema, live harness, verifier ve outcomes</w:t>
            </w:r>
          </w:p>
        </w:tc>
      </w:tr>
      <w:tr>
        <w:trPr>
          <w:cantSplit/>
        </w:trPr>
        <w:tc>
          <w:tcPr>
            <w:tcW w:type="dxa" w:w="336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agentic_debugger/application/</w:t>
            </w:r>
          </w:p>
        </w:tc>
        <w:tc>
          <w:tcPr>
            <w:tcW w:type="dxa" w:w="60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Session, journal, worker, history ve replay</w:t>
            </w:r>
          </w:p>
        </w:tc>
      </w:tr>
      <w:tr>
        <w:trPr>
          <w:cantSplit/>
        </w:trPr>
        <w:tc>
          <w:tcPr>
            <w:tcW w:type="dxa" w:w="336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agentic_debugger/ui/</w:t>
            </w:r>
          </w:p>
        </w:tc>
        <w:tc>
          <w:tcPr>
            <w:tcW w:type="dxa" w:w="60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Local Application V1 Textual yüzeyi</w:t>
            </w:r>
          </w:p>
        </w:tc>
      </w:tr>
      <w:tr>
        <w:trPr>
          <w:cantSplit/>
        </w:trPr>
        <w:tc>
          <w:tcPr>
            <w:tcW w:type="dxa" w:w="336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experiments/ ve analysis/</w:t>
            </w:r>
          </w:p>
        </w:tc>
        <w:tc>
          <w:tcPr>
            <w:tcW w:type="dxa" w:w="60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Frozen bilimsel ve karşılaştırmalı kanıtlar</w:t>
            </w:r>
          </w:p>
        </w:tc>
      </w:tr>
      <w:tr>
        <w:trPr>
          <w:cantSplit/>
        </w:trPr>
        <w:tc>
          <w:tcPr>
            <w:tcW w:type="dxa" w:w="336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research/</w:t>
            </w:r>
          </w:p>
        </w:tc>
        <w:tc>
          <w:tcPr>
            <w:tcW w:type="dxa" w:w="60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Literatür, provenance ve dataset gate kayıtları</w:t>
            </w:r>
          </w:p>
        </w:tc>
      </w:tr>
      <w:tr>
        <w:trPr>
          <w:cantSplit/>
        </w:trPr>
        <w:tc>
          <w:tcPr>
            <w:tcW w:type="dxa" w:w="336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outdated/</w:t>
            </w:r>
          </w:p>
        </w:tc>
        <w:tc>
          <w:tcPr>
            <w:tcW w:type="dxa" w:w="6000"/>
            <w:vAlign w:val="center"/>
            <w:tcMar>
              <w:top w:w="80" w:type="dxa"/>
              <w:start w:w="120" w:type="dxa"/>
              <w:bottom w:w="80" w:type="dxa"/>
              <w:end w:w="120" w:type="dxa"/>
            </w:tcMar>
          </w:tcPr>
          <w:p>
            <w:pPr>
              <w:keepNext/>
              <w:spacing w:before="0" w:after="40" w:line="240" w:lineRule="auto"/>
            </w:pPr>
            <w:r>
              <w:rPr>
                <w:rFonts w:ascii="Calibri" w:hAnsi="Calibri" w:eastAsia="Calibri"/>
                <w:color w:val="000000"/>
                <w:sz w:val="18"/>
              </w:rPr>
              <w:t>Superseded materyal; güncel execution authority değildir</w:t>
            </w:r>
          </w:p>
        </w:tc>
      </w:tr>
      <w:tr>
        <w:trPr>
          <w:cantSplit/>
        </w:trPr>
        <w:tc>
          <w:tcPr>
            <w:tcW w:type="dxa" w:w="336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_ai-review/</w:t>
            </w:r>
          </w:p>
        </w:tc>
        <w:tc>
          <w:tcPr>
            <w:tcW w:type="dxa" w:w="60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Yerel FirstMate handoff; commit edilmez</w:t>
            </w:r>
          </w:p>
        </w:tc>
      </w:tr>
    </w:tbl>
    <w:p>
      <w:pPr>
        <w:pStyle w:val="TableCitation"/>
      </w:pPr>
      <w:r>
        <w:t>Kaynak: README.md ve AGENTS.md.</w:t>
      </w:r>
    </w:p>
    <w:p>
      <w:pPr>
        <w:pStyle w:val="Heading2"/>
        <w:keepNext/>
      </w:pPr>
      <w:r>
        <w:t>Temel komutlar</w:t>
      </w:r>
    </w:p>
    <w:p>
      <w:pPr>
        <w:pStyle w:val="Code"/>
        <w:shd w:fill="F4F6F9"/>
      </w:pPr>
      <w:r>
        <w:rPr>
          <w:rFonts w:ascii="Consolas" w:hAnsi="Consolas" w:eastAsia="Consolas"/>
          <w:color w:val="0B2545"/>
          <w:sz w:val="18"/>
        </w:rPr>
        <w:t>python -m pip install -e .[test]</w:t>
      </w:r>
    </w:p>
    <w:p>
      <w:pPr>
        <w:pStyle w:val="Code"/>
        <w:shd w:fill="F4F6F9"/>
      </w:pPr>
      <w:r>
        <w:rPr>
          <w:rFonts w:ascii="Consolas" w:hAnsi="Consolas" w:eastAsia="Consolas"/>
          <w:color w:val="0B2545"/>
          <w:sz w:val="18"/>
        </w:rPr>
        <w:t>python -m pytest --collect-only -q</w:t>
      </w:r>
    </w:p>
    <w:p>
      <w:pPr>
        <w:pStyle w:val="Code"/>
        <w:shd w:fill="F4F6F9"/>
      </w:pPr>
      <w:r>
        <w:rPr>
          <w:rFonts w:ascii="Consolas" w:hAnsi="Consolas" w:eastAsia="Consolas"/>
          <w:color w:val="0B2545"/>
          <w:sz w:val="18"/>
        </w:rPr>
        <w:t>python -m agentic_debugger.demo --output-dir demo-out --task-id curated-off-by-one-002</w:t>
      </w:r>
    </w:p>
    <w:p>
      <w:pPr>
        <w:pStyle w:val="Code"/>
        <w:shd w:fill="F4F6F9"/>
      </w:pPr>
      <w:r>
        <w:rPr>
          <w:rFonts w:ascii="Consolas" w:hAnsi="Consolas" w:eastAsia="Consolas"/>
          <w:color w:val="0B2545"/>
          <w:sz w:val="18"/>
        </w:rPr>
        <w:t>python -m agentic_debugger.ui</w:t>
      </w:r>
    </w:p>
    <w:p>
      <w:pPr>
        <w:pStyle w:val="Heading1"/>
        <w:keepNext/>
      </w:pPr>
      <w:r>
        <w:t>Kapanış durumu ve kararlar</w:t>
      </w:r>
    </w:p>
    <w:p>
      <w:r>
        <w:t>Mandatory roadmap kapalıdır. Yeni çalışma, eski TODO’nun devamı gibi açılmamalıdır. Yeni owner-approved roadmap gerektirir.</w:t>
      </w:r>
    </w:p>
    <w:tbl>
      <w:tblPr>
        <w:tblStyle w:val="TableGrid"/>
        <w:tblW w:type="dxa" w:w="9360"/>
        <w:jc w:val="left"/>
        <w:tblLayout w:type="fixed"/>
        <w:tblLook w:firstColumn="1" w:firstRow="1" w:lastColumn="0" w:lastRow="0" w:noHBand="0" w:noVBand="1" w:val="04A0"/>
        <w:tblInd w:w="120" w:type="dxa"/>
        <w:tblCaption w:val="Kapanış kararları"/>
        <w:tblDescription w:val="Açık checklist gibi taşınmayan, dürüst negatif veya kapsam sınırı olarak kapatılan başlıklar."/>
      </w:tblPr>
      <w:tblGrid>
        <w:gridCol w:w="3000"/>
        <w:gridCol w:w="6360"/>
      </w:tblGrid>
      <w:tr>
        <w:trPr>
          <w:tblHeader w:val="true"/>
          <w:cantSplit/>
        </w:trPr>
        <w:tc>
          <w:tcPr>
            <w:tcW w:type="dxa" w:w="3000"/>
            <w:shd w:fill="F2F4F7"/>
            <w:vAlign w:val="center"/>
            <w:tcMar>
              <w:top w:w="80" w:type="dxa"/>
              <w:start w:w="120" w:type="dxa"/>
              <w:bottom w:w="80" w:type="dxa"/>
              <w:end w:w="120" w:type="dxa"/>
            </w:tcMar>
          </w:tcPr>
          <w:p>
            <w:pPr>
              <w:spacing w:before="0" w:after="40" w:line="240" w:lineRule="auto"/>
            </w:pPr>
            <w:r>
              <w:rPr>
                <w:rFonts w:ascii="Calibri" w:hAnsi="Calibri" w:eastAsia="Calibri"/>
                <w:b/>
                <w:color w:val="0B2545"/>
                <w:sz w:val="18"/>
              </w:rPr>
              <w:t>Konu</w:t>
            </w:r>
          </w:p>
        </w:tc>
        <w:tc>
          <w:tcPr>
            <w:tcW w:type="dxa" w:w="6360"/>
            <w:shd w:fill="F2F4F7"/>
            <w:vAlign w:val="center"/>
            <w:tcMar>
              <w:top w:w="80" w:type="dxa"/>
              <w:start w:w="120" w:type="dxa"/>
              <w:bottom w:w="80" w:type="dxa"/>
              <w:end w:w="120" w:type="dxa"/>
            </w:tcMar>
          </w:tcPr>
          <w:p>
            <w:pPr>
              <w:spacing w:before="0" w:after="40" w:line="240" w:lineRule="auto"/>
            </w:pPr>
            <w:r>
              <w:rPr>
                <w:rFonts w:ascii="Calibri" w:hAnsi="Calibri" w:eastAsia="Calibri"/>
                <w:b/>
                <w:color w:val="0B2545"/>
                <w:sz w:val="18"/>
              </w:rPr>
              <w:t>Kapanış kararı</w:t>
            </w:r>
          </w:p>
        </w:tc>
      </w:tr>
      <w:tr>
        <w:trPr>
          <w:cantSplit/>
        </w:trPr>
        <w:tc>
          <w:tcPr>
            <w:tcW w:type="dxa" w:w="30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BugsInPy</w:t>
            </w:r>
          </w:p>
        </w:tc>
        <w:tc>
          <w:tcPr>
            <w:tcW w:type="dxa" w:w="636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CLOSED / NOT EXECUTED — license ve redistribution authority yok</w:t>
            </w:r>
          </w:p>
        </w:tc>
      </w:tr>
      <w:tr>
        <w:trPr>
          <w:cantSplit/>
        </w:trPr>
        <w:tc>
          <w:tcPr>
            <w:tcW w:type="dxa" w:w="30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OpenCode Go six-case</w:t>
            </w:r>
          </w:p>
        </w:tc>
        <w:tc>
          <w:tcPr>
            <w:tcW w:type="dxa" w:w="636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CLOSED / NOT EXECUTED — optional tarihsel operator path</w:t>
            </w:r>
          </w:p>
        </w:tc>
      </w:tr>
      <w:tr>
        <w:trPr>
          <w:cantSplit/>
        </w:trPr>
        <w:tc>
          <w:tcPr>
            <w:tcW w:type="dxa" w:w="30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Stronger R6 holdout</w:t>
            </w:r>
          </w:p>
        </w:tc>
        <w:tc>
          <w:tcPr>
            <w:tcW w:type="dxa" w:w="636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CLOSED / INCOMPLETE_HARDWARE_STOP — 3 task outcome üretmedi</w:t>
            </w:r>
          </w:p>
        </w:tc>
      </w:tr>
      <w:tr>
        <w:trPr>
          <w:cantSplit/>
        </w:trPr>
        <w:tc>
          <w:tcPr>
            <w:tcW w:type="dxa" w:w="30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Fine-tuned + RAG</w:t>
            </w:r>
          </w:p>
        </w:tc>
        <w:tc>
          <w:tcPr>
            <w:tcW w:type="dxa" w:w="636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CLOSED / PARTIAL / NOT_EVALUATED</w:t>
            </w:r>
          </w:p>
        </w:tc>
      </w:tr>
      <w:tr>
        <w:trPr>
          <w:cantSplit/>
        </w:trPr>
        <w:tc>
          <w:tcPr>
            <w:tcW w:type="dxa" w:w="30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DPO</w:t>
            </w:r>
          </w:p>
        </w:tc>
        <w:tc>
          <w:tcPr>
            <w:tcW w:type="dxa" w:w="636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CLOSED / NOT JUSTIFIED</w:t>
            </w:r>
          </w:p>
        </w:tc>
      </w:tr>
      <w:tr>
        <w:trPr>
          <w:cantSplit/>
        </w:trPr>
        <w:tc>
          <w:tcPr>
            <w:tcW w:type="dxa" w:w="30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Capability escalation</w:t>
            </w:r>
          </w:p>
        </w:tc>
        <w:tc>
          <w:tcPr>
            <w:tcW w:type="dxa" w:w="636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CLOSED / PAUSED — accepted stop Level-32</w:t>
            </w:r>
          </w:p>
        </w:tc>
      </w:tr>
      <w:tr>
        <w:trPr>
          <w:cantSplit/>
        </w:trPr>
        <w:tc>
          <w:tcPr>
            <w:tcW w:type="dxa" w:w="300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Merge ve push</w:t>
            </w:r>
          </w:p>
        </w:tc>
        <w:tc>
          <w:tcPr>
            <w:tcW w:type="dxa" w:w="6360"/>
            <w:vAlign w:val="center"/>
            <w:tcMar>
              <w:top w:w="80" w:type="dxa"/>
              <w:start w:w="120" w:type="dxa"/>
              <w:bottom w:w="80" w:type="dxa"/>
              <w:end w:w="120" w:type="dxa"/>
            </w:tcMar>
          </w:tcPr>
          <w:p>
            <w:pPr>
              <w:spacing w:before="0" w:after="40" w:line="240" w:lineRule="auto"/>
            </w:pPr>
            <w:r>
              <w:rPr>
                <w:rFonts w:ascii="Calibri" w:hAnsi="Calibri" w:eastAsia="Calibri"/>
                <w:color w:val="000000"/>
                <w:sz w:val="18"/>
              </w:rPr>
              <w:t>Yapılmadı</w:t>
            </w:r>
          </w:p>
        </w:tc>
      </w:tr>
    </w:tbl>
    <w:p>
      <w:pPr>
        <w:pStyle w:val="TableCitation"/>
      </w:pPr>
      <w:r>
        <w:t>Kaynak: TODO.md; docs/release-closeout-2026-08-28.md.</w:t>
      </w:r>
    </w:p>
    <w:p>
      <w:pPr>
        <w:pStyle w:val="Heading1"/>
      </w:pPr>
      <w:r>
        <w:t>Kamuya açık kanıt kapısı</w:t>
      </w:r>
    </w:p>
    <w:p>
      <w:pPr/>
      <w:r>
        <w:t>Kamuya açık sürüm kapısı tek komutla çalışır. Varsayılan mod temiz ve geçerli bir Git HEAD ister; başlangıç ile bitiş arasında HEAD ve working-tree durumunun değişmediğini denetler.</w:t>
      </w:r>
    </w:p>
    <w:p>
      <w:pPr>
        <w:pStyle w:val="Code"/>
      </w:pPr>
      <w:r>
        <w:t>python scripts/verify_public_evidence.py</w:t>
      </w:r>
    </w:p>
    <w:p>
      <w:pPr/>
      <w:r>
        <w:t>Kapı R6 frozen capsule hash zincirini doğrular, 15 professor trace dosyasını byte-identical yeniden üretir, leakage taraması yapar, professor-facing export ve capsule manifest taşınabilirliğini denetler. Ayrıca iki policy arm için independent verifier, replay, cleanup ve canonical immutability içeren temsili offline demo çalıştırır. Gözlenen provider ve network attempt sayısı sıfır olmalıdır.</w:t>
      </w:r>
    </w:p>
    <w:p>
      <w:pPr/>
      <w:r>
        <w:t>--allow-dirty yalnız geliştirme teşhisidir. Bu mod VERIFIED_DIRTY üretir ve release_eligible=false bırakır. Frozen kampanyaları yeniden çalıştırdığını, scripted reference repair’ın canlı model kabiliyeti olduğunu veya in-process network guard’ın işletim sistemi sandbox’ı olduğunu iddia etmez. Ham ancillary evidence makine yolları taşıyabilir; portability garantisi capsule manifest ve professor-facing export yüzeyiyle sınırlıdır.</w:t>
      </w:r>
    </w:p>
    <w:p>
      <w:pPr>
        <w:pStyle w:val="TableCitation"/>
      </w:pPr>
      <w:r>
        <w:t>Kaynak: scripts/verify_public_evidence.py; .github/workflows/ci.yml; experiments/r6_debugger_training/runs/frozen/capsule_manifest.json.</w:t>
      </w:r>
    </w:p>
    <w:p>
      <w:pPr>
        <w:pStyle w:val="Heading1"/>
        <w:keepNext/>
      </w:pPr>
      <w:r>
        <w:t>Kanıt kaynakları</w:t>
      </w:r>
    </w:p>
    <w:p>
      <w:r>
        <w:t>Bu rapor internet araştırmasına dayanmaz. Aşağıdaki tracked repository kayıtları ve 28 Ağustos 2026 yerel doğrulama çıktıları kullanılmıştır.</w:t>
      </w:r>
    </w:p>
    <w:p>
      <w:pPr>
        <w:numPr>
          <w:ilvl w:val="0"/>
          <w:numId w:val="10"/>
        </w:numPr>
        <w:spacing w:before="0" w:after="160" w:line="280" w:lineRule="auto"/>
        <w:ind w:left="720" w:hanging="360"/>
      </w:pPr>
      <w:r>
        <w:t>README.md — güncel giriş, durum ve repository haritası.</w:t>
      </w:r>
    </w:p>
    <w:p>
      <w:pPr>
        <w:numPr>
          <w:ilvl w:val="0"/>
          <w:numId w:val="10"/>
        </w:numPr>
        <w:spacing w:before="0" w:after="160" w:line="280" w:lineRule="auto"/>
        <w:ind w:left="720" w:hanging="360"/>
      </w:pPr>
      <w:r>
        <w:t>AGENTS.md — mimari, doğruluk, containment, external execution ve Git sınırları.</w:t>
      </w:r>
    </w:p>
    <w:p>
      <w:pPr>
        <w:numPr>
          <w:ilvl w:val="0"/>
          <w:numId w:val="10"/>
        </w:numPr>
        <w:spacing w:before="0" w:after="160" w:line="280" w:lineRule="auto"/>
        <w:ind w:left="720" w:hanging="360"/>
      </w:pPr>
      <w:r>
        <w:t>docs/project-closeout.md — tek güncel status authority.</w:t>
      </w:r>
    </w:p>
    <w:p>
      <w:pPr>
        <w:numPr>
          <w:ilvl w:val="0"/>
          <w:numId w:val="10"/>
        </w:numPr>
        <w:spacing w:before="0" w:after="160" w:line="280" w:lineRule="auto"/>
        <w:ind w:left="720" w:hanging="360"/>
      </w:pPr>
      <w:r>
        <w:t>docs/results-index.md — kabul edilen sonuçtan evidence’a harita.</w:t>
      </w:r>
    </w:p>
    <w:p>
      <w:pPr>
        <w:numPr>
          <w:ilvl w:val="0"/>
          <w:numId w:val="10"/>
        </w:numPr>
        <w:spacing w:before="0" w:after="160" w:line="280" w:lineRule="auto"/>
        <w:ind w:left="720" w:hanging="360"/>
      </w:pPr>
      <w:r>
        <w:t>docs/release-closeout-2026-08-28.md — post-tag kapanış ve validation boundary.</w:t>
      </w:r>
    </w:p>
    <w:p>
      <w:pPr>
        <w:numPr>
          <w:ilvl w:val="0"/>
          <w:numId w:val="10"/>
        </w:numPr>
        <w:spacing w:before="0" w:after="160" w:line="280" w:lineRule="auto"/>
        <w:ind w:left="720" w:hanging="360"/>
      </w:pPr>
      <w:r>
        <w:t>docs/architecture/local-application-v1.md — ürün mimarisi.</w:t>
      </w:r>
    </w:p>
    <w:p>
      <w:pPr>
        <w:numPr>
          <w:ilvl w:val="0"/>
          <w:numId w:val="10"/>
        </w:numPr>
        <w:spacing w:before="0" w:after="160" w:line="280" w:lineRule="auto"/>
        <w:ind w:left="720" w:hanging="360"/>
      </w:pPr>
      <w:r>
        <w:t>docs/final-report.md — R1–R6 teknik anlatısı.</w:t>
      </w:r>
    </w:p>
    <w:p>
      <w:pPr>
        <w:numPr>
          <w:ilvl w:val="0"/>
          <w:numId w:val="10"/>
        </w:numPr>
        <w:spacing w:before="0" w:after="160" w:line="280" w:lineRule="auto"/>
        <w:ind w:left="720" w:hanging="360"/>
      </w:pPr>
      <w:r>
        <w:t>experiments/README.md — frozen experiment family entry points.</w:t>
      </w:r>
    </w:p>
    <w:p>
      <w:pPr>
        <w:numPr>
          <w:ilvl w:val="0"/>
          <w:numId w:val="10"/>
        </w:numPr>
        <w:spacing w:before="0" w:after="160" w:line="280" w:lineRule="auto"/>
        <w:ind w:left="720" w:hanging="360"/>
      </w:pPr>
      <w:r>
        <w:t>analysis/level32_repaired_model_matrix_20260824.md — 15-model matrix.</w:t>
      </w:r>
    </w:p>
    <w:p>
      <w:pPr>
        <w:pStyle w:val="ListBullet"/>
      </w:pPr>
      <w:r>
        <w:t>agentic_debugger/evaluation/local_project_verifier.py — Local Project için bağımsız, fail-closed doğrulama.</w:t>
      </w:r>
    </w:p>
    <w:p>
      <w:pPr>
        <w:pStyle w:val="ListBullet"/>
      </w:pPr>
      <w:r>
        <w:t>scripts/verify_public_evidence.py — temiz-repo kamu kanıt kapısı ve dürüst sınırlama kaydı.</w:t>
      </w:r>
    </w:p>
    <w:p>
      <w:pPr>
        <w:numPr>
          <w:ilvl w:val="0"/>
          <w:numId w:val="10"/>
        </w:numPr>
        <w:spacing w:before="0" w:after="160" w:line="280" w:lineRule="auto"/>
        <w:ind w:left="720" w:hanging="360"/>
      </w:pPr>
      <w:r>
        <w:t>TODO.md ve docs/project-tracker.md — closed roadmap ve execution record.</w:t>
      </w:r>
    </w:p>
    <w:p>
      <w:pPr>
        <w:pStyle w:val="Heading1"/>
        <w:keepNext/>
      </w:pPr>
      <w:r>
        <w:t>Sonuç</w:t>
      </w:r>
    </w:p>
    <w:p>
      <w:r>
        <w:t>Proje, debugger-assisted repair için araştırılabilir ve denetlenebilir bir sistem kurmuştur. En güçlü yönü tek bir model sonucu değildir. Güçlü yön; runtime evidence, patch lifecycle, bağımsız verification, replay, cleanup ve kamuya açık kanıt kapısının aynı fail-closed sözleşmede birleşmesidir.</w:t>
      </w:r>
    </w:p>
    <w:p>
      <w:r>
        <w:t>Kapanış durumu nettir. Zorunlu iş kalmamıştır. Bilimsel iddialar, ölçülen görevler ve açık sınırlamalarla bağlıdır. Yeni ürün veya araştırma fazı, yeni hedef, bütçe ve authorization ile ayrı açılmalıdır.</w:t>
      </w:r>
    </w:p>
    <w:sectPr w:rsidR="00FC693F" w:rsidRPr="0006063C" w:rsidSect="00034616">
      <w:headerReference w:type="default" r:id="rId9"/>
      <w:footerReference w:type="default" r:id="rId10"/>
      <w:footerReference w:type="even" r:id="rId1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olor w:val="5F6B76"/>
        <w:sz w:val="18"/>
      </w:rPr>
      <w:t xml:space="preserve">Sayfa </w:t>
    </w:r>
    <w:r>
      <w:rPr>
        <w:rFonts w:ascii="Calibri" w:hAnsi="Calibri" w:eastAsia="Calibri"/>
        <w:color w:val="5F6B76"/>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olor w:val="5F6B76"/>
        <w:sz w:val="18"/>
      </w:rPr>
      <w:t xml:space="preserve">Sayfa </w:t>
    </w:r>
    <w:r>
      <w:rPr>
        <w:rFonts w:ascii="Calibri" w:hAnsi="Calibri" w:eastAsia="Calibri"/>
        <w:color w:val="5F6B76"/>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5F6B76"/>
        <w:sz w:val="17"/>
      </w:rPr>
      <w:t>AGENTIC DEBUGGING  |  TEKNİK PROJE RAPORU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suff w:val="tab"/>
      <w:pPr>
        <w:tabs>
          <w:tab w:val="num" w:pos="720"/>
        </w:tabs>
        <w:ind w:left="720" w:hanging="360"/>
        <w:spacing w:after="160" w:line="280" w:lineRule="auto"/>
      </w:pPr>
      <w:rPr>
        <w:rFonts w:ascii="Calibri" w:hAnsi="Calibri"/>
      </w:rPr>
    </w:lvl>
  </w:abstractNum>
  <w:abstractNum w:abstractNumId="10">
    <w:multiLevelType w:val="singleLevel"/>
    <w:lvl w:ilvl="0">
      <w:start w:val="1"/>
      <w:numFmt w:val="decimal"/>
      <w:lvlText w:val="%1."/>
      <w:suff w:val="tab"/>
      <w:pPr>
        <w:tabs>
          <w:tab w:val="num" w:pos="720"/>
        </w:tabs>
        <w:ind w:left="720" w:hanging="360"/>
        <w:spacing w:after="160" w:line="28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jc w:val="lef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itation">
    <w:name w:val="Table Citation"/>
    <w:pPr>
      <w:spacing w:before="80" w:after="80" w:line="240" w:lineRule="auto"/>
    </w:pPr>
    <w:rPr>
      <w:rFonts w:ascii="Calibri" w:hAnsi="Calibri"/>
      <w:i/>
      <w:color w:val="5F6B76"/>
      <w:sz w:val="18"/>
    </w:rPr>
  </w:style>
  <w:style w:type="paragraph" w:customStyle="1" w:styleId="Code">
    <w:name w:val="Code"/>
    <w:pPr>
      <w:keepLines/>
      <w:spacing w:before="60" w:after="100" w:line="240" w:lineRule="auto"/>
      <w:ind w:left="216"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Debugging Internship — Teknik Proje Raporu</dc:title>
  <dc:subject>Python/PDB ile debugger destekli yazılım onarımı ve kamu kanıt bütünlüğü</dc:subject>
  <dc:creator>Onur / FirstMate</dc:creator>
  <cp:keywords>agentic debugging, PDB, software repair, verifier, evaluation</cp:keywords>
  <dc:description>28 Ağustos 2026 kamu inceleme adayı</dc:description>
  <cp:lastModifiedBy/>
  <cp:revision>1</cp:revision>
  <dcterms:created xsi:type="dcterms:W3CDTF">2013-12-23T23:15:00Z</dcterms:created>
  <dcterms:modified xsi:type="dcterms:W3CDTF">2013-12-23T23:15:00Z</dcterms:modified>
  <cp:category/>
</cp:coreProperties>
</file>