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eastAsia="맑은 고딕"/>
          <w:b/>
          <w:color w:val="0B2545"/>
          <w:sz w:val="44"/>
        </w:rPr>
        <w:t>208. DIKW, AI 의사결정, 조직 지식화 관점 정리</w:t>
      </w:r>
    </w:p>
    <w:p>
      <w:r>
        <w:t>작성일: 2026-06-10</w:t>
      </w:r>
    </w:p>
    <w:p>
      <w:r>
        <w:t xml:space="preserve">작성 기준 저장소: DGX 메인 저장소 </w:t>
      </w:r>
      <w:r>
        <w:rPr>
          <w:rFonts w:ascii="Consolas" w:hAnsi="Consolas" w:eastAsia="Consolas"/>
        </w:rPr>
        <w:t>/srv/shared/projects/insurance-rag-chatbot</w:t>
      </w:r>
      <w:r>
        <w:t xml:space="preserve"> 기준 문서와 현재 로컬 체크아웃</w:t>
      </w:r>
    </w:p>
    <w:p>
      <w:r>
        <w:t>문서 목적: DIKW 모델과 AI 보조 의사결정 연구를 데이터 적재, 재학습, 조직 지식 구성, 그리고 보험 문서 RAG 프로젝트 운영 구조 관점에서 해석한다.</w:t>
      </w:r>
    </w:p>
    <w:p>
      <w:pPr>
        <w:pStyle w:val="Heading1"/>
      </w:pPr>
      <w:r>
        <w:t>1. 조사 범위와 서지 확인 결과</w:t>
      </w:r>
    </w:p>
    <w:p>
      <w:r>
        <w:t>이번 조사에서는 사용자가 지정한 세 묶음의 자료를 먼저 확인했다.</w:t>
      </w:r>
    </w:p>
    <w:tbl>
      <w:tblPr>
        <w:tblStyle w:val="TableGrid"/>
        <w:tblW w:type="dxa" w:w="9360"/>
        <w:jc w:val="left"/>
        <w:tblLook w:firstColumn="1" w:firstRow="1" w:lastColumn="0" w:lastRow="0" w:noHBand="0" w:noVBand="1" w:val="04A0"/>
        <w:tblInd w:w="120" w:type="dxa"/>
      </w:tblPr>
      <w:tblGrid>
        <w:gridCol w:w="1300"/>
        <w:gridCol w:w="3550"/>
        <w:gridCol w:w="1450"/>
        <w:gridCol w:w="3060"/>
      </w:tblGrid>
      <w:tr>
        <w:tc>
          <w:tcPr>
            <w:tcW w:type="dxa" w:w="1300"/>
            <w:vAlign w:val="center"/>
            <w:tcMar>
              <w:top w:w="80" w:type="dxa"/>
              <w:start w:w="120" w:type="dxa"/>
              <w:bottom w:w="80" w:type="dxa"/>
              <w:end w:w="120" w:type="dxa"/>
            </w:tcMar>
            <w:shd w:fill="F2F4F7"/>
          </w:tcPr>
          <w:p>
            <w:pPr>
              <w:spacing w:after="0"/>
            </w:pPr>
            <w:r>
              <w:rPr>
                <w:b/>
                <w:sz w:val="18"/>
              </w:rPr>
              <w:t>구분</w:t>
            </w:r>
          </w:p>
        </w:tc>
        <w:tc>
          <w:tcPr>
            <w:tcW w:type="dxa" w:w="3550"/>
            <w:vAlign w:val="center"/>
            <w:tcMar>
              <w:top w:w="80" w:type="dxa"/>
              <w:start w:w="120" w:type="dxa"/>
              <w:bottom w:w="80" w:type="dxa"/>
              <w:end w:w="120" w:type="dxa"/>
            </w:tcMar>
            <w:shd w:fill="F2F4F7"/>
          </w:tcPr>
          <w:p>
            <w:pPr>
              <w:spacing w:after="0"/>
            </w:pPr>
            <w:r>
              <w:rPr>
                <w:b/>
                <w:sz w:val="18"/>
              </w:rPr>
              <w:t>자료</w:t>
            </w:r>
          </w:p>
        </w:tc>
        <w:tc>
          <w:tcPr>
            <w:tcW w:type="dxa" w:w="1450"/>
            <w:vAlign w:val="center"/>
            <w:tcMar>
              <w:top w:w="80" w:type="dxa"/>
              <w:start w:w="120" w:type="dxa"/>
              <w:bottom w:w="80" w:type="dxa"/>
              <w:end w:w="120" w:type="dxa"/>
            </w:tcMar>
            <w:shd w:fill="F2F4F7"/>
          </w:tcPr>
          <w:p>
            <w:pPr>
              <w:spacing w:after="0"/>
            </w:pPr>
            <w:r>
              <w:rPr>
                <w:b/>
                <w:sz w:val="18"/>
              </w:rPr>
              <w:t>확인 상태</w:t>
            </w:r>
          </w:p>
        </w:tc>
        <w:tc>
          <w:tcPr>
            <w:tcW w:type="dxa" w:w="3060"/>
            <w:vAlign w:val="center"/>
            <w:tcMar>
              <w:top w:w="80" w:type="dxa"/>
              <w:start w:w="120" w:type="dxa"/>
              <w:bottom w:w="80" w:type="dxa"/>
              <w:end w:w="120" w:type="dxa"/>
            </w:tcMar>
            <w:shd w:fill="F2F4F7"/>
          </w:tcPr>
          <w:p>
            <w:pPr>
              <w:spacing w:after="0"/>
            </w:pPr>
            <w:r>
              <w:rPr>
                <w:b/>
                <w:sz w:val="18"/>
              </w:rPr>
              <w:t>비고</w:t>
            </w:r>
          </w:p>
        </w:tc>
      </w:tr>
      <w:tr>
        <w:tc>
          <w:tcPr>
            <w:tcW w:type="dxa" w:w="1300"/>
            <w:vAlign w:val="center"/>
            <w:tcMar>
              <w:top w:w="80" w:type="dxa"/>
              <w:start w:w="120" w:type="dxa"/>
              <w:bottom w:w="80" w:type="dxa"/>
              <w:end w:w="120" w:type="dxa"/>
            </w:tcMar>
          </w:tcPr>
          <w:p>
            <w:pPr>
              <w:spacing w:after="0"/>
            </w:pPr>
            <w:r>
              <w:rPr>
                <w:sz w:val="18"/>
              </w:rPr>
              <w:t>고전 이론</w:t>
            </w:r>
          </w:p>
        </w:tc>
        <w:tc>
          <w:tcPr>
            <w:tcW w:type="dxa" w:w="3550"/>
            <w:vAlign w:val="center"/>
            <w:tcMar>
              <w:top w:w="80" w:type="dxa"/>
              <w:start w:w="120" w:type="dxa"/>
              <w:bottom w:w="80" w:type="dxa"/>
              <w:end w:w="120" w:type="dxa"/>
            </w:tcMar>
          </w:tcPr>
          <w:p>
            <w:pPr>
              <w:spacing w:after="0"/>
            </w:pPr>
            <w:r>
              <w:rPr>
                <w:sz w:val="18"/>
              </w:rPr>
              <w:t>Russell L. Ackoff, "From Data to Wisdom", Journal of Applied Systems Analysis, 16, 1989, pp. 3-9</w:t>
            </w:r>
          </w:p>
        </w:tc>
        <w:tc>
          <w:tcPr>
            <w:tcW w:type="dxa" w:w="1450"/>
            <w:vAlign w:val="center"/>
            <w:tcMar>
              <w:top w:w="80" w:type="dxa"/>
              <w:start w:w="120" w:type="dxa"/>
              <w:bottom w:w="80" w:type="dxa"/>
              <w:end w:w="120" w:type="dxa"/>
            </w:tcMar>
          </w:tcPr>
          <w:p>
            <w:pPr>
              <w:spacing w:after="0"/>
            </w:pPr>
            <w:r>
              <w:rPr>
                <w:sz w:val="18"/>
              </w:rPr>
              <w:t>확인</w:t>
            </w:r>
          </w:p>
        </w:tc>
        <w:tc>
          <w:tcPr>
            <w:tcW w:type="dxa" w:w="3060"/>
            <w:vAlign w:val="center"/>
            <w:tcMar>
              <w:top w:w="80" w:type="dxa"/>
              <w:start w:w="120" w:type="dxa"/>
              <w:bottom w:w="80" w:type="dxa"/>
              <w:end w:w="120" w:type="dxa"/>
            </w:tcMar>
          </w:tcPr>
          <w:p>
            <w:pPr>
              <w:spacing w:after="0"/>
            </w:pPr>
            <w:r>
              <w:rPr>
                <w:sz w:val="18"/>
              </w:rPr>
              <w:t>DOI는 확인되지 않았지만 DIKW 문헌과 후속 논문에서 반복 인용된다.</w:t>
            </w:r>
          </w:p>
        </w:tc>
      </w:tr>
      <w:tr>
        <w:tc>
          <w:tcPr>
            <w:tcW w:type="dxa" w:w="1300"/>
            <w:vAlign w:val="center"/>
            <w:tcMar>
              <w:top w:w="80" w:type="dxa"/>
              <w:start w:w="120" w:type="dxa"/>
              <w:bottom w:w="80" w:type="dxa"/>
              <w:end w:w="120" w:type="dxa"/>
            </w:tcMar>
          </w:tcPr>
          <w:p>
            <w:pPr>
              <w:spacing w:after="0"/>
            </w:pPr>
            <w:r>
              <w:rPr>
                <w:sz w:val="18"/>
              </w:rPr>
              <w:t>AI 보조 경영 의사결정</w:t>
            </w:r>
          </w:p>
        </w:tc>
        <w:tc>
          <w:tcPr>
            <w:tcW w:type="dxa" w:w="3550"/>
            <w:vAlign w:val="center"/>
            <w:tcMar>
              <w:top w:w="80" w:type="dxa"/>
              <w:start w:w="120" w:type="dxa"/>
              <w:bottom w:w="80" w:type="dxa"/>
              <w:end w:w="120" w:type="dxa"/>
            </w:tcMar>
          </w:tcPr>
          <w:p>
            <w:pPr>
              <w:spacing w:after="0"/>
            </w:pPr>
            <w:r>
              <w:rPr>
                <w:sz w:val="18"/>
              </w:rPr>
              <w:t>Matteo Cristofaro, Alexis J. Banon-Gomis, "Dancing with the algorithm: a framework to navigate knowledge and autonomy in AI-assisted managerial decisions", Journal of Knowledge Management, Emerald, DOI: 10.1108/JKM-06-2025-0870</w:t>
            </w:r>
          </w:p>
        </w:tc>
        <w:tc>
          <w:tcPr>
            <w:tcW w:type="dxa" w:w="1450"/>
            <w:vAlign w:val="center"/>
            <w:tcMar>
              <w:top w:w="80" w:type="dxa"/>
              <w:start w:w="120" w:type="dxa"/>
              <w:bottom w:w="80" w:type="dxa"/>
              <w:end w:w="120" w:type="dxa"/>
            </w:tcMar>
          </w:tcPr>
          <w:p>
            <w:pPr>
              <w:spacing w:after="0"/>
            </w:pPr>
            <w:r>
              <w:rPr>
                <w:sz w:val="18"/>
              </w:rPr>
              <w:t>확인</w:t>
            </w:r>
          </w:p>
        </w:tc>
        <w:tc>
          <w:tcPr>
            <w:tcW w:type="dxa" w:w="3060"/>
            <w:vAlign w:val="center"/>
            <w:tcMar>
              <w:top w:w="80" w:type="dxa"/>
              <w:start w:w="120" w:type="dxa"/>
              <w:bottom w:w="80" w:type="dxa"/>
              <w:end w:w="120" w:type="dxa"/>
            </w:tcMar>
          </w:tcPr>
          <w:p>
            <w:pPr>
              <w:spacing w:after="0"/>
            </w:pPr>
            <w:r>
              <w:rPr>
                <w:sz w:val="18"/>
              </w:rPr>
              <w:t>Crossref 기준 온라인 게재일 2025-12-26, print issue는 2026-12-14로 등록되어 있다.</w:t>
            </w:r>
          </w:p>
        </w:tc>
      </w:tr>
      <w:tr>
        <w:tc>
          <w:tcPr>
            <w:tcW w:type="dxa" w:w="1300"/>
            <w:vAlign w:val="center"/>
            <w:tcMar>
              <w:top w:w="80" w:type="dxa"/>
              <w:start w:w="120" w:type="dxa"/>
              <w:bottom w:w="80" w:type="dxa"/>
              <w:end w:w="120" w:type="dxa"/>
            </w:tcMar>
          </w:tcPr>
          <w:p>
            <w:pPr>
              <w:spacing w:after="0"/>
            </w:pPr>
            <w:r>
              <w:rPr>
                <w:sz w:val="18"/>
              </w:rPr>
              <w:t>사용자 제시 제목</w:t>
            </w:r>
          </w:p>
        </w:tc>
        <w:tc>
          <w:tcPr>
            <w:tcW w:type="dxa" w:w="3550"/>
            <w:vAlign w:val="center"/>
            <w:tcMar>
              <w:top w:w="80" w:type="dxa"/>
              <w:start w:w="120" w:type="dxa"/>
              <w:bottom w:w="80" w:type="dxa"/>
              <w:end w:w="120" w:type="dxa"/>
            </w:tcMar>
          </w:tcPr>
          <w:p>
            <w:pPr>
              <w:spacing w:after="0"/>
            </w:pPr>
            <w:r>
              <w:rPr>
                <w:sz w:val="18"/>
              </w:rPr>
              <w:t>"From Data to Wisdom: Human-Centered AI for Ethical and Transparent Decision-Making" (IJFMR, 2025)</w:t>
            </w:r>
          </w:p>
        </w:tc>
        <w:tc>
          <w:tcPr>
            <w:tcW w:type="dxa" w:w="1450"/>
            <w:vAlign w:val="center"/>
            <w:tcMar>
              <w:top w:w="80" w:type="dxa"/>
              <w:start w:w="120" w:type="dxa"/>
              <w:bottom w:w="80" w:type="dxa"/>
              <w:end w:w="120" w:type="dxa"/>
            </w:tcMar>
          </w:tcPr>
          <w:p>
            <w:pPr>
              <w:spacing w:after="0"/>
            </w:pPr>
            <w:r>
              <w:rPr>
                <w:sz w:val="18"/>
              </w:rPr>
              <w:t>공개 색인 확인 실패</w:t>
            </w:r>
          </w:p>
        </w:tc>
        <w:tc>
          <w:tcPr>
            <w:tcW w:type="dxa" w:w="3060"/>
            <w:vAlign w:val="center"/>
            <w:tcMar>
              <w:top w:w="80" w:type="dxa"/>
              <w:start w:w="120" w:type="dxa"/>
              <w:bottom w:w="80" w:type="dxa"/>
              <w:end w:w="120" w:type="dxa"/>
            </w:tcMar>
          </w:tcPr>
          <w:p>
            <w:pPr>
              <w:spacing w:after="0"/>
            </w:pPr>
            <w:r>
              <w:rPr>
                <w:sz w:val="18"/>
              </w:rPr>
              <w:t>Crossref, OpenAlex, IJFMR 사이트 범위 검색에서 정확 제목을 확인하지 못했다.</w:t>
            </w:r>
          </w:p>
        </w:tc>
      </w:tr>
      <w:tr>
        <w:tc>
          <w:tcPr>
            <w:tcW w:type="dxa" w:w="1300"/>
            <w:vAlign w:val="center"/>
            <w:tcMar>
              <w:top w:w="80" w:type="dxa"/>
              <w:start w:w="120" w:type="dxa"/>
              <w:bottom w:w="80" w:type="dxa"/>
              <w:end w:w="120" w:type="dxa"/>
            </w:tcMar>
          </w:tcPr>
          <w:p>
            <w:pPr>
              <w:spacing w:after="0"/>
            </w:pPr>
            <w:r>
              <w:rPr>
                <w:sz w:val="18"/>
              </w:rPr>
              <w:t>사용자 제시 제목</w:t>
            </w:r>
          </w:p>
        </w:tc>
        <w:tc>
          <w:tcPr>
            <w:tcW w:type="dxa" w:w="3550"/>
            <w:vAlign w:val="center"/>
            <w:tcMar>
              <w:top w:w="80" w:type="dxa"/>
              <w:start w:w="120" w:type="dxa"/>
              <w:bottom w:w="80" w:type="dxa"/>
              <w:end w:w="120" w:type="dxa"/>
            </w:tcMar>
          </w:tcPr>
          <w:p>
            <w:pPr>
              <w:spacing w:after="0"/>
            </w:pPr>
            <w:r>
              <w:rPr>
                <w:sz w:val="18"/>
              </w:rPr>
              <w:t>"AI and Algorithms in the DIKW Pyramid Perspective" (2025)</w:t>
            </w:r>
          </w:p>
        </w:tc>
        <w:tc>
          <w:tcPr>
            <w:tcW w:type="dxa" w:w="1450"/>
            <w:vAlign w:val="center"/>
            <w:tcMar>
              <w:top w:w="80" w:type="dxa"/>
              <w:start w:w="120" w:type="dxa"/>
              <w:bottom w:w="80" w:type="dxa"/>
              <w:end w:w="120" w:type="dxa"/>
            </w:tcMar>
          </w:tcPr>
          <w:p>
            <w:pPr>
              <w:spacing w:after="0"/>
            </w:pPr>
            <w:r>
              <w:rPr>
                <w:sz w:val="18"/>
              </w:rPr>
              <w:t>공개 색인 확인 실패</w:t>
            </w:r>
          </w:p>
        </w:tc>
        <w:tc>
          <w:tcPr>
            <w:tcW w:type="dxa" w:w="3060"/>
            <w:vAlign w:val="center"/>
            <w:tcMar>
              <w:top w:w="80" w:type="dxa"/>
              <w:start w:w="120" w:type="dxa"/>
              <w:bottom w:w="80" w:type="dxa"/>
              <w:end w:w="120" w:type="dxa"/>
            </w:tcMar>
          </w:tcPr>
          <w:p>
            <w:pPr>
              <w:spacing w:after="0"/>
            </w:pPr>
            <w:r>
              <w:rPr>
                <w:sz w:val="18"/>
              </w:rPr>
              <w:t>Crossref, OpenAlex, 일반 웹 검색에서 정확 제목을 확인하지 못했다.</w:t>
            </w:r>
          </w:p>
        </w:tc>
      </w:tr>
    </w:tbl>
    <w:p/>
    <w:p>
      <w:r>
        <w:t>따라서 본문은 확인된 Ackoff 논문과 Emerald 논문을 중심축으로 삼고, 확인 실패한 두 제목은 확정 논문처럼 단정하지 않는다. 다만 제목이 가리키는 주제인 인간중심 AI, 설명가능성, 윤리적 의사결정, DIKW와 알고리즘의 관계는 검증 가능한 주변 문헌과 프로젝트 구조에 비추어 해석한다.</w:t>
      </w:r>
    </w:p>
    <w:p>
      <w:r>
        <w:t>주요 참고 링크:</w:t>
      </w:r>
    </w:p>
    <w:p>
      <w:pPr>
        <w:pStyle w:val="ListBullet"/>
      </w:pPr>
      <w:r>
        <w:t>Ackoff 고전 논문 서지: 후속 Crossref reference와 Springer Encyclopedia of Big Data의 DIKW 항목에서 확인.</w:t>
      </w:r>
    </w:p>
    <w:p>
      <w:pPr>
        <w:pStyle w:val="ListBullet"/>
      </w:pPr>
      <w:r>
        <w:t>Emerald 논문 DOI: https://doi.org/10.1108/JKM-06-2025-0870</w:t>
      </w:r>
    </w:p>
    <w:p>
      <w:pPr>
        <w:pStyle w:val="ListBullet"/>
      </w:pPr>
      <w:r>
        <w:t>DIKW 개요 및 비판 참고: Fricke, "The Knowledge Pyramid: the DIKW Hierarchy", Knowledge Organization, 2019, DOI: https://doi.org/10.5771/0943-7444-2019-1-33</w:t>
      </w:r>
    </w:p>
    <w:p>
      <w:pPr>
        <w:pStyle w:val="ListBullet"/>
      </w:pPr>
      <w:r>
        <w:t>DIKW와 Digital Twin/AI 참고: Grieves, "DIKW as a General and Digital Twin Action Framework", Knowledge, 2024, DOI: https://doi.org/10.3390/knowledge4020007</w:t>
      </w:r>
    </w:p>
    <w:p>
      <w:pPr>
        <w:pStyle w:val="Heading1"/>
      </w:pPr>
      <w:r>
        <w:t>2. Ackoff의 DIKW 모델 핵심</w:t>
      </w:r>
    </w:p>
    <w:p>
      <w:r>
        <w:t>Ackoff의 DIKW는 데이터가 쌓이면 자동으로 지식이나 지혜가 된다는 단순 축적론이 아니다. 각 단계는 기능과 책임이 다르다.</w:t>
      </w:r>
    </w:p>
    <w:p>
      <w:pPr>
        <w:pStyle w:val="ListBullet"/>
      </w:pPr>
      <w:r>
        <w:t>Data: 관찰, 기호, 값, 원천 기록이다. 자체로는 의미나 행동 기준이 부족하다.</w:t>
      </w:r>
    </w:p>
    <w:p>
      <w:pPr>
        <w:pStyle w:val="ListBullet"/>
      </w:pPr>
      <w:r>
        <w:t>Information: 특정 목적과 질문에 맞게 처리된 데이터다. 누가, 무엇을, 언제, 어디서, 얼마나 같은 질문에 답한다.</w:t>
      </w:r>
    </w:p>
    <w:p>
      <w:pPr>
        <w:pStyle w:val="ListBullet"/>
      </w:pPr>
      <w:r>
        <w:t>Knowledge: 정보를 행동에 적용하는 방법이다. 어떻게 할 것인가에 답하며 절차, 규칙, 경험, 판단 패턴을 포함한다.</w:t>
      </w:r>
    </w:p>
    <w:p>
      <w:pPr>
        <w:pStyle w:val="ListBullet"/>
      </w:pPr>
      <w:r>
        <w:t>Understanding: 왜 그런가를 설명하는 층위다. Ackoff 계열 논의에서는 knowledge와 wisdom 사이의 중요한 매개다.</w:t>
      </w:r>
    </w:p>
    <w:p>
      <w:pPr>
        <w:pStyle w:val="ListBullet"/>
      </w:pPr>
      <w:r>
        <w:t>Wisdom: 가치, 목적, 장기 효과, 윤리적 판단을 포함한 선택 능력이다.</w:t>
      </w:r>
    </w:p>
    <w:p>
      <w:r>
        <w:t>이 모델의 중요한 함의는 "데이터 적재"와 "지식 구성"이 다르다는 점이다. 데이터베이스, 벡터 인덱스, 로그가 늘어나는 것은 Data와 Information 층위를 강화할 수 있지만, 조직의 Knowledge와 Wisdom은 승인된 규칙, 검토 경로, 실패 사례, 평가셋, 책임 있는 의사결정 구조가 함께 있어야 형성된다.</w:t>
      </w:r>
    </w:p>
    <w:p>
      <w:pPr>
        <w:pStyle w:val="Heading1"/>
      </w:pPr>
      <w:r>
        <w:t>3. Dancing with the algorithm 핵심</w:t>
      </w:r>
    </w:p>
    <w:p>
      <w:r>
        <w:t>Emerald의 "Dancing with the algorithm"은 AI 보조 경영 의사결정에서 인간 자율성, 신뢰, 지식관리, DIKW를 연결한다. Crossref에 등록된 초록 기준으로 이 연구는 122명의 고위 전문가 인터뷰와 2개 전문가 포커스그룹을 바탕으로 Human-AI Autonomy Loop, 즉 HAIL 프레임워크를 제시한다.</w:t>
      </w:r>
    </w:p>
    <w:p>
      <w:r>
        <w:t>핵심은 네 단계다.</w:t>
      </w:r>
    </w:p>
    <w:p>
      <w:pPr>
        <w:pStyle w:val="ListNumber"/>
      </w:pPr>
      <w:r>
        <w:t>Frame: 문제를 어떤 의사결정 프레임으로 볼 것인지 정한다.</w:t>
      </w:r>
    </w:p>
    <w:p>
      <w:pPr>
        <w:pStyle w:val="ListNumber"/>
      </w:pPr>
      <w:r>
        <w:t>Evaluate: AI 산출물, 데이터, 근거, 대안을 평가한다.</w:t>
      </w:r>
    </w:p>
    <w:p>
      <w:pPr>
        <w:pStyle w:val="ListNumber"/>
      </w:pPr>
      <w:r>
        <w:t>Commit: 사람이 책임 있는 결정을 내리고 선택에 서명한다.</w:t>
      </w:r>
    </w:p>
    <w:p>
      <w:pPr>
        <w:pStyle w:val="ListNumber"/>
      </w:pPr>
      <w:r>
        <w:t>Enact: 조직 프로세스 안에서 실행하고 결과를 다시 학습 자원으로 만든다.</w:t>
      </w:r>
    </w:p>
    <w:p>
      <w:r>
        <w:t>이 논문은 DIKW를 선형 피라미드가 아니라 사회기술적 지형으로 본다. AI는 데이터 처리와 정보 정리에 강하지만, 결정의 책임, 도덕적 저자성, 조직 맥락의 해석은 관리자와 조직에 남는다. 따라서 AI 보조 시스템의 목표는 인간 판단을 대체하는 것이 아니라, 각 단계에서 어느 판단을 기계에 맡기고 어느 판단을 사람이 보존할지 명확히 하는 것이다.</w:t>
      </w:r>
    </w:p>
    <w:p>
      <w:r>
        <w:t>프로젝트 관점에서는 이 논문이 다음 원칙으로 번역된다.</w:t>
      </w:r>
    </w:p>
    <w:p>
      <w:pPr>
        <w:pStyle w:val="ListBullet"/>
      </w:pPr>
      <w:r>
        <w:t>RAG 답변은 최종 권위가 아니라 판단 보조 산출물이다.</w:t>
      </w:r>
    </w:p>
    <w:p>
      <w:pPr>
        <w:pStyle w:val="ListBullet"/>
      </w:pPr>
      <w:r>
        <w:t>구조화 근거가 없으면 없다고 드러내야 한다.</w:t>
      </w:r>
    </w:p>
    <w:p>
      <w:pPr>
        <w:pStyle w:val="ListBullet"/>
      </w:pPr>
      <w:r>
        <w:t>실무자가 승인하지 않은 후보 지식은 운영 지식으로 승격하지 않는다.</w:t>
      </w:r>
    </w:p>
    <w:p>
      <w:pPr>
        <w:pStyle w:val="ListBullet"/>
      </w:pPr>
      <w:r>
        <w:t>모델 재학습보다 먼저 근거, 승인 이력, 실패 질의, 평가셋을 관리해야 한다.</w:t>
      </w:r>
    </w:p>
    <w:p>
      <w:pPr>
        <w:pStyle w:val="Heading1"/>
      </w:pPr>
      <w:r>
        <w:t>4. 인간중심 AI와 DIKW 관점의 보완 해석</w:t>
      </w:r>
    </w:p>
    <w:p>
      <w:r>
        <w:t>사용자가 제시한 두 2025년 제목은 정확 서지를 확인하지 못했지만, 제목이 가리키는 논지는 현재 AI 거버넌스와 설명가능성 연구의 방향과 잘 맞는다.</w:t>
      </w:r>
    </w:p>
    <w:p>
      <w:r>
        <w:t>인간중심 AI 관점에서 DIKW는 다음처럼 확장된다.</w:t>
      </w:r>
    </w:p>
    <w:p>
      <w:pPr>
        <w:pStyle w:val="ListBullet"/>
      </w:pPr>
      <w:r>
        <w:t>Data 단계에서는 수집 동의, 품질, 편향, 개인정보, 원천 추적성이 중요하다.</w:t>
      </w:r>
    </w:p>
    <w:p>
      <w:pPr>
        <w:pStyle w:val="ListBullet"/>
      </w:pPr>
      <w:r>
        <w:t>Information 단계에서는 정제와 요약이 사용자의 목적에 맞는지, 오류와 누락이 표시되는지가 중요하다.</w:t>
      </w:r>
    </w:p>
    <w:p>
      <w:pPr>
        <w:pStyle w:val="ListBullet"/>
      </w:pPr>
      <w:r>
        <w:t>Knowledge 단계에서는 사람이 실제 업무에서 재사용할 수 있는 규칙, 절차, 검토 경로로 바뀌어야 한다.</w:t>
      </w:r>
    </w:p>
    <w:p>
      <w:pPr>
        <w:pStyle w:val="ListBullet"/>
      </w:pPr>
      <w:r>
        <w:t>Wisdom 단계에서는 자동화의 한계, 책임 소재, 고객 보호, 규제 준수, 조직의 장기 신뢰가 중요하다.</w:t>
      </w:r>
    </w:p>
    <w:p>
      <w:r>
        <w:t>알고리즘 관점에서는 DIKW의 아래쪽은 자동화하기 쉽지만 위쪽은 자동화가 아니라 통제와 책임 설계가 핵심이다. 임베딩, BM25, reranker, LLM은 데이터를 정보와 후보 지식으로 끌어올리는 도구다. 그러나 운영 지식은 사람이 승인한 ontology, rule table, 검증된 GraphDB, 평가셋, 감사 로그가 함께 있을 때만 조직 지식으로 인정할 수 있다.</w:t>
      </w:r>
    </w:p>
    <w:p>
      <w:pPr>
        <w:pStyle w:val="Heading1"/>
      </w:pPr>
      <w:r>
        <w:t>5. 조직의 데이터 적재와 재학습 루프</w:t>
      </w:r>
    </w:p>
    <w:p>
      <w:r>
        <w:t>조직 지식은 다음 루프로 만들어진다.</w:t>
      </w:r>
    </w:p>
    <w:p>
      <w:pPr/>
      <w:r>
        <w:rPr>
          <w:rFonts w:ascii="Consolas" w:hAnsi="Consolas" w:eastAsia="Consolas"/>
          <w:sz w:val="18"/>
        </w:rPr>
        <w:t>원천 데이터 적재</w:t>
        <w:br/>
        <w:t>→ 정제와 구조화</w:t>
        <w:br/>
        <w:t>→ 검색 가능한 정보화</w:t>
        <w:br/>
        <w:t>→ 후보 지식 추출</w:t>
        <w:br/>
        <w:t>→ 사람 검토와 승인</w:t>
        <w:br/>
        <w:t>→ 운영 지식 반영</w:t>
        <w:br/>
        <w:t>→ 사용자 질의와 실패 사례 수집</w:t>
        <w:br/>
        <w:t>→ 평가셋과 rule 개선</w:t>
        <w:br/>
        <w:t>→ 재인덱싱 또는 모델 재학습</w:t>
      </w:r>
    </w:p>
    <w:p>
      <w:r>
        <w:t>이 루프에서 중요한 것은 "재학습"을 좁게 모델 파라미터 업데이트로 보지 않는 것이다. 보험 업무처럼 근거성과 책임성이 중요한 도메인에서는 재학습의 1차 대상이 다음 네 가지다.</w:t>
      </w:r>
    </w:p>
    <w:p>
      <w:pPr>
        <w:pStyle w:val="ListBullet"/>
      </w:pPr>
      <w:r>
        <w:t>인덱스 재학습: OCR 보정본, canonical chunk, Chroma, BM25, reranker 입력을 갱신한다.</w:t>
      </w:r>
    </w:p>
    <w:p>
      <w:pPr>
        <w:pStyle w:val="ListBullet"/>
      </w:pPr>
      <w:r>
        <w:t>지식 재학습: ontology manifest, GraphDB edge, rule table, alias를 갱신한다.</w:t>
      </w:r>
    </w:p>
    <w:p>
      <w:pPr>
        <w:pStyle w:val="ListBullet"/>
      </w:pPr>
      <w:r>
        <w:t>평가 재학습: 실패 질의, 실무자 피드백, 회귀 테스트, golden Q&amp;A를 갱신한다.</w:t>
      </w:r>
    </w:p>
    <w:p>
      <w:pPr>
        <w:pStyle w:val="ListBullet"/>
      </w:pPr>
      <w:r>
        <w:t>모델 재학습 또는 교체: 위 세 층의 근거가 쌓인 뒤 필요할 때만 fine-tuning, prompt, template, provider 교체를 수행한다.</w:t>
      </w:r>
    </w:p>
    <w:p>
      <w:r>
        <w:t>따라서 조직의 지식 구성은 "모델을 다시 학습시키면 해결된다"가 아니라, "근거와 판단 이력을 재사용 가능한 데이터 자산으로 축적하고, 승인된 지식만 운영 경로에 반영한다"에 가깝다.</w:t>
      </w:r>
    </w:p>
    <w:p>
      <w:pPr>
        <w:pStyle w:val="Heading1"/>
      </w:pPr>
      <w:r>
        <w:t>6. 우리 프로젝트의 DIKW 매핑</w:t>
      </w:r>
    </w:p>
    <w:p>
      <w:r>
        <w:t>DGX 메인 저장소 기준 프로젝트는 이미 DIKW 루프의 여러 구성요소를 갖고 있다.</w:t>
      </w:r>
    </w:p>
    <w:tbl>
      <w:tblPr>
        <w:tblStyle w:val="TableGrid"/>
        <w:tblW w:type="dxa" w:w="9360"/>
        <w:jc w:val="left"/>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0"/>
            </w:pPr>
            <w:r>
              <w:rPr>
                <w:b/>
                <w:sz w:val="18"/>
              </w:rPr>
              <w:t>DIKW 층위</w:t>
            </w:r>
          </w:p>
        </w:tc>
        <w:tc>
          <w:tcPr>
            <w:tcW w:type="dxa" w:w="3600"/>
            <w:vAlign w:val="center"/>
            <w:tcMar>
              <w:top w:w="80" w:type="dxa"/>
              <w:start w:w="120" w:type="dxa"/>
              <w:bottom w:w="80" w:type="dxa"/>
              <w:end w:w="120" w:type="dxa"/>
            </w:tcMar>
            <w:shd w:fill="F2F4F7"/>
          </w:tcPr>
          <w:p>
            <w:pPr>
              <w:spacing w:after="0"/>
            </w:pPr>
            <w:r>
              <w:rPr>
                <w:b/>
                <w:sz w:val="18"/>
              </w:rPr>
              <w:t>프로젝트 구성요소</w:t>
            </w:r>
          </w:p>
        </w:tc>
        <w:tc>
          <w:tcPr>
            <w:tcW w:type="dxa" w:w="3960"/>
            <w:vAlign w:val="center"/>
            <w:tcMar>
              <w:top w:w="80" w:type="dxa"/>
              <w:start w:w="120" w:type="dxa"/>
              <w:bottom w:w="80" w:type="dxa"/>
              <w:end w:w="120" w:type="dxa"/>
            </w:tcMar>
            <w:shd w:fill="F2F4F7"/>
          </w:tcPr>
          <w:p>
            <w:pPr>
              <w:spacing w:after="0"/>
            </w:pPr>
            <w:r>
              <w:rPr>
                <w:b/>
                <w:sz w:val="18"/>
              </w:rPr>
              <w:t>현재 의미</w:t>
            </w:r>
          </w:p>
        </w:tc>
      </w:tr>
      <w:tr>
        <w:tc>
          <w:tcPr>
            <w:tcW w:type="dxa" w:w="1800"/>
            <w:vAlign w:val="center"/>
            <w:tcMar>
              <w:top w:w="80" w:type="dxa"/>
              <w:start w:w="120" w:type="dxa"/>
              <w:bottom w:w="80" w:type="dxa"/>
              <w:end w:w="120" w:type="dxa"/>
            </w:tcMar>
          </w:tcPr>
          <w:p>
            <w:pPr>
              <w:spacing w:after="0"/>
            </w:pPr>
            <w:r>
              <w:rPr>
                <w:sz w:val="18"/>
              </w:rPr>
              <w:t>Data</w:t>
            </w:r>
          </w:p>
        </w:tc>
        <w:tc>
          <w:tcPr>
            <w:tcW w:type="dxa" w:w="3600"/>
            <w:vAlign w:val="center"/>
            <w:tcMar>
              <w:top w:w="80" w:type="dxa"/>
              <w:start w:w="120" w:type="dxa"/>
              <w:bottom w:w="80" w:type="dxa"/>
              <w:end w:w="120" w:type="dxa"/>
            </w:tcMar>
          </w:tcPr>
          <w:p>
            <w:pPr>
              <w:spacing w:after="0"/>
            </w:pPr>
            <w:r>
              <w:rPr>
                <w:sz w:val="18"/>
              </w:rPr>
              <w:t>원본 PDF/XLSX, OCR 산출물, data/processed/*.jsonl, 비급여표준모델 원천</w:t>
            </w:r>
          </w:p>
        </w:tc>
        <w:tc>
          <w:tcPr>
            <w:tcW w:type="dxa" w:w="3960"/>
            <w:vAlign w:val="center"/>
            <w:tcMar>
              <w:top w:w="80" w:type="dxa"/>
              <w:start w:w="120" w:type="dxa"/>
              <w:bottom w:w="80" w:type="dxa"/>
              <w:end w:w="120" w:type="dxa"/>
            </w:tcMar>
          </w:tcPr>
          <w:p>
            <w:pPr>
              <w:spacing w:after="0"/>
            </w:pPr>
            <w:r>
              <w:rPr>
                <w:sz w:val="18"/>
              </w:rPr>
              <w:t>보험 약관, 실무가이드, 상담사례, 표준코드 등 원천 기록</w:t>
            </w:r>
          </w:p>
        </w:tc>
      </w:tr>
      <w:tr>
        <w:tc>
          <w:tcPr>
            <w:tcW w:type="dxa" w:w="1800"/>
            <w:vAlign w:val="center"/>
            <w:tcMar>
              <w:top w:w="80" w:type="dxa"/>
              <w:start w:w="120" w:type="dxa"/>
              <w:bottom w:w="80" w:type="dxa"/>
              <w:end w:w="120" w:type="dxa"/>
            </w:tcMar>
          </w:tcPr>
          <w:p>
            <w:pPr>
              <w:spacing w:after="0"/>
            </w:pPr>
            <w:r>
              <w:rPr>
                <w:sz w:val="18"/>
              </w:rPr>
              <w:t>Information</w:t>
            </w:r>
          </w:p>
        </w:tc>
        <w:tc>
          <w:tcPr>
            <w:tcW w:type="dxa" w:w="3600"/>
            <w:vAlign w:val="center"/>
            <w:tcMar>
              <w:top w:w="80" w:type="dxa"/>
              <w:start w:w="120" w:type="dxa"/>
              <w:bottom w:w="80" w:type="dxa"/>
              <w:end w:w="120" w:type="dxa"/>
            </w:tcMar>
          </w:tcPr>
          <w:p>
            <w:pPr>
              <w:spacing w:after="0"/>
            </w:pPr>
            <w:r>
              <w:rPr>
                <w:sz w:val="18"/>
              </w:rPr>
              <w:t>Chroma, BM25, Parquet table index, canonical chunk metadata</w:t>
            </w:r>
          </w:p>
        </w:tc>
        <w:tc>
          <w:tcPr>
            <w:tcW w:type="dxa" w:w="3960"/>
            <w:vAlign w:val="center"/>
            <w:tcMar>
              <w:top w:w="80" w:type="dxa"/>
              <w:start w:w="120" w:type="dxa"/>
              <w:bottom w:w="80" w:type="dxa"/>
              <w:end w:w="120" w:type="dxa"/>
            </w:tcMar>
          </w:tcPr>
          <w:p>
            <w:pPr>
              <w:spacing w:after="0"/>
            </w:pPr>
            <w:r>
              <w:rPr>
                <w:sz w:val="18"/>
              </w:rPr>
              <w:t>검색 가능하고 페이지·문서·청크로 추적 가능한 정보</w:t>
            </w:r>
          </w:p>
        </w:tc>
      </w:tr>
      <w:tr>
        <w:tc>
          <w:tcPr>
            <w:tcW w:type="dxa" w:w="1800"/>
            <w:vAlign w:val="center"/>
            <w:tcMar>
              <w:top w:w="80" w:type="dxa"/>
              <w:start w:w="120" w:type="dxa"/>
              <w:bottom w:w="80" w:type="dxa"/>
              <w:end w:w="120" w:type="dxa"/>
            </w:tcMar>
          </w:tcPr>
          <w:p>
            <w:pPr>
              <w:spacing w:after="0"/>
            </w:pPr>
            <w:r>
              <w:rPr>
                <w:sz w:val="18"/>
              </w:rPr>
              <w:t>Knowledge</w:t>
            </w:r>
          </w:p>
        </w:tc>
        <w:tc>
          <w:tcPr>
            <w:tcW w:type="dxa" w:w="3600"/>
            <w:vAlign w:val="center"/>
            <w:tcMar>
              <w:top w:w="80" w:type="dxa"/>
              <w:start w:w="120" w:type="dxa"/>
              <w:bottom w:w="80" w:type="dxa"/>
              <w:end w:w="120" w:type="dxa"/>
            </w:tcMar>
          </w:tcPr>
          <w:p>
            <w:pPr>
              <w:spacing w:after="0"/>
            </w:pPr>
            <w:r>
              <w:rPr>
                <w:sz w:val="18"/>
              </w:rPr>
              <w:t>GraphDB, OntologyRegistry, concepts.json, concepts.active.json, rule table 설계, 보험금 계산 로직</w:t>
            </w:r>
          </w:p>
        </w:tc>
        <w:tc>
          <w:tcPr>
            <w:tcW w:type="dxa" w:w="3960"/>
            <w:vAlign w:val="center"/>
            <w:tcMar>
              <w:top w:w="80" w:type="dxa"/>
              <w:start w:w="120" w:type="dxa"/>
              <w:bottom w:w="80" w:type="dxa"/>
              <w:end w:w="120" w:type="dxa"/>
            </w:tcMar>
          </w:tcPr>
          <w:p>
            <w:pPr>
              <w:spacing w:after="0"/>
            </w:pPr>
            <w:r>
              <w:rPr>
                <w:sz w:val="18"/>
              </w:rPr>
              <w:t>조항, 판단 조건, 면책, 한도, 수가코드, 별칭, 검토 경로</w:t>
            </w:r>
          </w:p>
        </w:tc>
      </w:tr>
      <w:tr>
        <w:tc>
          <w:tcPr>
            <w:tcW w:type="dxa" w:w="1800"/>
            <w:vAlign w:val="center"/>
            <w:tcMar>
              <w:top w:w="80" w:type="dxa"/>
              <w:start w:w="120" w:type="dxa"/>
              <w:bottom w:w="80" w:type="dxa"/>
              <w:end w:w="120" w:type="dxa"/>
            </w:tcMar>
          </w:tcPr>
          <w:p>
            <w:pPr>
              <w:spacing w:after="0"/>
            </w:pPr>
            <w:r>
              <w:rPr>
                <w:sz w:val="18"/>
              </w:rPr>
              <w:t>Understanding</w:t>
            </w:r>
          </w:p>
        </w:tc>
        <w:tc>
          <w:tcPr>
            <w:tcW w:type="dxa" w:w="3600"/>
            <w:vAlign w:val="center"/>
            <w:tcMar>
              <w:top w:w="80" w:type="dxa"/>
              <w:start w:w="120" w:type="dxa"/>
              <w:bottom w:w="80" w:type="dxa"/>
              <w:end w:w="120" w:type="dxa"/>
            </w:tcMar>
          </w:tcPr>
          <w:p>
            <w:pPr>
              <w:spacing w:after="0"/>
            </w:pPr>
            <w:r>
              <w:rPr>
                <w:sz w:val="18"/>
              </w:rPr>
              <w:t>Graph review path, 구조화 근거 표시, confirmed/review_required/candidate/missing 상태</w:t>
            </w:r>
          </w:p>
        </w:tc>
        <w:tc>
          <w:tcPr>
            <w:tcW w:type="dxa" w:w="3960"/>
            <w:vAlign w:val="center"/>
            <w:tcMar>
              <w:top w:w="80" w:type="dxa"/>
              <w:start w:w="120" w:type="dxa"/>
              <w:bottom w:w="80" w:type="dxa"/>
              <w:end w:w="120" w:type="dxa"/>
            </w:tcMar>
          </w:tcPr>
          <w:p>
            <w:pPr>
              <w:spacing w:after="0"/>
            </w:pPr>
            <w:r>
              <w:rPr>
                <w:sz w:val="18"/>
              </w:rPr>
              <w:t>답변이 왜 그렇게 나왔는지, 근거가 있는지 없는지 설명</w:t>
            </w:r>
          </w:p>
        </w:tc>
      </w:tr>
      <w:tr>
        <w:tc>
          <w:tcPr>
            <w:tcW w:type="dxa" w:w="1800"/>
            <w:vAlign w:val="center"/>
            <w:tcMar>
              <w:top w:w="80" w:type="dxa"/>
              <w:start w:w="120" w:type="dxa"/>
              <w:bottom w:w="80" w:type="dxa"/>
              <w:end w:w="120" w:type="dxa"/>
            </w:tcMar>
          </w:tcPr>
          <w:p>
            <w:pPr>
              <w:spacing w:after="0"/>
            </w:pPr>
            <w:r>
              <w:rPr>
                <w:sz w:val="18"/>
              </w:rPr>
              <w:t>Wisdom</w:t>
            </w:r>
          </w:p>
        </w:tc>
        <w:tc>
          <w:tcPr>
            <w:tcW w:type="dxa" w:w="3600"/>
            <w:vAlign w:val="center"/>
            <w:tcMar>
              <w:top w:w="80" w:type="dxa"/>
              <w:start w:w="120" w:type="dxa"/>
              <w:bottom w:w="80" w:type="dxa"/>
              <w:end w:w="120" w:type="dxa"/>
            </w:tcMar>
          </w:tcPr>
          <w:p>
            <w:pPr>
              <w:spacing w:after="0"/>
            </w:pPr>
            <w:r>
              <w:rPr>
                <w:sz w:val="18"/>
              </w:rPr>
              <w:t>실무자 승인 workflow, 감사 로그, 회귀 테스트, 운영 정책</w:t>
            </w:r>
          </w:p>
        </w:tc>
        <w:tc>
          <w:tcPr>
            <w:tcW w:type="dxa" w:w="3960"/>
            <w:vAlign w:val="center"/>
            <w:tcMar>
              <w:top w:w="80" w:type="dxa"/>
              <w:start w:w="120" w:type="dxa"/>
              <w:bottom w:w="80" w:type="dxa"/>
              <w:end w:w="120" w:type="dxa"/>
            </w:tcMar>
          </w:tcPr>
          <w:p>
            <w:pPr>
              <w:spacing w:after="0"/>
            </w:pPr>
            <w:r>
              <w:rPr>
                <w:sz w:val="18"/>
              </w:rPr>
              <w:t>무엇을 자동화하고 무엇을 사람 검토로 남길지 결정</w:t>
            </w:r>
          </w:p>
        </w:tc>
      </w:tr>
    </w:tbl>
    <w:p/>
    <w:p>
      <w:r>
        <w:t xml:space="preserve">특히 </w:t>
      </w:r>
      <w:r>
        <w:rPr>
          <w:rFonts w:ascii="Consolas" w:hAnsi="Consolas" w:eastAsia="Consolas"/>
        </w:rPr>
        <w:t>docs/207_PROJECT_ENVIRONMENT_AND_DATABASE_OVERVIEW.md</w:t>
      </w:r>
      <w:r>
        <w:t xml:space="preserve">는 현재 구조를 목적별 저장소 조합으로 설명한다. 검색 인덱스는 Chroma와 BM25를 결합하고, GraphDB는 약관 조항, 판단 조건, 수가코드, 근거 경로를 연결하며, </w:t>
      </w:r>
      <w:r>
        <w:rPr>
          <w:rFonts w:ascii="Consolas" w:hAnsi="Consolas" w:eastAsia="Consolas"/>
        </w:rPr>
        <w:t>insurance_chat.db</w:t>
      </w:r>
      <w:r>
        <w:t>는 사용자 대화와 감사 로그를 저장한다.</w:t>
      </w:r>
    </w:p>
    <w:p>
      <w:pPr>
        <w:pStyle w:val="Heading1"/>
      </w:pPr>
      <w:r>
        <w:t>7. 프로젝트 관점의 핵심 평가</w:t>
      </w:r>
    </w:p>
    <w:p>
      <w:r>
        <w:t xml:space="preserve">현재 프로젝트는 단순 RAG 챗봇보다 더 높은 층위로 가고 있다. </w:t>
      </w:r>
      <w:r>
        <w:rPr>
          <w:rFonts w:ascii="Consolas" w:hAnsi="Consolas" w:eastAsia="Consolas"/>
        </w:rPr>
        <w:t>docs/190_PROJECT_DIRECTION_AND_ONTOLOGY_OPERATING_PLAN.md</w:t>
      </w:r>
      <w:r>
        <w:t>의 방향처럼 목표는 문서 기반 보험 판단 지식 운영 시스템이다. 이 방향은 DIKW 관점에서 타당하다.</w:t>
      </w:r>
    </w:p>
    <w:p>
      <w:r>
        <w:t>강점은 다음과 같다.</w:t>
      </w:r>
    </w:p>
    <w:p>
      <w:pPr>
        <w:pStyle w:val="ListBullet"/>
      </w:pPr>
      <w:r>
        <w:t>원문 근거와 검색 인덱스를 분리해 Data와 Information 층을 관리한다.</w:t>
      </w:r>
    </w:p>
    <w:p>
      <w:pPr>
        <w:pStyle w:val="ListBullet"/>
      </w:pPr>
      <w:r>
        <w:t>Chroma, BM25, RRF, reranker로 검색 실패를 줄이는 구조를 갖는다.</w:t>
      </w:r>
    </w:p>
    <w:p>
      <w:pPr>
        <w:pStyle w:val="ListBullet"/>
      </w:pPr>
      <w:r>
        <w:t>GraphDB와 canonical manifest로 근거와 구조화 지식을 연결한다.</w:t>
      </w:r>
    </w:p>
    <w:p>
      <w:pPr>
        <w:pStyle w:val="ListBullet"/>
      </w:pPr>
      <w:r>
        <w:t>OntologyRegistry를 통해 보험 개념을 Python 하드코딩에서 manifest 데이터로 이동시키고 있다.</w:t>
      </w:r>
    </w:p>
    <w:p>
      <w:pPr>
        <w:pStyle w:val="ListBullet"/>
      </w:pPr>
      <w:r>
        <w:t>실무자 승인 workflow MVP가 도입되어, 후보 지식과 운영 지식을 구분하기 시작했다.</w:t>
      </w:r>
    </w:p>
    <w:p>
      <w:pPr>
        <w:pStyle w:val="ListBullet"/>
      </w:pPr>
      <w:r>
        <w:t>Graph review path가 missing 상태까지 표시하므로, 근거 부재를 숨기지 않는다.</w:t>
      </w:r>
    </w:p>
    <w:p>
      <w:r>
        <w:t>남은 위험은 다음과 같다.</w:t>
      </w:r>
    </w:p>
    <w:p>
      <w:pPr>
        <w:pStyle w:val="ListBullet"/>
      </w:pPr>
      <w:r>
        <w:t>raw 문서에서 후보 concept/rule을 자동 추출하는 파이프라인은 아직 남은 과제다.</w:t>
      </w:r>
    </w:p>
    <w:p>
      <w:pPr>
        <w:pStyle w:val="ListBullet"/>
      </w:pPr>
      <w:r>
        <w:t>승인 UI는 MVP 수준이고, 관리자 페이지 기반의 본격 검토 화면은 후속 단계다.</w:t>
      </w:r>
    </w:p>
    <w:p>
      <w:pPr>
        <w:pStyle w:val="ListBullet"/>
      </w:pPr>
      <w:r>
        <w:t>보험금 계산 지식은 더 많은 rule table 분리가 필요하다.</w:t>
      </w:r>
    </w:p>
    <w:p>
      <w:pPr>
        <w:pStyle w:val="ListBullet"/>
      </w:pPr>
      <w:r>
        <w:t>사용자 질의 로그, 실패 사례, 실무자 피드백이 평가셋과 재인덱싱 루프로 완전히 연결되어야 한다.</w:t>
      </w:r>
    </w:p>
    <w:p>
      <w:pPr>
        <w:pStyle w:val="ListBullet"/>
      </w:pPr>
      <w:r>
        <w:t>모델 provider 교체와 prompt/template 개선은 지식 품질 문제를 덮는 수단이 되어서는 안 된다.</w:t>
      </w:r>
    </w:p>
    <w:p>
      <w:pPr>
        <w:pStyle w:val="Heading1"/>
      </w:pPr>
      <w:r>
        <w:t>8. 권장 운영 방향</w:t>
      </w:r>
    </w:p>
    <w:p>
      <w:r>
        <w:t>DIKW와 HAIL 관점에서 우리 프로젝트의 다음 운영 방향은 다음 순서가 적절하다.</w:t>
      </w:r>
    </w:p>
    <w:p>
      <w:pPr>
        <w:pStyle w:val="ListNumber"/>
      </w:pPr>
      <w:r>
        <w:t>Ingestion Registry를 도입해 원천 문서, OCR 버전, chunk version, index build, GraphDB build, rule version을 연결한다.</w:t>
      </w:r>
    </w:p>
    <w:p>
      <w:pPr>
        <w:pStyle w:val="ListNumber"/>
      </w:pPr>
      <w:r>
        <w:t>실패 질의와 사용자 피드백을 insurance_chat.db 또는 별도 evaluation store에서 평가셋 후보로 승격하는 절차를 만든다.</w:t>
      </w:r>
    </w:p>
    <w:p>
      <w:pPr>
        <w:pStyle w:val="ListNumber"/>
      </w:pPr>
      <w:r>
        <w:t>raw 문서 기반 candidate extraction을 구현하되, 모든 후보는 pending 또는 candidate 상태로 시작하게 한다.</w:t>
      </w:r>
    </w:p>
    <w:p>
      <w:pPr>
        <w:pStyle w:val="ListNumber"/>
      </w:pPr>
      <w:r>
        <w:t>실무자 승인 workflow를 관리자 UI에 연결해 승인, 보류, 거절, 병합, alias 차단 이력을 남긴다.</w:t>
      </w:r>
    </w:p>
    <w:p>
      <w:pPr>
        <w:pStyle w:val="ListNumber"/>
      </w:pPr>
      <w:r>
        <w:t>승인된 concept/rule만 active ontology와 GraphDB rebuild에 반영한다.</w:t>
      </w:r>
    </w:p>
    <w:p>
      <w:pPr>
        <w:pStyle w:val="ListNumber"/>
      </w:pPr>
      <w:r>
        <w:t>모델 재학습 또는 provider 교체는 검색/Graph/rule/eval 루프가 안정된 뒤 수행한다.</w:t>
      </w:r>
    </w:p>
    <w:p>
      <w:r>
        <w:t>이 순서는 Ackoff의 DIKW와 Emerald의 HAIL 프레임워크 모두와 일치한다. 즉, AI 시스템의 품질은 모델 자체보다도 조직이 어떤 데이터를 어떤 근거로 지식화하고, 누가 어떤 책임으로 승인하며, 실행 결과를 어떻게 다시 학습 자산으로 되돌리는지에 달려 있다.</w:t>
      </w:r>
    </w:p>
    <w:p>
      <w:pPr>
        <w:pStyle w:val="Heading1"/>
      </w:pPr>
      <w:r>
        <w:t>9. 요약</w:t>
      </w:r>
    </w:p>
    <w:p>
      <w:r>
        <w:t>Ackoff의 DIKW는 데이터, 정보, 지식, 이해, 지혜를 구분한다. Emerald의 "Dancing with the algorithm"은 AI 보조 의사결정에서 이 구분이 인간 자율성과 책임 설계로 이어져야 함을 보여준다. 우리 보험 문서 RAG 프로젝트는 이미 OCR, Chroma, BM25, GraphDB, OntologyRegistry, 실무자 승인 workflow를 통해 DIKW 기반 지식 운영 시스템으로 발전하고 있다.</w:t>
      </w:r>
    </w:p>
    <w:p>
      <w:r>
        <w:t>다만 현재 단계에서 가장 중요한 과제는 모델 재학습이 아니라 조직 재학습 루프의 완성이다. 원천 데이터, 정제 정보, 후보 지식, 실무 승인, 운영 반영, 실패 사례, 평가셋, 재인덱싱을 하나의 추적 가능한 순환 구조로 묶어야 한다. 그래야 프로젝트의 RAG 답변이 단순 생성 결과가 아니라 조직이 책임질 수 있는 보험 판단 지식으로 축적된다.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