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Rule="auto"/>
        <w:ind w:left="40" w:firstLine="0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color w:val="202122"/>
          <w:sz w:val="53"/>
          <w:szCs w:val="53"/>
          <w:rtl w:val="0"/>
        </w:rPr>
        <w:t xml:space="preserve">The Brand Steward — Cultivating Trust and Community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300" w:before="0" w:lineRule="auto"/>
        <w:ind w:left="-140" w:firstLine="0"/>
        <w:jc w:val="center"/>
        <w:rPr>
          <w:rFonts w:ascii="Arial" w:cs="Arial" w:eastAsia="Arial" w:hAnsi="Arial"/>
          <w:color w:val="202122"/>
          <w:sz w:val="62"/>
          <w:szCs w:val="62"/>
        </w:rPr>
      </w:pPr>
      <w:bookmarkStart w:colFirst="0" w:colLast="0" w:name="_k3hjsc2ca1ge" w:id="0"/>
      <w:bookmarkEnd w:id="0"/>
      <w:r w:rsidDel="00000000" w:rsidR="00000000" w:rsidRPr="00000000">
        <w:rPr>
          <w:rFonts w:ascii="Arial" w:cs="Arial" w:eastAsia="Arial" w:hAnsi="Arial"/>
          <w:color w:val="202122"/>
          <w:sz w:val="62"/>
          <w:szCs w:val="62"/>
          <w:rtl w:val="0"/>
        </w:rPr>
        <w:t xml:space="preserve">The Brand Steward — Cultivating Trust and Community</w:t>
      </w:r>
    </w:p>
    <w:p w:rsidR="00000000" w:rsidDel="00000000" w:rsidP="00000000" w:rsidRDefault="00000000" w:rsidRPr="00000000" w14:paraId="00000003">
      <w:pPr>
        <w:shd w:fill="ffffff" w:val="clear"/>
        <w:spacing w:after="280" w:before="140" w:line="352.8" w:lineRule="auto"/>
        <w:ind w:left="-140" w:firstLine="0"/>
        <w:rPr>
          <w:rFonts w:ascii="Arial" w:cs="Arial" w:eastAsia="Arial" w:hAnsi="Arial"/>
          <w:b w:val="1"/>
          <w:bCs w:val="1"/>
          <w:color w:val="202122"/>
          <w:sz w:val="62"/>
          <w:szCs w:val="6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62"/>
          <w:szCs w:val="62"/>
        </w:rPr>
        <w:drawing>
          <wp:inline distB="114300" distT="114300" distL="114300" distR="114300">
            <wp:extent cx="5435600" cy="3606800"/>
            <wp:effectExtent b="0" l="0" r="0" t="0"/>
            <wp:docPr descr="Virtues Of Successful Brand Stewardship ..." id="1" name="image1.png"/>
            <a:graphic>
              <a:graphicData uri="http://schemas.openxmlformats.org/drawingml/2006/picture">
                <pic:pic>
                  <pic:nvPicPr>
                    <pic:cNvPr descr="Virtues Of Successful Brand Stewardship ..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80" w:before="140" w:line="352.8" w:lineRule="auto"/>
        <w:ind w:left="-140" w:firstLine="0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In today’s social landscape, brand perception isn’t built in conference rooms — it’s built in comments, DMs, reviews, reposts, and Reddit threads. Your brand </w:t>
      </w:r>
      <w:r w:rsidDel="00000000" w:rsidR="00000000" w:rsidRPr="00000000">
        <w:rPr>
          <w:rFonts w:ascii="Arial" w:cs="Arial" w:eastAsia="Arial" w:hAnsi="Arial"/>
          <w:i w:val="1"/>
          <w:iCs w:val="1"/>
          <w:color w:val="202122"/>
          <w:sz w:val="29"/>
          <w:szCs w:val="29"/>
          <w:rtl w:val="0"/>
        </w:rPr>
        <w:t xml:space="preserve">lives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in the wild, and how you show up there — consistently, compassionately, and clearly — determines your influence.</w:t>
      </w:r>
    </w:p>
    <w:p w:rsidR="00000000" w:rsidDel="00000000" w:rsidP="00000000" w:rsidRDefault="00000000" w:rsidRPr="00000000" w14:paraId="00000005">
      <w:pPr>
        <w:shd w:fill="ffffff" w:val="clear"/>
        <w:spacing w:after="280" w:before="140" w:line="352.8" w:lineRule="auto"/>
        <w:ind w:left="-140" w:firstLine="0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Welcome to the role of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Brand Steward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— the strategic presence behind a brand’s voice, values, and virtual handshake.</w:t>
      </w:r>
    </w:p>
    <w:p w:rsidR="00000000" w:rsidDel="00000000" w:rsidP="00000000" w:rsidRDefault="00000000" w:rsidRPr="00000000" w14:paraId="00000006">
      <w:pPr>
        <w:shd w:fill="ffffff" w:val="clear"/>
        <w:spacing w:after="280" w:before="140" w:line="352.8" w:lineRule="auto"/>
        <w:ind w:left="-140" w:firstLine="0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This module is all about how brands build trust over time and maintain reputation in real-time. You’ll explore the difference between having a logo and having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living brand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— one that knows who it is, how to communicate, and how to navigate tough moments with grace. We’ll explore brand voice guides, community-building strategies, and crisis response plans.</w:t>
      </w:r>
    </w:p>
    <w:p w:rsidR="00000000" w:rsidDel="00000000" w:rsidP="00000000" w:rsidRDefault="00000000" w:rsidRPr="00000000" w14:paraId="00000007">
      <w:pPr>
        <w:shd w:fill="ffffff" w:val="clear"/>
        <w:spacing w:after="280" w:before="140" w:line="352.8" w:lineRule="auto"/>
        <w:ind w:left="-140" w:firstLine="0"/>
        <w:rPr>
          <w:rFonts w:ascii="Arial" w:cs="Arial" w:eastAsia="Arial" w:hAnsi="Arial"/>
          <w:b w:val="1"/>
          <w:bCs w:val="1"/>
          <w:color w:val="202122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You’ll also look at how brands </w:t>
      </w:r>
      <w:r w:rsidDel="00000000" w:rsidR="00000000" w:rsidRPr="00000000">
        <w:rPr>
          <w:rFonts w:ascii="Arial" w:cs="Arial" w:eastAsia="Arial" w:hAnsi="Arial"/>
          <w:i w:val="1"/>
          <w:iCs w:val="1"/>
          <w:color w:val="202122"/>
          <w:sz w:val="29"/>
          <w:szCs w:val="29"/>
          <w:rtl w:val="0"/>
        </w:rPr>
        <w:t xml:space="preserve">listen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— through social monitoring, reputation audits, and engagement analytics — to make sure they’re not just broadcasting, but truly connecting. Because in the age of transparency,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how a brand responds is just as important as what it says.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80" w:before="280" w:line="240" w:lineRule="auto"/>
        <w:ind w:left="-140" w:firstLine="0"/>
        <w:rPr>
          <w:rFonts w:ascii="Arial" w:cs="Arial" w:eastAsia="Arial" w:hAnsi="Arial"/>
          <w:b w:val="1"/>
          <w:bCs w:val="1"/>
          <w:color w:val="202122"/>
          <w:sz w:val="40"/>
          <w:szCs w:val="40"/>
        </w:rPr>
      </w:pPr>
      <w:bookmarkStart w:colFirst="0" w:colLast="0" w:name="_2kp5hxqsl7mp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40"/>
          <w:szCs w:val="40"/>
          <w:rtl w:val="0"/>
        </w:rPr>
        <w:t xml:space="preserve">What to Expect in Module 3: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80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Learn how to create a cohesive online brand identity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Explore how tone, responsiveness, and consistency shape perception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Analyze how brands handle online crises and customer complaints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Use social listening tools to track brand sentiment and reputation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before="0" w:beforeAutospacing="0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Develop a brand voice guide and community response plan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280" w:before="280" w:line="240" w:lineRule="auto"/>
        <w:ind w:left="-140" w:firstLine="0"/>
        <w:rPr>
          <w:rFonts w:ascii="Arial" w:cs="Arial" w:eastAsia="Arial" w:hAnsi="Arial"/>
          <w:b w:val="1"/>
          <w:bCs w:val="1"/>
          <w:color w:val="202122"/>
          <w:sz w:val="40"/>
          <w:szCs w:val="40"/>
        </w:rPr>
      </w:pPr>
      <w:bookmarkStart w:colFirst="0" w:colLast="0" w:name="_u88n842ewd2g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40"/>
          <w:szCs w:val="40"/>
          <w:rtl w:val="0"/>
        </w:rPr>
        <w:t xml:space="preserve">Key Topics: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80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Brand personality, tone, and digital presence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Community management strategies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Social listening and sentiment analysis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Online reviews and reputation management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Brand responses in public and private settings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80" w:before="0" w:beforeAutospacing="0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Crisis communication playbooks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="352.8" w:lineRule="auto"/>
        <w:ind w:left="-140" w:firstLine="0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300" w:before="300" w:lineRule="auto"/>
        <w:ind w:left="-140" w:firstLine="0"/>
        <w:jc w:val="center"/>
        <w:rPr>
          <w:rFonts w:ascii="Arial" w:cs="Arial" w:eastAsia="Arial" w:hAnsi="Arial"/>
          <w:color w:val="202122"/>
          <w:sz w:val="62"/>
          <w:szCs w:val="62"/>
        </w:rPr>
      </w:pPr>
      <w:bookmarkStart w:colFirst="0" w:colLast="0" w:name="_uusqq91e1rnx" w:id="3"/>
      <w:bookmarkEnd w:id="3"/>
      <w:r w:rsidDel="00000000" w:rsidR="00000000" w:rsidRPr="00000000">
        <w:rPr>
          <w:rFonts w:ascii="Arial" w:cs="Arial" w:eastAsia="Arial" w:hAnsi="Arial"/>
          <w:color w:val="202122"/>
          <w:sz w:val="62"/>
          <w:szCs w:val="62"/>
          <w:rtl w:val="0"/>
        </w:rPr>
        <w:t xml:space="preserve">Learning Outcome</w:t>
      </w:r>
    </w:p>
    <w:p w:rsidR="00000000" w:rsidDel="00000000" w:rsidP="00000000" w:rsidRDefault="00000000" w:rsidRPr="00000000" w14:paraId="00000017">
      <w:pPr>
        <w:shd w:fill="ffffff" w:val="clear"/>
        <w:spacing w:after="0" w:before="140" w:line="352.8" w:lineRule="auto"/>
        <w:ind w:left="-140" w:firstLine="0"/>
        <w:rPr>
          <w:rFonts w:ascii="Arial" w:cs="Arial" w:eastAsia="Arial" w:hAnsi="Arial"/>
          <w:b w:val="1"/>
          <w:bCs w:val="1"/>
          <w:color w:val="202122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CLO 3: Manage online brand presence and reputation.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Expand All  Collapse All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jc w:val="center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88.89 %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8 of 9 topics complete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80" w:lineRule="auto"/>
        <w:rPr>
          <w:rFonts w:ascii="Arial" w:cs="Arial" w:eastAsia="Arial" w:hAnsi="Arial"/>
          <w:color w:val="202122"/>
          <w:sz w:val="29"/>
          <w:szCs w:val="29"/>
        </w:rPr>
      </w:pPr>
      <w:bookmarkStart w:colFirst="0" w:colLast="0" w:name="_d0ndt074xrxn" w:id="4"/>
      <w:bookmarkEnd w:id="4"/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List of Topics and Sub-Modules for The Brand Steward — Cultivating Trust and Community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720" w:hanging="360"/>
      </w:pPr>
      <w:bookmarkStart w:colFirst="0" w:colLast="0" w:name="_o38n4xrqnxdb" w:id="5"/>
      <w:bookmarkEnd w:id="5"/>
      <w:r w:rsidDel="00000000" w:rsidR="00000000" w:rsidRPr="00000000">
        <w:rPr>
          <w:rFonts w:ascii="Arial" w:cs="Arial" w:eastAsia="Arial" w:hAnsi="Arial"/>
          <w:color w:val="202122"/>
          <w:sz w:val="41"/>
          <w:szCs w:val="41"/>
          <w:rtl w:val="0"/>
        </w:rPr>
        <w:t xml:space="preserve">Reputation in the Wild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580" w:hanging="360"/>
      </w:pPr>
      <w:bookmarkStart w:colFirst="0" w:colLast="0" w:name="_ljwrd9piylw4" w:id="6"/>
      <w:bookmarkEnd w:id="6"/>
      <w:r w:rsidDel="00000000" w:rsidR="00000000" w:rsidRPr="00000000">
        <w:rPr>
          <w:rFonts w:ascii="Arial" w:cs="Arial" w:eastAsia="Arial" w:hAnsi="Arial"/>
          <w:color w:val="202122"/>
          <w:sz w:val="106"/>
          <w:szCs w:val="106"/>
          <w:rtl w:val="0"/>
        </w:rPr>
        <w:t xml:space="preserve">Reputation in the Wild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106"/>
          <w:szCs w:val="106"/>
        </w:rPr>
        <w:drawing>
          <wp:inline distB="114300" distT="114300" distL="114300" distR="114300">
            <wp:extent cx="3517900" cy="3175000"/>
            <wp:effectExtent b="0" l="0" r="0" t="0"/>
            <wp:docPr descr="Reputation is everything hi-res stock photography and images ..." id="7" name="image7.png"/>
            <a:graphic>
              <a:graphicData uri="http://schemas.openxmlformats.org/drawingml/2006/picture">
                <pic:pic>
                  <pic:nvPicPr>
                    <pic:cNvPr descr="Reputation is everything hi-res stock photography and images ...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Every brand has a story. But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202122"/>
          <w:sz w:val="29"/>
          <w:szCs w:val="29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story? That’s the one customers are telling each other.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In this submodule, you’ll learn how a brand’s reputation is shaped not just by what it posts — but by how it listens, responds, and engages online. Whether it’s a cheeky tweet that goes viral or a poorly worded response to a customer complaint, digital moments create ripples. And the internet never forgets.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You’ll study how tone, consistency, and transparency contribute to long-term trust. We’ll look at what separates a brand with a loyal community from one with followers who are just waiting to be disappointed. You’ll also analyze how social proof — reviews, comments, testimonials — can make or break a brand’s credibility.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Reputation management in the digital age is part psychology, part PR, and part community care. You’ll practice reading the room, identifying red flags, and developing a brand voice that sounds like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202122"/>
          <w:sz w:val="29"/>
          <w:szCs w:val="29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, not a legal department.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80" w:hanging="360"/>
        <w:jc w:val="center"/>
      </w:pPr>
      <w:bookmarkStart w:colFirst="0" w:colLast="0" w:name="_qfk57rbwnrsw" w:id="7"/>
      <w:bookmarkEnd w:id="7"/>
      <w:r w:rsidDel="00000000" w:rsidR="00000000" w:rsidRPr="00000000">
        <w:rPr>
          <w:rFonts w:ascii="Arial" w:cs="Arial" w:eastAsia="Arial" w:hAnsi="Arial"/>
          <w:color w:val="202122"/>
          <w:sz w:val="62"/>
          <w:szCs w:val="62"/>
          <w:rtl w:val="0"/>
        </w:rPr>
        <w:t xml:space="preserve">Learning Objectives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1) Read The Brand Flip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2) Review Brand Voice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3) Read Measuring the effect of viral negative sentiment on market value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4) Watch Marketers don't know people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580" w:hanging="360"/>
      </w:pPr>
      <w:bookmarkStart w:colFirst="0" w:colLast="0" w:name="_sjuctxnwu1ae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40"/>
          <w:szCs w:val="40"/>
          <w:rtl w:val="0"/>
        </w:rPr>
        <w:t xml:space="preserve">5) Optional Activity: Brand Voice Breakdown (you do not turn this in; however, it helps prepare you for the Milestone and Final Assessment)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Objective:</w:t>
        <w:br w:type="textWrapping"/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Analyze a brand’s digital presence to understand how voice, tone, and responsiveness shape audience perception.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Instructions: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30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Choose a well-known brand that is active on social media.</w:t>
        <w:br w:type="textWrapping"/>
        <w:t xml:space="preserve">(Suggestions: Duolingo, Wendy’s, Glossier, Patagonia, Liquid Death, Spotify)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30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Analyze 3–5 recent social posts, replies to followers, or comment threads.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30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Then answer the following in a short write-up (or visual breakdown):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What personality or tone does the brand use? (Playful? Professional? Empowering?)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How consistent is the voice across channels?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How does the brand respond to praise? To criticism?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Would you describe the brand’s presence as authentic, performative, or something else? Why?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</w:pPr>
      <w:hyperlink r:id="rId7">
        <w:r w:rsidDel="00000000" w:rsidR="00000000" w:rsidRPr="00000000">
          <w:rPr>
            <w:rFonts w:ascii="Arial" w:cs="Arial" w:eastAsia="Arial" w:hAnsi="Arial"/>
            <w:color w:val="006fbf"/>
            <w:sz w:val="29"/>
            <w:szCs w:val="29"/>
            <w:rtl w:val="0"/>
          </w:rPr>
          <w:t xml:space="preserve">The Brand Flip by Marty Neumeier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494c4e"/>
          <w:sz w:val="29"/>
          <w:szCs w:val="29"/>
          <w:rtl w:val="0"/>
        </w:rPr>
        <w:t xml:space="preserve">Web Page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</w:rPr>
        <w:drawing>
          <wp:inline distB="114300" distT="114300" distL="114300" distR="114300">
            <wp:extent cx="635000" cy="635000"/>
            <wp:effectExtent b="0" l="0" r="0" t="0"/>
            <wp:docPr descr="Alternative formats" id="9" name="image9.png"/>
            <a:graphic>
              <a:graphicData uri="http://schemas.openxmlformats.org/drawingml/2006/picture">
                <pic:pic>
                  <pic:nvPicPr>
                    <pic:cNvPr descr="Alternative formats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</w:rPr>
        <w:drawing>
          <wp:inline distB="114300" distT="114300" distL="114300" distR="114300">
            <wp:extent cx="228600" cy="228600"/>
            <wp:effectExtent b="0" l="0" r="0" t="0"/>
            <wp:docPr descr="You have viewed this topic" id="4" name="image4.png"/>
            <a:graphic>
              <a:graphicData uri="http://schemas.openxmlformats.org/drawingml/2006/picture">
                <pic:pic>
                  <pic:nvPicPr>
                    <pic:cNvPr descr="You have viewed this topic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</w:pPr>
      <w:hyperlink r:id="rId8">
        <w:r w:rsidDel="00000000" w:rsidR="00000000" w:rsidRPr="00000000">
          <w:rPr>
            <w:rFonts w:ascii="Arial" w:cs="Arial" w:eastAsia="Arial" w:hAnsi="Arial"/>
            <w:color w:val="006fbf"/>
            <w:sz w:val="29"/>
            <w:szCs w:val="29"/>
            <w:rtl w:val="0"/>
          </w:rPr>
          <w:t xml:space="preserve">Brand voice: What it is and why it matters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494c4e"/>
          <w:sz w:val="29"/>
          <w:szCs w:val="29"/>
          <w:rtl w:val="0"/>
        </w:rPr>
        <w:t xml:space="preserve">Link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</w:rPr>
        <w:drawing>
          <wp:inline distB="114300" distT="114300" distL="114300" distR="114300">
            <wp:extent cx="228600" cy="228600"/>
            <wp:effectExtent b="0" l="0" r="0" t="0"/>
            <wp:docPr descr="You have viewed this topic" id="5" name="image5.png"/>
            <a:graphic>
              <a:graphicData uri="http://schemas.openxmlformats.org/drawingml/2006/picture">
                <pic:pic>
                  <pic:nvPicPr>
                    <pic:cNvPr descr="You have viewed this topic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</w:pPr>
      <w:hyperlink r:id="rId9">
        <w:r w:rsidDel="00000000" w:rsidR="00000000" w:rsidRPr="00000000">
          <w:rPr>
            <w:rFonts w:ascii="Arial" w:cs="Arial" w:eastAsia="Arial" w:hAnsi="Arial"/>
            <w:color w:val="006fbf"/>
            <w:sz w:val="29"/>
            <w:szCs w:val="29"/>
            <w:rtl w:val="0"/>
          </w:rPr>
          <w:t xml:space="preserve">Measuring the effect of Viral Negative Sentiment on Market Value: Case Study on United Airlines Crisis 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494c4e"/>
          <w:sz w:val="29"/>
          <w:szCs w:val="29"/>
          <w:rtl w:val="0"/>
        </w:rPr>
        <w:t xml:space="preserve">PDF document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</w:rPr>
        <w:drawing>
          <wp:inline distB="114300" distT="114300" distL="114300" distR="114300">
            <wp:extent cx="635000" cy="635000"/>
            <wp:effectExtent b="0" l="0" r="0" t="0"/>
            <wp:docPr descr="Alternative formats" id="3" name="image3.png"/>
            <a:graphic>
              <a:graphicData uri="http://schemas.openxmlformats.org/drawingml/2006/picture">
                <pic:pic>
                  <pic:nvPicPr>
                    <pic:cNvPr descr="Alternative formats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</w:rPr>
        <w:drawing>
          <wp:inline distB="114300" distT="114300" distL="114300" distR="114300">
            <wp:extent cx="228600" cy="228600"/>
            <wp:effectExtent b="0" l="0" r="0" t="0"/>
            <wp:docPr descr="You have viewed this topic" id="8" name="image8.png"/>
            <a:graphic>
              <a:graphicData uri="http://schemas.openxmlformats.org/drawingml/2006/picture">
                <pic:pic>
                  <pic:nvPicPr>
                    <pic:cNvPr descr="You have viewed this topic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</w:pPr>
      <w:hyperlink r:id="rId10">
        <w:r w:rsidDel="00000000" w:rsidR="00000000" w:rsidRPr="00000000">
          <w:rPr>
            <w:rFonts w:ascii="Arial" w:cs="Arial" w:eastAsia="Arial" w:hAnsi="Arial"/>
            <w:color w:val="006fbf"/>
            <w:sz w:val="29"/>
            <w:szCs w:val="29"/>
            <w:rtl w:val="0"/>
          </w:rPr>
          <w:t xml:space="preserve">Marketers don't know people | Marcus Collins | TEDxLSSU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494c4e"/>
          <w:sz w:val="29"/>
          <w:szCs w:val="29"/>
          <w:rtl w:val="0"/>
        </w:rPr>
        <w:t xml:space="preserve">Video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</w:rPr>
        <w:drawing>
          <wp:inline distB="114300" distT="114300" distL="114300" distR="114300">
            <wp:extent cx="228600" cy="228600"/>
            <wp:effectExtent b="0" l="0" r="0" t="0"/>
            <wp:docPr descr="You have viewed this topic" id="10" name="image10.png"/>
            <a:graphic>
              <a:graphicData uri="http://schemas.openxmlformats.org/drawingml/2006/picture">
                <pic:pic>
                  <pic:nvPicPr>
                    <pic:cNvPr descr="You have viewed this topic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720" w:hanging="360"/>
      </w:pPr>
      <w:bookmarkStart w:colFirst="0" w:colLast="0" w:name="_yaxbc4jwikmb" w:id="9"/>
      <w:bookmarkEnd w:id="9"/>
      <w:r w:rsidDel="00000000" w:rsidR="00000000" w:rsidRPr="00000000">
        <w:rPr>
          <w:rFonts w:ascii="Arial" w:cs="Arial" w:eastAsia="Arial" w:hAnsi="Arial"/>
          <w:color w:val="202122"/>
          <w:sz w:val="41"/>
          <w:szCs w:val="41"/>
          <w:rtl w:val="0"/>
        </w:rPr>
        <w:t xml:space="preserve">Community Management &amp; Crisis Navigation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80" w:hanging="360"/>
        <w:jc w:val="center"/>
      </w:pPr>
      <w:bookmarkStart w:colFirst="0" w:colLast="0" w:name="_bnvwll5x6bht" w:id="10"/>
      <w:bookmarkEnd w:id="10"/>
      <w:r w:rsidDel="00000000" w:rsidR="00000000" w:rsidRPr="00000000">
        <w:rPr>
          <w:rFonts w:ascii="Arial" w:cs="Arial" w:eastAsia="Arial" w:hAnsi="Arial"/>
          <w:color w:val="202122"/>
          <w:sz w:val="62"/>
          <w:szCs w:val="62"/>
          <w:rtl w:val="0"/>
        </w:rPr>
        <w:t xml:space="preserve">Community Management &amp; Crisis Navigation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62"/>
          <w:szCs w:val="62"/>
        </w:rPr>
        <w:drawing>
          <wp:inline distB="114300" distT="114300" distL="114300" distR="114300">
            <wp:extent cx="3530600" cy="2349500"/>
            <wp:effectExtent b="0" l="0" r="0" t="0"/>
            <wp:docPr descr="11 Best Community Management Courses" id="12" name="image12.png"/>
            <a:graphic>
              <a:graphicData uri="http://schemas.openxmlformats.org/drawingml/2006/picture">
                <pic:pic>
                  <pic:nvPicPr>
                    <pic:cNvPr descr="11 Best Community Management Courses"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The internet has given brands unprecedented access to their audiences — but with that access comes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vulnerability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. Brands are no longer just content creators. They’re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community managers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, mediators, emotional responders, and reputation repairers.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In this submodule, students will learn how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foster healthy online communities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through intentional, authentic interaction — and how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prepare for and respond to digital crises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with clarity and care.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A single public response (or lack thereof) can go viral — for better or worse. This section equips students with the tools to: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30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Develop brand-aligned response systems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30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Create a playbook for tough conversations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30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Turn mistakes into moments of restoration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Students will also explore what it means to lead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, to build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resilient digital relationships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, and to stay anchored in a brand’s voice and values — even when the heat is on.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80" w:hanging="360"/>
        <w:jc w:val="center"/>
      </w:pPr>
      <w:bookmarkStart w:colFirst="0" w:colLast="0" w:name="_8ywy79juud4u" w:id="11"/>
      <w:bookmarkEnd w:id="11"/>
      <w:r w:rsidDel="00000000" w:rsidR="00000000" w:rsidRPr="00000000">
        <w:rPr>
          <w:rFonts w:ascii="Arial" w:cs="Arial" w:eastAsia="Arial" w:hAnsi="Arial"/>
          <w:color w:val="202122"/>
          <w:sz w:val="62"/>
          <w:szCs w:val="62"/>
          <w:rtl w:val="0"/>
        </w:rPr>
        <w:t xml:space="preserve">Learning Objectives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1) Review Social media customer service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2) Watch Why you should run a social media crisis simulation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3) Watch Negative comments and how to deal with them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4) Watch What personal branding is not and what it should be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Optional Activity: Response Scenario Lab (you do not turn this in; however, it helps prepare you for the Milestone and Final Assessment)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Objective:</w:t>
        <w:br w:type="textWrapping"/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Practice responding to a simulated digital crisis, using brand voice, emotional intelligence, and crisis response best practices.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52.8" w:lineRule="auto"/>
        <w:ind w:left="5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Instructions: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30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Choose one of the following fictional scenarios (or invent your own):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A negative customer review goes viral on TikTok.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A social post is unintentionally offensive and receives backlash.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A product delay frustrates pre-order customers.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A miscommunication on social DMs is screenshot and posted publicly.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30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9"/>
          <w:szCs w:val="29"/>
          <w:rtl w:val="0"/>
        </w:rPr>
        <w:t xml:space="preserve">two short brand responses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One public-facing response (comment, tweet, or post caption)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One internal message (email to team or talking points for moderators)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30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Then answer (briefly):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What tone did you use, and why?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How did you balance accountability and brand protection?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0" w:afterAutospacing="0" w:before="0" w:beforeAutospacing="0" w:lineRule="auto"/>
        <w:ind w:left="202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What’s your next step after the response?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</w:pPr>
      <w:hyperlink r:id="rId11">
        <w:r w:rsidDel="00000000" w:rsidR="00000000" w:rsidRPr="00000000">
          <w:rPr>
            <w:rFonts w:ascii="Arial" w:cs="Arial" w:eastAsia="Arial" w:hAnsi="Arial"/>
            <w:color w:val="006fbf"/>
            <w:sz w:val="29"/>
            <w:szCs w:val="29"/>
            <w:rtl w:val="0"/>
          </w:rPr>
          <w:t xml:space="preserve">Social media customer service: What it is and how to improve 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494c4e"/>
          <w:sz w:val="29"/>
          <w:szCs w:val="29"/>
          <w:rtl w:val="0"/>
        </w:rPr>
        <w:t xml:space="preserve">Link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</w:rPr>
        <w:drawing>
          <wp:inline distB="114300" distT="114300" distL="114300" distR="114300">
            <wp:extent cx="228600" cy="228600"/>
            <wp:effectExtent b="0" l="0" r="0" t="0"/>
            <wp:docPr descr="You have viewed this topic" id="2" name="image2.png"/>
            <a:graphic>
              <a:graphicData uri="http://schemas.openxmlformats.org/drawingml/2006/picture">
                <pic:pic>
                  <pic:nvPicPr>
                    <pic:cNvPr descr="You have viewed this topic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</w:pPr>
      <w:hyperlink r:id="rId12">
        <w:r w:rsidDel="00000000" w:rsidR="00000000" w:rsidRPr="00000000">
          <w:rPr>
            <w:rFonts w:ascii="Arial" w:cs="Arial" w:eastAsia="Arial" w:hAnsi="Arial"/>
            <w:color w:val="006fbf"/>
            <w:sz w:val="29"/>
            <w:szCs w:val="29"/>
            <w:rtl w:val="0"/>
          </w:rPr>
          <w:t xml:space="preserve">Why you should run a social media crisis simulation: crisis management insights from Insignia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494c4e"/>
          <w:sz w:val="29"/>
          <w:szCs w:val="29"/>
          <w:rtl w:val="0"/>
        </w:rPr>
        <w:t xml:space="preserve">Video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</w:rPr>
        <w:drawing>
          <wp:inline distB="114300" distT="114300" distL="114300" distR="114300">
            <wp:extent cx="228600" cy="228600"/>
            <wp:effectExtent b="0" l="0" r="0" t="0"/>
            <wp:docPr descr="You have viewed this topic" id="11" name="image11.png"/>
            <a:graphic>
              <a:graphicData uri="http://schemas.openxmlformats.org/drawingml/2006/picture">
                <pic:pic>
                  <pic:nvPicPr>
                    <pic:cNvPr descr="You have viewed this topic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</w:pPr>
      <w:hyperlink r:id="rId13">
        <w:r w:rsidDel="00000000" w:rsidR="00000000" w:rsidRPr="00000000">
          <w:rPr>
            <w:rFonts w:ascii="Arial" w:cs="Arial" w:eastAsia="Arial" w:hAnsi="Arial"/>
            <w:color w:val="006fbf"/>
            <w:sz w:val="29"/>
            <w:szCs w:val="29"/>
            <w:rtl w:val="0"/>
          </w:rPr>
          <w:t xml:space="preserve">Negative Comments &amp; How to Deal with Them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494c4e"/>
          <w:sz w:val="29"/>
          <w:szCs w:val="29"/>
          <w:rtl w:val="0"/>
        </w:rPr>
        <w:t xml:space="preserve">Video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</w:rPr>
        <w:drawing>
          <wp:inline distB="114300" distT="114300" distL="114300" distR="114300">
            <wp:extent cx="228600" cy="228600"/>
            <wp:effectExtent b="0" l="0" r="0" t="0"/>
            <wp:docPr descr="You have viewed this topic" id="6" name="image6.png"/>
            <a:graphic>
              <a:graphicData uri="http://schemas.openxmlformats.org/drawingml/2006/picture">
                <pic:pic>
                  <pic:nvPicPr>
                    <pic:cNvPr descr="You have viewed this topic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</w:pPr>
      <w:hyperlink r:id="rId14">
        <w:r w:rsidDel="00000000" w:rsidR="00000000" w:rsidRPr="00000000">
          <w:rPr>
            <w:rFonts w:ascii="Arial" w:cs="Arial" w:eastAsia="Arial" w:hAnsi="Arial"/>
            <w:color w:val="006fbf"/>
            <w:sz w:val="29"/>
            <w:szCs w:val="29"/>
            <w:rtl w:val="0"/>
          </w:rPr>
          <w:t xml:space="preserve">What Personal Branding Is Not and What It Should Be | Caryn Foster Durham | TEDxYouth@RVA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494c4e"/>
          <w:sz w:val="29"/>
          <w:szCs w:val="29"/>
          <w:rtl w:val="0"/>
        </w:rPr>
        <w:t xml:space="preserve">Video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pBdr>
          <w:top w:color="cdd5dc" w:space="0" w:sz="6" w:val="singl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5" w:type="first"/>
      <w:footerReference r:id="rId16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122"/>
        <w:sz w:val="29"/>
        <w:szCs w:val="29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122"/>
        <w:sz w:val="29"/>
        <w:szCs w:val="29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122"/>
        <w:sz w:val="29"/>
        <w:szCs w:val="29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122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122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40" w:before="240"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urses.maine.edu/d2l/le/content/475109/viewContent/12117313/View" TargetMode="External"/><Relationship Id="rId10" Type="http://schemas.openxmlformats.org/officeDocument/2006/relationships/hyperlink" Target="https://courses.maine.edu/d2l/le/content/475109/viewContent/12117312/View" TargetMode="External"/><Relationship Id="rId13" Type="http://schemas.openxmlformats.org/officeDocument/2006/relationships/hyperlink" Target="https://courses.maine.edu/d2l/le/content/475109/viewContent/12117315/View" TargetMode="External"/><Relationship Id="rId12" Type="http://schemas.openxmlformats.org/officeDocument/2006/relationships/hyperlink" Target="https://courses.maine.edu/d2l/le/content/475109/viewContent/12117314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urses.maine.edu/d2l/le/content/475109/viewContent/12117311/View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courses.maine.edu/d2l/le/content/475109/viewContent/12117316/View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urses.maine.edu/d2l/le/content/475109/viewContent/12117309/View" TargetMode="External"/><Relationship Id="rId8" Type="http://schemas.openxmlformats.org/officeDocument/2006/relationships/hyperlink" Target="https://courses.maine.edu/d2l/le/content/475109/viewContent/12117310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