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155cc"/>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https://www.sciencedirect.com/science/article/pii/S0167610523000521?via%3Dihub</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K.C.S. Kwok, Gang Hu, Wind energy system for buildings in an urban environment, Journal of Wind Engineering and Industrial Aerodynamics, Volume 234, 2023, 105349, ISSN 0167-6105,</w:t>
      </w:r>
    </w:p>
    <w:p w:rsidR="00000000" w:rsidDel="00000000" w:rsidP="00000000" w:rsidRDefault="00000000" w:rsidRPr="00000000" w14:paraId="00000004">
      <w:pPr>
        <w:rPr>
          <w:rFonts w:ascii="Times New Roman" w:cs="Times New Roman" w:eastAsia="Times New Roman" w:hAnsi="Times New Roman"/>
          <w:color w:val="1155cc"/>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https://doi.org/10.1016/j.jweia.2023.105349</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Notes: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This article presents a perspective of wind energy exploration based on building and urban aerodynamics. In particular, this article presents a review of: </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developments of wind energy systems in the built environments, </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factors affecting urban wind flow and resulting consequences, </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of recent designs of urban/building-based wind energy systems, including building integrated vertical axis </w:t>
      </w:r>
      <w:hyperlink r:id="rId8">
        <w:r w:rsidDel="00000000" w:rsidR="00000000" w:rsidRPr="00000000">
          <w:rPr>
            <w:rFonts w:ascii="Times New Roman" w:cs="Times New Roman" w:eastAsia="Times New Roman" w:hAnsi="Times New Roman"/>
            <w:sz w:val="24"/>
            <w:szCs w:val="24"/>
            <w:u w:val="single"/>
            <w:rtl w:val="0"/>
          </w:rPr>
          <w:t xml:space="preserve">wind turbine</w:t>
        </w:r>
      </w:hyperlink>
      <w:r w:rsidDel="00000000" w:rsidR="00000000" w:rsidRPr="00000000">
        <w:rPr>
          <w:rFonts w:ascii="Times New Roman" w:cs="Times New Roman" w:eastAsia="Times New Roman" w:hAnsi="Times New Roman"/>
          <w:sz w:val="24"/>
          <w:szCs w:val="24"/>
          <w:rtl w:val="0"/>
        </w:rPr>
        <w:t xml:space="preserve">, power window, wind-induced vibration-based wind energy </w:t>
      </w:r>
      <w:hyperlink r:id="rId9">
        <w:r w:rsidDel="00000000" w:rsidR="00000000" w:rsidRPr="00000000">
          <w:rPr>
            <w:rFonts w:ascii="Times New Roman" w:cs="Times New Roman" w:eastAsia="Times New Roman" w:hAnsi="Times New Roman"/>
            <w:sz w:val="24"/>
            <w:szCs w:val="24"/>
            <w:u w:val="single"/>
            <w:rtl w:val="0"/>
          </w:rPr>
          <w:t xml:space="preserve">harvesters</w:t>
        </w:r>
      </w:hyperlink>
      <w:r w:rsidDel="00000000" w:rsidR="00000000" w:rsidRPr="00000000">
        <w:rPr>
          <w:rFonts w:ascii="Times New Roman" w:cs="Times New Roman" w:eastAsia="Times New Roman" w:hAnsi="Times New Roman"/>
          <w:sz w:val="24"/>
          <w:szCs w:val="24"/>
          <w:rtl w:val="0"/>
        </w:rPr>
        <w:t xml:space="preserve">, double skin and other innovative </w:t>
      </w:r>
      <w:hyperlink r:id="rId10">
        <w:r w:rsidDel="00000000" w:rsidR="00000000" w:rsidRPr="00000000">
          <w:rPr>
            <w:rFonts w:ascii="Times New Roman" w:cs="Times New Roman" w:eastAsia="Times New Roman" w:hAnsi="Times New Roman"/>
            <w:sz w:val="24"/>
            <w:szCs w:val="24"/>
            <w:u w:val="single"/>
            <w:rtl w:val="0"/>
          </w:rPr>
          <w:t xml:space="preserve">building façade</w:t>
        </w:r>
      </w:hyperlink>
      <w:r w:rsidDel="00000000" w:rsidR="00000000" w:rsidRPr="00000000">
        <w:rPr>
          <w:rFonts w:ascii="Times New Roman" w:cs="Times New Roman" w:eastAsia="Times New Roman" w:hAnsi="Times New Roman"/>
          <w:sz w:val="24"/>
          <w:szCs w:val="24"/>
          <w:rtl w:val="0"/>
        </w:rPr>
        <w:t xml:space="preserve"> systems, and wind source exploration”  &lt;- Direct quote from Abstract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1f1f1f"/>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Georgia" w:cs="Georgia" w:eastAsia="Georgia" w:hAnsi="Georgia"/>
          <w:color w:val="1f1f1f"/>
          <w:sz w:val="24"/>
          <w:szCs w:val="24"/>
          <w:rtl w:val="0"/>
        </w:rPr>
        <w:t xml:space="preserve">short separations between buildings can substantially impact </w:t>
      </w:r>
      <w:hyperlink r:id="rId11">
        <w:r w:rsidDel="00000000" w:rsidR="00000000" w:rsidRPr="00000000">
          <w:rPr>
            <w:rFonts w:ascii="Georgia" w:cs="Georgia" w:eastAsia="Georgia" w:hAnsi="Georgia"/>
            <w:color w:val="1f1f1f"/>
            <w:sz w:val="24"/>
            <w:szCs w:val="24"/>
            <w:u w:val="single"/>
            <w:rtl w:val="0"/>
          </w:rPr>
          <w:t xml:space="preserve">wind speed</w:t>
        </w:r>
      </w:hyperlink>
      <w:r w:rsidDel="00000000" w:rsidR="00000000" w:rsidRPr="00000000">
        <w:rPr>
          <w:rFonts w:ascii="Georgia" w:cs="Georgia" w:eastAsia="Georgia" w:hAnsi="Georgia"/>
          <w:color w:val="1f1f1f"/>
          <w:sz w:val="24"/>
          <w:szCs w:val="24"/>
          <w:rtl w:val="0"/>
        </w:rPr>
        <w:t xml:space="preserve"> and the </w:t>
      </w:r>
      <w:hyperlink r:id="rId12">
        <w:r w:rsidDel="00000000" w:rsidR="00000000" w:rsidRPr="00000000">
          <w:rPr>
            <w:rFonts w:ascii="Georgia" w:cs="Georgia" w:eastAsia="Georgia" w:hAnsi="Georgia"/>
            <w:color w:val="1f1f1f"/>
            <w:sz w:val="24"/>
            <w:szCs w:val="24"/>
            <w:u w:val="single"/>
            <w:rtl w:val="0"/>
          </w:rPr>
          <w:t xml:space="preserve">wind energy potential</w:t>
        </w:r>
      </w:hyperlink>
      <w:r w:rsidDel="00000000" w:rsidR="00000000" w:rsidRPr="00000000">
        <w:rPr>
          <w:rFonts w:ascii="Georgia" w:cs="Georgia" w:eastAsia="Georgia" w:hAnsi="Georgia"/>
          <w:color w:val="1f1f1f"/>
          <w:sz w:val="24"/>
          <w:szCs w:val="24"/>
          <w:rtl w:val="0"/>
        </w:rPr>
        <w:t xml:space="preserve"> in high-rise buildings due to the concentration effect”</w:t>
      </w:r>
    </w:p>
    <w:p w:rsidR="00000000" w:rsidDel="00000000" w:rsidP="00000000" w:rsidRDefault="00000000" w:rsidRPr="00000000" w14:paraId="0000000F">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 Atmospheric boundary layer observation and GIS (Geographic Information System) mapping have been shown to provide sufficient accuracy in assessing the wind energy potential for wind energy systems in urban environments (</w:t>
      </w:r>
      <w:hyperlink r:id="rId13">
        <w:r w:rsidDel="00000000" w:rsidR="00000000" w:rsidRPr="00000000">
          <w:rPr>
            <w:rFonts w:ascii="Georgia" w:cs="Georgia" w:eastAsia="Georgia" w:hAnsi="Georgia"/>
            <w:color w:val="0272b1"/>
            <w:sz w:val="24"/>
            <w:szCs w:val="24"/>
            <w:rtl w:val="0"/>
          </w:rPr>
          <w:t xml:space="preserve">Simōes and Estanqueiro, 2016</w:t>
        </w:r>
      </w:hyperlink>
      <w:r w:rsidDel="00000000" w:rsidR="00000000" w:rsidRPr="00000000">
        <w:rPr>
          <w:rFonts w:ascii="Georgia" w:cs="Georgia" w:eastAsia="Georgia" w:hAnsi="Georgia"/>
          <w:color w:val="1f1f1f"/>
          <w:sz w:val="24"/>
          <w:szCs w:val="24"/>
          <w:rtl w:val="0"/>
        </w:rPr>
        <w:t xml:space="preserve">, </w:t>
      </w:r>
      <w:hyperlink r:id="rId14">
        <w:r w:rsidDel="00000000" w:rsidR="00000000" w:rsidRPr="00000000">
          <w:rPr>
            <w:rFonts w:ascii="Georgia" w:cs="Georgia" w:eastAsia="Georgia" w:hAnsi="Georgia"/>
            <w:color w:val="0272b1"/>
            <w:sz w:val="24"/>
            <w:szCs w:val="24"/>
            <w:rtl w:val="0"/>
          </w:rPr>
          <w:t xml:space="preserve">Liu et al., 2022a</w:t>
        </w:r>
      </w:hyperlink>
      <w:r w:rsidDel="00000000" w:rsidR="00000000" w:rsidRPr="00000000">
        <w:rPr>
          <w:rFonts w:ascii="Georgia" w:cs="Georgia" w:eastAsia="Georgia" w:hAnsi="Georgia"/>
          <w:color w:val="1f1f1f"/>
          <w:sz w:val="24"/>
          <w:szCs w:val="24"/>
          <w:rtl w:val="0"/>
        </w:rPr>
        <w:t xml:space="preserve">, </w:t>
      </w:r>
      <w:hyperlink r:id="rId15">
        <w:r w:rsidDel="00000000" w:rsidR="00000000" w:rsidRPr="00000000">
          <w:rPr>
            <w:rFonts w:ascii="Georgia" w:cs="Georgia" w:eastAsia="Georgia" w:hAnsi="Georgia"/>
            <w:color w:val="0272b1"/>
            <w:sz w:val="24"/>
            <w:szCs w:val="24"/>
            <w:rtl w:val="0"/>
          </w:rPr>
          <w:t xml:space="preserve">Liu et al., 2022b</w:t>
        </w:r>
      </w:hyperlink>
      <w:r w:rsidDel="00000000" w:rsidR="00000000" w:rsidRPr="00000000">
        <w:rPr>
          <w:rFonts w:ascii="Georgia" w:cs="Georgia" w:eastAsia="Georgia" w:hAnsi="Georgia"/>
          <w:color w:val="1f1f1f"/>
          <w:sz w:val="24"/>
          <w:szCs w:val="24"/>
          <w:rtl w:val="0"/>
        </w:rPr>
        <w:t xml:space="preserve">).”</w:t>
      </w:r>
    </w:p>
    <w:p w:rsidR="00000000" w:rsidDel="00000000" w:rsidP="00000000" w:rsidRDefault="00000000" w:rsidRPr="00000000" w14:paraId="00000011">
      <w:pPr>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2">
      <w:pPr>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“Although investing in a building-integrated wind turbine that does not yield profit within its lifespan is not economically viable for private investors, there are often government incentives that help make desirable energy projects more affordable”</w:t>
      </w:r>
    </w:p>
    <w:p w:rsidR="00000000" w:rsidDel="00000000" w:rsidP="00000000" w:rsidRDefault="00000000" w:rsidRPr="00000000" w14:paraId="00000013">
      <w:pPr>
        <w:ind w:firstLine="72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—&gt; Maybe part of our pitch could include using government credits to reduce cost</w:t>
      </w:r>
    </w:p>
    <w:p w:rsidR="00000000" w:rsidDel="00000000" w:rsidP="00000000" w:rsidRDefault="00000000" w:rsidRPr="00000000" w14:paraId="00000014">
      <w:pPr>
        <w:ind w:firstLine="720"/>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5">
      <w:pPr>
        <w:ind w:left="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w:t>
      </w:r>
      <w:hyperlink r:id="rId16">
        <w:r w:rsidDel="00000000" w:rsidR="00000000" w:rsidRPr="00000000">
          <w:rPr>
            <w:rFonts w:ascii="Georgia" w:cs="Georgia" w:eastAsia="Georgia" w:hAnsi="Georgia"/>
            <w:color w:val="1f1f1f"/>
            <w:sz w:val="24"/>
            <w:szCs w:val="24"/>
            <w:u w:val="single"/>
            <w:rtl w:val="0"/>
          </w:rPr>
          <w:t xml:space="preserve">Wind energy</w:t>
        </w:r>
      </w:hyperlink>
      <w:r w:rsidDel="00000000" w:rsidR="00000000" w:rsidRPr="00000000">
        <w:rPr>
          <w:rFonts w:ascii="Georgia" w:cs="Georgia" w:eastAsia="Georgia" w:hAnsi="Georgia"/>
          <w:color w:val="1f1f1f"/>
          <w:sz w:val="24"/>
          <w:szCs w:val="24"/>
          <w:rtl w:val="0"/>
        </w:rPr>
        <w:t xml:space="preserve"> systems adopted for urban areas comprise of both conventional wind turbines and radial turbines/generators, such as hybrid Savonius–Darrieus rotors, </w:t>
      </w:r>
      <w:hyperlink r:id="rId17">
        <w:r w:rsidDel="00000000" w:rsidR="00000000" w:rsidRPr="00000000">
          <w:rPr>
            <w:rFonts w:ascii="Georgia" w:cs="Georgia" w:eastAsia="Georgia" w:hAnsi="Georgia"/>
            <w:color w:val="1f1f1f"/>
            <w:sz w:val="24"/>
            <w:szCs w:val="24"/>
            <w:u w:val="single"/>
            <w:rtl w:val="0"/>
          </w:rPr>
          <w:t xml:space="preserve">piezoelectric</w:t>
        </w:r>
      </w:hyperlink>
      <w:r w:rsidDel="00000000" w:rsidR="00000000" w:rsidRPr="00000000">
        <w:rPr>
          <w:rFonts w:ascii="Georgia" w:cs="Georgia" w:eastAsia="Georgia" w:hAnsi="Georgia"/>
          <w:color w:val="1f1f1f"/>
          <w:sz w:val="24"/>
          <w:szCs w:val="24"/>
          <w:rtl w:val="0"/>
        </w:rPr>
        <w:t xml:space="preserve"> generators, flag-type </w:t>
      </w:r>
      <w:hyperlink r:id="rId18">
        <w:r w:rsidDel="00000000" w:rsidR="00000000" w:rsidRPr="00000000">
          <w:rPr>
            <w:rFonts w:ascii="Georgia" w:cs="Georgia" w:eastAsia="Georgia" w:hAnsi="Georgia"/>
            <w:color w:val="1f1f1f"/>
            <w:sz w:val="24"/>
            <w:szCs w:val="24"/>
            <w:u w:val="single"/>
            <w:rtl w:val="0"/>
          </w:rPr>
          <w:t xml:space="preserve">triboelectric nanogenerators</w:t>
        </w:r>
      </w:hyperlink>
      <w:r w:rsidDel="00000000" w:rsidR="00000000" w:rsidRPr="00000000">
        <w:rPr>
          <w:rFonts w:ascii="Georgia" w:cs="Georgia" w:eastAsia="Georgia" w:hAnsi="Georgia"/>
          <w:color w:val="1f1f1f"/>
          <w:sz w:val="24"/>
          <w:szCs w:val="24"/>
          <w:rtl w:val="0"/>
        </w:rPr>
        <w:t xml:space="preserve">, power windows, blade-less turbines, and solid-state wind energy (</w:t>
      </w:r>
      <w:hyperlink r:id="rId19">
        <w:r w:rsidDel="00000000" w:rsidR="00000000" w:rsidRPr="00000000">
          <w:rPr>
            <w:rFonts w:ascii="Georgia" w:cs="Georgia" w:eastAsia="Georgia" w:hAnsi="Georgia"/>
            <w:color w:val="0272b1"/>
            <w:sz w:val="24"/>
            <w:szCs w:val="24"/>
            <w:rtl w:val="0"/>
          </w:rPr>
          <w:t xml:space="preserve">Bagheri et al., 2019</w:t>
        </w:r>
      </w:hyperlink>
      <w:r w:rsidDel="00000000" w:rsidR="00000000" w:rsidRPr="00000000">
        <w:rPr>
          <w:rFonts w:ascii="Georgia" w:cs="Georgia" w:eastAsia="Georgia" w:hAnsi="Georgia"/>
          <w:color w:val="1f1f1f"/>
          <w:sz w:val="24"/>
          <w:szCs w:val="24"/>
          <w:rtl w:val="0"/>
        </w:rPr>
        <w:t xml:space="preserve">, </w:t>
      </w:r>
      <w:hyperlink r:id="rId20">
        <w:r w:rsidDel="00000000" w:rsidR="00000000" w:rsidRPr="00000000">
          <w:rPr>
            <w:rFonts w:ascii="Georgia" w:cs="Georgia" w:eastAsia="Georgia" w:hAnsi="Georgia"/>
            <w:color w:val="0272b1"/>
            <w:sz w:val="24"/>
            <w:szCs w:val="24"/>
            <w:rtl w:val="0"/>
          </w:rPr>
          <w:t xml:space="preserve">Grönman et al., 2019</w:t>
        </w:r>
      </w:hyperlink>
      <w:r w:rsidDel="00000000" w:rsidR="00000000" w:rsidRPr="00000000">
        <w:rPr>
          <w:rFonts w:ascii="Georgia" w:cs="Georgia" w:eastAsia="Georgia" w:hAnsi="Georgia"/>
          <w:color w:val="1f1f1f"/>
          <w:sz w:val="24"/>
          <w:szCs w:val="24"/>
          <w:rtl w:val="0"/>
        </w:rPr>
        <w:t xml:space="preserve">, </w:t>
      </w:r>
      <w:hyperlink r:id="rId21">
        <w:r w:rsidDel="00000000" w:rsidR="00000000" w:rsidRPr="00000000">
          <w:rPr>
            <w:rFonts w:ascii="Georgia" w:cs="Georgia" w:eastAsia="Georgia" w:hAnsi="Georgia"/>
            <w:color w:val="0272b1"/>
            <w:sz w:val="24"/>
            <w:szCs w:val="24"/>
            <w:rtl w:val="0"/>
          </w:rPr>
          <w:t xml:space="preserve">Epstein, 2019</w:t>
        </w:r>
      </w:hyperlink>
      <w:r w:rsidDel="00000000" w:rsidR="00000000" w:rsidRPr="00000000">
        <w:rPr>
          <w:rFonts w:ascii="Georgia" w:cs="Georgia" w:eastAsia="Georgia" w:hAnsi="Georgia"/>
          <w:color w:val="1f1f1f"/>
          <w:sz w:val="24"/>
          <w:szCs w:val="24"/>
          <w:rtl w:val="0"/>
        </w:rPr>
        <w:t xml:space="preserve">, </w:t>
      </w:r>
      <w:hyperlink r:id="rId22">
        <w:r w:rsidDel="00000000" w:rsidR="00000000" w:rsidRPr="00000000">
          <w:rPr>
            <w:rFonts w:ascii="Georgia" w:cs="Georgia" w:eastAsia="Georgia" w:hAnsi="Georgia"/>
            <w:color w:val="0272b1"/>
            <w:sz w:val="24"/>
            <w:szCs w:val="24"/>
            <w:rtl w:val="0"/>
          </w:rPr>
          <w:t xml:space="preserve">Acarer et al., 2020</w:t>
        </w:r>
      </w:hyperlink>
      <w:r w:rsidDel="00000000" w:rsidR="00000000" w:rsidRPr="00000000">
        <w:rPr>
          <w:rFonts w:ascii="Georgia" w:cs="Georgia" w:eastAsia="Georgia" w:hAnsi="Georgia"/>
          <w:color w:val="1f1f1f"/>
          <w:sz w:val="24"/>
          <w:szCs w:val="24"/>
          <w:rtl w:val="0"/>
        </w:rPr>
        <w:t xml:space="preserve">, </w:t>
      </w:r>
      <w:hyperlink r:id="rId23">
        <w:r w:rsidDel="00000000" w:rsidR="00000000" w:rsidRPr="00000000">
          <w:rPr>
            <w:rFonts w:ascii="Georgia" w:cs="Georgia" w:eastAsia="Georgia" w:hAnsi="Georgia"/>
            <w:color w:val="0272b1"/>
            <w:sz w:val="24"/>
            <w:szCs w:val="24"/>
            <w:rtl w:val="0"/>
          </w:rPr>
          <w:t xml:space="preserve">Didane et al., 2020</w:t>
        </w:r>
      </w:hyperlink>
      <w:r w:rsidDel="00000000" w:rsidR="00000000" w:rsidRPr="00000000">
        <w:rPr>
          <w:rFonts w:ascii="Georgia" w:cs="Georgia" w:eastAsia="Georgia" w:hAnsi="Georgia"/>
          <w:color w:val="1f1f1f"/>
          <w:sz w:val="24"/>
          <w:szCs w:val="24"/>
          <w:rtl w:val="0"/>
        </w:rPr>
        <w:t xml:space="preserve">, </w:t>
      </w:r>
      <w:hyperlink r:id="rId24">
        <w:r w:rsidDel="00000000" w:rsidR="00000000" w:rsidRPr="00000000">
          <w:rPr>
            <w:rFonts w:ascii="Georgia" w:cs="Georgia" w:eastAsia="Georgia" w:hAnsi="Georgia"/>
            <w:color w:val="0272b1"/>
            <w:sz w:val="24"/>
            <w:szCs w:val="24"/>
            <w:rtl w:val="0"/>
          </w:rPr>
          <w:t xml:space="preserve">Pallotta et al., 2020</w:t>
        </w:r>
      </w:hyperlink>
      <w:r w:rsidDel="00000000" w:rsidR="00000000" w:rsidRPr="00000000">
        <w:rPr>
          <w:rFonts w:ascii="Georgia" w:cs="Georgia" w:eastAsia="Georgia" w:hAnsi="Georgia"/>
          <w:color w:val="1f1f1f"/>
          <w:sz w:val="24"/>
          <w:szCs w:val="24"/>
          <w:rtl w:val="0"/>
        </w:rPr>
        <w:t xml:space="preserve">, </w:t>
      </w:r>
      <w:hyperlink r:id="rId25">
        <w:r w:rsidDel="00000000" w:rsidR="00000000" w:rsidRPr="00000000">
          <w:rPr>
            <w:rFonts w:ascii="Georgia" w:cs="Georgia" w:eastAsia="Georgia" w:hAnsi="Georgia"/>
            <w:color w:val="0272b1"/>
            <w:sz w:val="24"/>
            <w:szCs w:val="24"/>
            <w:rtl w:val="0"/>
          </w:rPr>
          <w:t xml:space="preserve">Wang et al., 2020a</w:t>
        </w:r>
      </w:hyperlink>
      <w:r w:rsidDel="00000000" w:rsidR="00000000" w:rsidRPr="00000000">
        <w:rPr>
          <w:rFonts w:ascii="Georgia" w:cs="Georgia" w:eastAsia="Georgia" w:hAnsi="Georgia"/>
          <w:color w:val="1f1f1f"/>
          <w:sz w:val="24"/>
          <w:szCs w:val="24"/>
          <w:rtl w:val="0"/>
        </w:rPr>
        <w:t xml:space="preserve">, </w:t>
      </w:r>
      <w:hyperlink r:id="rId26">
        <w:r w:rsidDel="00000000" w:rsidR="00000000" w:rsidRPr="00000000">
          <w:rPr>
            <w:rFonts w:ascii="Georgia" w:cs="Georgia" w:eastAsia="Georgia" w:hAnsi="Georgia"/>
            <w:color w:val="0272b1"/>
            <w:sz w:val="24"/>
            <w:szCs w:val="24"/>
            <w:rtl w:val="0"/>
          </w:rPr>
          <w:t xml:space="preserve">Wang et al., 2020b</w:t>
        </w:r>
      </w:hyperlink>
      <w:r w:rsidDel="00000000" w:rsidR="00000000" w:rsidRPr="00000000">
        <w:rPr>
          <w:rFonts w:ascii="Georgia" w:cs="Georgia" w:eastAsia="Georgia" w:hAnsi="Georgia"/>
          <w:color w:val="1f1f1f"/>
          <w:sz w:val="24"/>
          <w:szCs w:val="24"/>
          <w:rtl w:val="0"/>
        </w:rPr>
        <w:t xml:space="preserve">, </w:t>
      </w:r>
      <w:hyperlink r:id="rId27">
        <w:r w:rsidDel="00000000" w:rsidR="00000000" w:rsidRPr="00000000">
          <w:rPr>
            <w:rFonts w:ascii="Georgia" w:cs="Georgia" w:eastAsia="Georgia" w:hAnsi="Georgia"/>
            <w:color w:val="0272b1"/>
            <w:sz w:val="24"/>
            <w:szCs w:val="24"/>
            <w:rtl w:val="0"/>
          </w:rPr>
          <w:t xml:space="preserve">Thellufsen et al., 2020</w:t>
        </w:r>
      </w:hyperlink>
      <w:r w:rsidDel="00000000" w:rsidR="00000000" w:rsidRPr="00000000">
        <w:rPr>
          <w:rFonts w:ascii="Georgia" w:cs="Georgia" w:eastAsia="Georgia" w:hAnsi="Georgia"/>
          <w:color w:val="1f1f1f"/>
          <w:sz w:val="24"/>
          <w:szCs w:val="24"/>
          <w:rtl w:val="0"/>
        </w:rPr>
        <w:t xml:space="preserve">, </w:t>
      </w:r>
      <w:hyperlink r:id="rId28">
        <w:r w:rsidDel="00000000" w:rsidR="00000000" w:rsidRPr="00000000">
          <w:rPr>
            <w:rFonts w:ascii="Georgia" w:cs="Georgia" w:eastAsia="Georgia" w:hAnsi="Georgia"/>
            <w:color w:val="0272b1"/>
            <w:sz w:val="24"/>
            <w:szCs w:val="24"/>
            <w:rtl w:val="0"/>
          </w:rPr>
          <w:t xml:space="preserve">Ghabuzyan et al., 2020</w:t>
        </w:r>
      </w:hyperlink>
      <w:r w:rsidDel="00000000" w:rsidR="00000000" w:rsidRPr="00000000">
        <w:rPr>
          <w:rFonts w:ascii="Georgia" w:cs="Georgia" w:eastAsia="Georgia" w:hAnsi="Georgia"/>
          <w:color w:val="1f1f1f"/>
          <w:sz w:val="24"/>
          <w:szCs w:val="24"/>
          <w:rtl w:val="0"/>
        </w:rPr>
        <w:t xml:space="preserve">, </w:t>
      </w:r>
      <w:hyperlink r:id="rId29">
        <w:r w:rsidDel="00000000" w:rsidR="00000000" w:rsidRPr="00000000">
          <w:rPr>
            <w:rFonts w:ascii="Georgia" w:cs="Georgia" w:eastAsia="Georgia" w:hAnsi="Georgia"/>
            <w:color w:val="0272b1"/>
            <w:sz w:val="24"/>
            <w:szCs w:val="24"/>
            <w:rtl w:val="0"/>
          </w:rPr>
          <w:t xml:space="preserve">Pellegrini et al., 2021</w:t>
        </w:r>
      </w:hyperlink>
      <w:r w:rsidDel="00000000" w:rsidR="00000000" w:rsidRPr="00000000">
        <w:rPr>
          <w:rFonts w:ascii="Georgia" w:cs="Georgia" w:eastAsia="Georgia" w:hAnsi="Georgia"/>
          <w:color w:val="1f1f1f"/>
          <w:sz w:val="24"/>
          <w:szCs w:val="24"/>
          <w:rtl w:val="0"/>
        </w:rPr>
        <w:t xml:space="preserve">)”</w:t>
      </w:r>
    </w:p>
    <w:p w:rsidR="00000000" w:rsidDel="00000000" w:rsidP="00000000" w:rsidRDefault="00000000" w:rsidRPr="00000000" w14:paraId="00000016">
      <w:pPr>
        <w:ind w:left="0" w:firstLine="0"/>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7">
      <w:pPr>
        <w:ind w:left="0" w:firstLine="0"/>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8">
      <w:pPr>
        <w:ind w:left="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“Therefore, in-depth knowledge of urban </w:t>
      </w:r>
      <w:hyperlink r:id="rId30">
        <w:r w:rsidDel="00000000" w:rsidR="00000000" w:rsidRPr="00000000">
          <w:rPr>
            <w:rFonts w:ascii="Georgia" w:cs="Georgia" w:eastAsia="Georgia" w:hAnsi="Georgia"/>
            <w:color w:val="1f1f1f"/>
            <w:sz w:val="24"/>
            <w:szCs w:val="24"/>
            <w:u w:val="single"/>
            <w:rtl w:val="0"/>
          </w:rPr>
          <w:t xml:space="preserve">airflow</w:t>
        </w:r>
      </w:hyperlink>
      <w:r w:rsidDel="00000000" w:rsidR="00000000" w:rsidRPr="00000000">
        <w:rPr>
          <w:rFonts w:ascii="Georgia" w:cs="Georgia" w:eastAsia="Georgia" w:hAnsi="Georgia"/>
          <w:color w:val="1f1f1f"/>
          <w:sz w:val="24"/>
          <w:szCs w:val="24"/>
          <w:rtl w:val="0"/>
        </w:rPr>
        <w:t xml:space="preserve"> and building aerodynamics is essential to deliver the expected performance”</w:t>
      </w:r>
    </w:p>
    <w:p w:rsidR="00000000" w:rsidDel="00000000" w:rsidP="00000000" w:rsidRDefault="00000000" w:rsidRPr="00000000" w14:paraId="00000019">
      <w:pPr>
        <w:ind w:left="0" w:firstLine="0"/>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A">
      <w:pPr>
        <w:ind w:left="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 Museum of Science Boston, as shown in </w:t>
      </w:r>
      <w:hyperlink r:id="rId31">
        <w:r w:rsidDel="00000000" w:rsidR="00000000" w:rsidRPr="00000000">
          <w:rPr>
            <w:rFonts w:ascii="Georgia" w:cs="Georgia" w:eastAsia="Georgia" w:hAnsi="Georgia"/>
            <w:color w:val="0272b1"/>
            <w:sz w:val="24"/>
            <w:szCs w:val="24"/>
            <w:rtl w:val="0"/>
          </w:rPr>
          <w:t xml:space="preserve">Fig. 6</w:t>
        </w:r>
      </w:hyperlink>
      <w:r w:rsidDel="00000000" w:rsidR="00000000" w:rsidRPr="00000000">
        <w:rPr>
          <w:rFonts w:ascii="Georgia" w:cs="Georgia" w:eastAsia="Georgia" w:hAnsi="Georgia"/>
          <w:color w:val="1f1f1f"/>
          <w:sz w:val="24"/>
          <w:szCs w:val="24"/>
          <w:rtl w:val="0"/>
        </w:rPr>
        <w:t xml:space="preserve">(b), has nine roof-mounted turbines with an expected output of 20,498 kWh per year, but the cumulative average is only 4229 kWh per year (</w:t>
      </w:r>
      <w:hyperlink r:id="rId32">
        <w:r w:rsidDel="00000000" w:rsidR="00000000" w:rsidRPr="00000000">
          <w:rPr>
            <w:rFonts w:ascii="Georgia" w:cs="Georgia" w:eastAsia="Georgia" w:hAnsi="Georgia"/>
            <w:color w:val="0272b1"/>
            <w:sz w:val="24"/>
            <w:szCs w:val="24"/>
            <w:rtl w:val="0"/>
          </w:rPr>
          <w:t xml:space="preserve">Fields et al., 2016</w:t>
        </w:r>
      </w:hyperlink>
      <w:r w:rsidDel="00000000" w:rsidR="00000000" w:rsidRPr="00000000">
        <w:rPr>
          <w:rFonts w:ascii="Georgia" w:cs="Georgia" w:eastAsia="Georgia" w:hAnsi="Georgia"/>
          <w:color w:val="1f1f1f"/>
          <w:sz w:val="24"/>
          <w:szCs w:val="24"/>
          <w:rtl w:val="0"/>
        </w:rPr>
        <w:t xml:space="preserve">). The cause of the failure is apparently ignorance in considering the site’s </w:t>
      </w:r>
      <w:hyperlink r:id="rId33">
        <w:r w:rsidDel="00000000" w:rsidR="00000000" w:rsidRPr="00000000">
          <w:rPr>
            <w:rFonts w:ascii="Georgia" w:cs="Georgia" w:eastAsia="Georgia" w:hAnsi="Georgia"/>
            <w:color w:val="1f1f1f"/>
            <w:sz w:val="24"/>
            <w:szCs w:val="24"/>
            <w:u w:val="single"/>
            <w:rtl w:val="0"/>
          </w:rPr>
          <w:t xml:space="preserve">wind profile</w:t>
        </w:r>
      </w:hyperlink>
      <w:r w:rsidDel="00000000" w:rsidR="00000000" w:rsidRPr="00000000">
        <w:rPr>
          <w:rFonts w:ascii="Georgia" w:cs="Georgia" w:eastAsia="Georgia" w:hAnsi="Georgia"/>
          <w:color w:val="1f1f1f"/>
          <w:sz w:val="24"/>
          <w:szCs w:val="24"/>
          <w:rtl w:val="0"/>
        </w:rPr>
        <w:t xml:space="preserve"> and mean annual wind. Nevertheless, this project promotes the importance of renewable energy to society.”</w:t>
      </w:r>
    </w:p>
    <w:p w:rsidR="00000000" w:rsidDel="00000000" w:rsidP="00000000" w:rsidRDefault="00000000" w:rsidRPr="00000000" w14:paraId="0000001B">
      <w:pPr>
        <w:ind w:left="0" w:firstLine="0"/>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C">
      <w:pPr>
        <w:ind w:left="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“Before installing the wind turbines, engineers and urban planners should have evaluated the wind load effects and failure risk at the design stage since damaged rooftop-mounted turbines can cause </w:t>
      </w:r>
      <w:hyperlink r:id="rId34">
        <w:r w:rsidDel="00000000" w:rsidR="00000000" w:rsidRPr="00000000">
          <w:rPr>
            <w:rFonts w:ascii="Georgia" w:cs="Georgia" w:eastAsia="Georgia" w:hAnsi="Georgia"/>
            <w:color w:val="1f1f1f"/>
            <w:sz w:val="24"/>
            <w:szCs w:val="24"/>
            <w:u w:val="single"/>
            <w:rtl w:val="0"/>
          </w:rPr>
          <w:t xml:space="preserve">damage to building</w:t>
        </w:r>
      </w:hyperlink>
      <w:r w:rsidDel="00000000" w:rsidR="00000000" w:rsidRPr="00000000">
        <w:rPr>
          <w:rFonts w:ascii="Georgia" w:cs="Georgia" w:eastAsia="Georgia" w:hAnsi="Georgia"/>
          <w:color w:val="1f1f1f"/>
          <w:sz w:val="24"/>
          <w:szCs w:val="24"/>
          <w:rtl w:val="0"/>
        </w:rPr>
        <w:t xml:space="preserve"> facades and injuries and possibly fatalities to pedestrians.”</w:t>
      </w:r>
    </w:p>
    <w:p w:rsidR="00000000" w:rsidDel="00000000" w:rsidP="00000000" w:rsidRDefault="00000000" w:rsidRPr="00000000" w14:paraId="0000001D">
      <w:pPr>
        <w:ind w:left="0" w:firstLine="0"/>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1E">
      <w:pPr>
        <w:ind w:left="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“None of the above projects performed as well as expected. One of the main reasons is the lack of a preliminary urban wind energy exploration study prior to the installation of wind turbines. Therefore, it is highly recommended to conduct such studies in the design phase in order to make the most of advances in knowledge and experience. The potential benefits of applying AI and ML related to wind energy systems and building and urban aerodynamics to improve the performance of wind turbines and other wind energy generators in urban environments are worthy of detailed exploration. The applications of AI and ML are presented in Section </w:t>
      </w:r>
      <w:hyperlink r:id="rId35">
        <w:r w:rsidDel="00000000" w:rsidR="00000000" w:rsidRPr="00000000">
          <w:rPr>
            <w:rFonts w:ascii="Georgia" w:cs="Georgia" w:eastAsia="Georgia" w:hAnsi="Georgia"/>
            <w:color w:val="0272b1"/>
            <w:sz w:val="24"/>
            <w:szCs w:val="24"/>
            <w:rtl w:val="0"/>
          </w:rPr>
          <w:t xml:space="preserve">5</w:t>
        </w:r>
      </w:hyperlink>
      <w:r w:rsidDel="00000000" w:rsidR="00000000" w:rsidRPr="00000000">
        <w:rPr>
          <w:rFonts w:ascii="Georgia" w:cs="Georgia" w:eastAsia="Georgia" w:hAnsi="Georgia"/>
          <w:color w:val="1f1f1f"/>
          <w:sz w:val="24"/>
          <w:szCs w:val="24"/>
          <w:rtl w:val="0"/>
        </w:rPr>
        <w:t xml:space="preserve">.”</w:t>
      </w:r>
    </w:p>
    <w:p w:rsidR="00000000" w:rsidDel="00000000" w:rsidP="00000000" w:rsidRDefault="00000000" w:rsidRPr="00000000" w14:paraId="0000001F">
      <w:pPr>
        <w:ind w:left="0" w:firstLine="0"/>
        <w:rPr>
          <w:rFonts w:ascii="Georgia" w:cs="Georgia" w:eastAsia="Georgia" w:hAnsi="Georgia"/>
          <w:color w:val="1f1f1f"/>
          <w:sz w:val="24"/>
          <w:szCs w:val="24"/>
        </w:rPr>
      </w:pPr>
      <w:r w:rsidDel="00000000" w:rsidR="00000000" w:rsidRPr="00000000">
        <w:rPr>
          <w:rtl w:val="0"/>
        </w:rPr>
      </w:r>
    </w:p>
    <w:p w:rsidR="00000000" w:rsidDel="00000000" w:rsidP="00000000" w:rsidRDefault="00000000" w:rsidRPr="00000000" w14:paraId="00000020">
      <w:pPr>
        <w:ind w:left="0" w:firstLine="0"/>
        <w:rPr>
          <w:rFonts w:ascii="Georgia" w:cs="Georgia" w:eastAsia="Georgia" w:hAnsi="Georgia"/>
          <w:color w:val="1f1f1f"/>
          <w:sz w:val="24"/>
          <w:szCs w:val="24"/>
        </w:rPr>
      </w:pPr>
      <w:r w:rsidDel="00000000" w:rsidR="00000000" w:rsidRPr="00000000">
        <w:rPr>
          <w:rFonts w:ascii="Georgia" w:cs="Georgia" w:eastAsia="Georgia" w:hAnsi="Georgia"/>
          <w:color w:val="1f1f1f"/>
          <w:sz w:val="24"/>
          <w:szCs w:val="24"/>
          <w:rtl w:val="0"/>
        </w:rPr>
        <w:t xml:space="preserve">“The retrofitting of wind turbines to existing buildings has evolved in recent years. Wind turbines are often installed on the roof, along corners and within building openings to harness wind energy to provide part of the building’s energy supply. The large space and </w:t>
      </w:r>
      <w:hyperlink r:id="rId36">
        <w:r w:rsidDel="00000000" w:rsidR="00000000" w:rsidRPr="00000000">
          <w:rPr>
            <w:rFonts w:ascii="Georgia" w:cs="Georgia" w:eastAsia="Georgia" w:hAnsi="Georgia"/>
            <w:color w:val="1f1f1f"/>
            <w:sz w:val="24"/>
            <w:szCs w:val="24"/>
            <w:u w:val="single"/>
            <w:rtl w:val="0"/>
          </w:rPr>
          <w:t xml:space="preserve">manoeuvrability</w:t>
        </w:r>
      </w:hyperlink>
      <w:r w:rsidDel="00000000" w:rsidR="00000000" w:rsidRPr="00000000">
        <w:rPr>
          <w:rFonts w:ascii="Georgia" w:cs="Georgia" w:eastAsia="Georgia" w:hAnsi="Georgia"/>
          <w:color w:val="1f1f1f"/>
          <w:sz w:val="24"/>
          <w:szCs w:val="24"/>
          <w:rtl w:val="0"/>
        </w:rPr>
        <w:t xml:space="preserve"> of the building roof bring many possibilities for the design of wind energy systems, e.g. roof, mounted ducted/horizontal/vertical wind turbine”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0167610523000521?via%3Dihub#b62" TargetMode="External"/><Relationship Id="rId22" Type="http://schemas.openxmlformats.org/officeDocument/2006/relationships/hyperlink" Target="https://www.sciencedirect.com/science/article/pii/S0167610523000521?via%3Dihub#b3" TargetMode="External"/><Relationship Id="rId21" Type="http://schemas.openxmlformats.org/officeDocument/2006/relationships/hyperlink" Target="https://www.sciencedirect.com/science/article/pii/S0167610523000521?via%3Dihub#b47" TargetMode="External"/><Relationship Id="rId24" Type="http://schemas.openxmlformats.org/officeDocument/2006/relationships/hyperlink" Target="https://www.sciencedirect.com/science/article/pii/S0167610523000521?via%3Dihub#b137" TargetMode="External"/><Relationship Id="rId23" Type="http://schemas.openxmlformats.org/officeDocument/2006/relationships/hyperlink" Target="https://www.sciencedirect.com/science/article/pii/S0167610523000521?via%3Dihub#b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topics/engineering/harvester" TargetMode="External"/><Relationship Id="rId26" Type="http://schemas.openxmlformats.org/officeDocument/2006/relationships/hyperlink" Target="https://www.sciencedirect.com/science/article/pii/S0167610523000521?via%3Dihub#b187" TargetMode="External"/><Relationship Id="rId25" Type="http://schemas.openxmlformats.org/officeDocument/2006/relationships/hyperlink" Target="https://www.sciencedirect.com/science/article/pii/S0167610523000521?via%3Dihub#b184" TargetMode="External"/><Relationship Id="rId28" Type="http://schemas.openxmlformats.org/officeDocument/2006/relationships/hyperlink" Target="https://www.sciencedirect.com/science/article/pii/S0167610523000521?via%3Dihub#b57" TargetMode="External"/><Relationship Id="rId27" Type="http://schemas.openxmlformats.org/officeDocument/2006/relationships/hyperlink" Target="https://www.sciencedirect.com/science/article/pii/S0167610523000521?via%3Dihub#b172" TargetMode="External"/><Relationship Id="rId5" Type="http://schemas.openxmlformats.org/officeDocument/2006/relationships/styles" Target="styles.xml"/><Relationship Id="rId6" Type="http://schemas.openxmlformats.org/officeDocument/2006/relationships/hyperlink" Target="https://www.sciencedirect.com/science/article/pii/S0167610523000521?via%3Dihub" TargetMode="External"/><Relationship Id="rId29" Type="http://schemas.openxmlformats.org/officeDocument/2006/relationships/hyperlink" Target="https://www.sciencedirect.com/science/article/pii/S0167610523000521?via%3Dihub#b141" TargetMode="External"/><Relationship Id="rId7" Type="http://schemas.openxmlformats.org/officeDocument/2006/relationships/hyperlink" Target="https://doi.org/10.1016/j.jweia.2023.105349" TargetMode="External"/><Relationship Id="rId8" Type="http://schemas.openxmlformats.org/officeDocument/2006/relationships/hyperlink" Target="https://www.sciencedirect.com/topics/earth-and-planetary-sciences/wind-turbine" TargetMode="External"/><Relationship Id="rId31" Type="http://schemas.openxmlformats.org/officeDocument/2006/relationships/hyperlink" Target="https://www.sciencedirect.com/science/article/pii/S0167610523000521?via%3Dihub#fig6" TargetMode="External"/><Relationship Id="rId30" Type="http://schemas.openxmlformats.org/officeDocument/2006/relationships/hyperlink" Target="https://www.sciencedirect.com/topics/physics-and-astronomy/air-flow" TargetMode="External"/><Relationship Id="rId11" Type="http://schemas.openxmlformats.org/officeDocument/2006/relationships/hyperlink" Target="https://www.sciencedirect.com/topics/physics-and-astronomy/wind-velocity" TargetMode="External"/><Relationship Id="rId33" Type="http://schemas.openxmlformats.org/officeDocument/2006/relationships/hyperlink" Target="https://www.sciencedirect.com/topics/earth-and-planetary-sciences/wind-profiles" TargetMode="External"/><Relationship Id="rId10" Type="http://schemas.openxmlformats.org/officeDocument/2006/relationships/hyperlink" Target="https://www.sciencedirect.com/topics/engineering/building-facade" TargetMode="External"/><Relationship Id="rId32" Type="http://schemas.openxmlformats.org/officeDocument/2006/relationships/hyperlink" Target="https://www.sciencedirect.com/science/article/pii/S0167610523000521?via%3Dihub#b52" TargetMode="External"/><Relationship Id="rId13" Type="http://schemas.openxmlformats.org/officeDocument/2006/relationships/hyperlink" Target="https://www.sciencedirect.com/science/article/pii/S0167610523000521?via%3Dihub#b162" TargetMode="External"/><Relationship Id="rId35" Type="http://schemas.openxmlformats.org/officeDocument/2006/relationships/hyperlink" Target="https://www.sciencedirect.com/science/article/pii/S0167610523000521?via%3Dihub#sec5" TargetMode="External"/><Relationship Id="rId12" Type="http://schemas.openxmlformats.org/officeDocument/2006/relationships/hyperlink" Target="https://www.sciencedirect.com/topics/engineering/wind-energy-potential" TargetMode="External"/><Relationship Id="rId34" Type="http://schemas.openxmlformats.org/officeDocument/2006/relationships/hyperlink" Target="https://www.sciencedirect.com/topics/engineering/damage-to-building" TargetMode="External"/><Relationship Id="rId15" Type="http://schemas.openxmlformats.org/officeDocument/2006/relationships/hyperlink" Target="https://www.sciencedirect.com/science/article/pii/S0167610523000521?via%3Dihub#b119" TargetMode="External"/><Relationship Id="rId14" Type="http://schemas.openxmlformats.org/officeDocument/2006/relationships/hyperlink" Target="https://www.sciencedirect.com/science/article/pii/S0167610523000521?via%3Dihub#b117" TargetMode="External"/><Relationship Id="rId36" Type="http://schemas.openxmlformats.org/officeDocument/2006/relationships/hyperlink" Target="https://www.sciencedirect.com/topics/agricultural-and-biological-sciences/maneuverability" TargetMode="External"/><Relationship Id="rId17" Type="http://schemas.openxmlformats.org/officeDocument/2006/relationships/hyperlink" Target="https://www.sciencedirect.com/topics/materials-science/piezoelectricity" TargetMode="External"/><Relationship Id="rId16" Type="http://schemas.openxmlformats.org/officeDocument/2006/relationships/hyperlink" Target="https://www.sciencedirect.com/topics/physics-and-astronomy/windpower-utilization" TargetMode="External"/><Relationship Id="rId19" Type="http://schemas.openxmlformats.org/officeDocument/2006/relationships/hyperlink" Target="https://www.sciencedirect.com/science/article/pii/S0167610523000521?via%3Dihub#b12" TargetMode="External"/><Relationship Id="rId18" Type="http://schemas.openxmlformats.org/officeDocument/2006/relationships/hyperlink" Target="https://www.sciencedirect.com/topics/engineering/triboelectric-nanogener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