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FDC" w:rsidRPr="00ED5470" w:rsidRDefault="004D0811" w:rsidP="00ED5470">
      <w:pPr>
        <w:pStyle w:val="Ttulo"/>
        <w:jc w:val="center"/>
        <w:rPr>
          <w:b/>
          <w:lang w:val="es-ES"/>
        </w:rPr>
      </w:pPr>
      <w:r w:rsidRPr="00ED5470">
        <w:rPr>
          <w:b/>
          <w:lang w:val="es-ES"/>
        </w:rPr>
        <w:t>Modelo de Caudales Medios Anuales Multianuales de la Cuenca Magdalena-Cauca</w:t>
      </w:r>
    </w:p>
    <w:p w:rsidR="0077760E" w:rsidRPr="00ED5470" w:rsidRDefault="0077760E" w:rsidP="00ED5470">
      <w:pPr>
        <w:jc w:val="center"/>
        <w:rPr>
          <w:color w:val="215868" w:themeColor="accent5" w:themeShade="80"/>
          <w:sz w:val="40"/>
          <w:szCs w:val="40"/>
          <w:lang w:val="es-ES"/>
        </w:rPr>
      </w:pPr>
    </w:p>
    <w:p w:rsidR="00ED5470" w:rsidRPr="00ED5470" w:rsidRDefault="00ED5470" w:rsidP="00ED5470">
      <w:pPr>
        <w:jc w:val="center"/>
        <w:rPr>
          <w:color w:val="215868" w:themeColor="accent5" w:themeShade="80"/>
          <w:sz w:val="40"/>
          <w:szCs w:val="40"/>
          <w:lang w:val="es-ES"/>
        </w:rPr>
      </w:pPr>
    </w:p>
    <w:p w:rsidR="00ED5470" w:rsidRPr="00ED5470" w:rsidRDefault="00ED5470" w:rsidP="00ED5470">
      <w:pPr>
        <w:jc w:val="center"/>
        <w:rPr>
          <w:color w:val="215868" w:themeColor="accent5" w:themeShade="80"/>
          <w:sz w:val="40"/>
          <w:szCs w:val="40"/>
          <w:lang w:val="es-ES"/>
        </w:rPr>
      </w:pPr>
    </w:p>
    <w:p w:rsidR="00ED5470" w:rsidRPr="00ED5470" w:rsidRDefault="00ED5470" w:rsidP="00ED5470">
      <w:pPr>
        <w:jc w:val="center"/>
        <w:rPr>
          <w:color w:val="215868" w:themeColor="accent5" w:themeShade="80"/>
          <w:sz w:val="40"/>
          <w:szCs w:val="40"/>
          <w:lang w:val="es-ES"/>
        </w:rPr>
      </w:pPr>
    </w:p>
    <w:p w:rsidR="00ED5470" w:rsidRPr="00ED5470" w:rsidRDefault="00ED5470" w:rsidP="00ED5470">
      <w:pPr>
        <w:jc w:val="center"/>
        <w:rPr>
          <w:b/>
          <w:sz w:val="40"/>
          <w:szCs w:val="40"/>
          <w:lang w:val="es-ES"/>
        </w:rPr>
      </w:pPr>
    </w:p>
    <w:p w:rsidR="00ED5470" w:rsidRPr="00ED5470" w:rsidRDefault="00ED5470" w:rsidP="00ED5470">
      <w:pPr>
        <w:spacing w:after="0"/>
        <w:jc w:val="center"/>
        <w:rPr>
          <w:rFonts w:cs="aakar"/>
          <w:b/>
          <w:sz w:val="40"/>
          <w:szCs w:val="40"/>
          <w:lang w:val="es-ES"/>
        </w:rPr>
      </w:pPr>
      <w:r w:rsidRPr="00ED5470">
        <w:rPr>
          <w:rFonts w:cs="aakar"/>
          <w:b/>
          <w:sz w:val="40"/>
          <w:szCs w:val="40"/>
          <w:lang w:val="es-ES"/>
        </w:rPr>
        <w:t>Desarrollado por:</w:t>
      </w:r>
    </w:p>
    <w:p w:rsidR="00ED5470" w:rsidRPr="00ED5470" w:rsidRDefault="00ED5470" w:rsidP="00ED5470">
      <w:pPr>
        <w:spacing w:after="0"/>
        <w:jc w:val="center"/>
        <w:rPr>
          <w:rFonts w:cs="aakar"/>
          <w:b/>
          <w:sz w:val="40"/>
          <w:szCs w:val="40"/>
          <w:lang w:val="es-ES"/>
        </w:rPr>
      </w:pPr>
      <w:r w:rsidRPr="00ED5470">
        <w:rPr>
          <w:rFonts w:cs="aakar"/>
          <w:b/>
          <w:sz w:val="40"/>
          <w:szCs w:val="40"/>
          <w:lang w:val="es-ES"/>
        </w:rPr>
        <w:t xml:space="preserve">Carlos </w:t>
      </w:r>
      <w:r w:rsidR="0033575E" w:rsidRPr="00ED5470">
        <w:rPr>
          <w:rFonts w:cs="aakar"/>
          <w:b/>
          <w:sz w:val="40"/>
          <w:szCs w:val="40"/>
          <w:lang w:val="es-ES"/>
        </w:rPr>
        <w:t>Andrés</w:t>
      </w:r>
      <w:r w:rsidR="0033575E">
        <w:rPr>
          <w:rFonts w:cs="aakar"/>
          <w:b/>
          <w:sz w:val="40"/>
          <w:szCs w:val="40"/>
          <w:lang w:val="es-ES"/>
        </w:rPr>
        <w:t xml:space="preserve"> </w:t>
      </w:r>
      <w:proofErr w:type="spellStart"/>
      <w:r w:rsidR="0033575E">
        <w:rPr>
          <w:rFonts w:cs="aakar"/>
          <w:b/>
          <w:sz w:val="40"/>
          <w:szCs w:val="40"/>
          <w:lang w:val="es-ES"/>
        </w:rPr>
        <w:t>Rogelíz</w:t>
      </w:r>
      <w:proofErr w:type="spellEnd"/>
      <w:r w:rsidR="0033575E">
        <w:rPr>
          <w:rFonts w:cs="aakar"/>
          <w:b/>
          <w:sz w:val="40"/>
          <w:szCs w:val="40"/>
          <w:lang w:val="es-ES"/>
        </w:rPr>
        <w:t xml:space="preserve"> Prada</w:t>
      </w:r>
    </w:p>
    <w:p w:rsidR="00ED5470" w:rsidRPr="00D85EAF" w:rsidRDefault="00ED5470" w:rsidP="00ED5470">
      <w:pPr>
        <w:spacing w:after="0"/>
        <w:jc w:val="center"/>
        <w:rPr>
          <w:rFonts w:cs="aakar"/>
          <w:b/>
          <w:sz w:val="40"/>
          <w:szCs w:val="40"/>
        </w:rPr>
      </w:pPr>
      <w:r w:rsidRPr="00D85EAF">
        <w:rPr>
          <w:rFonts w:cs="aakar"/>
          <w:b/>
          <w:sz w:val="40"/>
          <w:szCs w:val="40"/>
        </w:rPr>
        <w:t>Jonathan Nogales Pimentel</w:t>
      </w:r>
    </w:p>
    <w:p w:rsidR="00ED5470" w:rsidRPr="00D85EAF" w:rsidRDefault="00ED5470" w:rsidP="00ED5470">
      <w:pPr>
        <w:jc w:val="center"/>
        <w:rPr>
          <w:rFonts w:cs="aakar"/>
          <w:b/>
          <w:sz w:val="40"/>
          <w:szCs w:val="40"/>
        </w:rPr>
      </w:pPr>
    </w:p>
    <w:p w:rsidR="00ED5470" w:rsidRPr="00D85EAF" w:rsidRDefault="00ED5470" w:rsidP="00ED5470">
      <w:pPr>
        <w:jc w:val="center"/>
        <w:rPr>
          <w:rFonts w:cs="aakar"/>
          <w:b/>
          <w:sz w:val="40"/>
          <w:szCs w:val="40"/>
        </w:rPr>
      </w:pPr>
    </w:p>
    <w:p w:rsidR="00ED5470" w:rsidRPr="00D85EAF" w:rsidRDefault="00ED5470" w:rsidP="00ED5470">
      <w:pPr>
        <w:jc w:val="center"/>
        <w:rPr>
          <w:rFonts w:cs="aakar"/>
          <w:b/>
          <w:sz w:val="40"/>
          <w:szCs w:val="40"/>
        </w:rPr>
      </w:pPr>
    </w:p>
    <w:p w:rsidR="00ED5470" w:rsidRPr="00D85EAF" w:rsidRDefault="00ED5470" w:rsidP="00ED5470">
      <w:pPr>
        <w:jc w:val="center"/>
        <w:rPr>
          <w:rFonts w:cs="aakar"/>
          <w:b/>
          <w:sz w:val="40"/>
          <w:szCs w:val="40"/>
        </w:rPr>
      </w:pPr>
    </w:p>
    <w:p w:rsidR="00ED5470" w:rsidRPr="00D85EAF" w:rsidRDefault="00ED5470" w:rsidP="00ED5470">
      <w:pPr>
        <w:spacing w:after="0"/>
        <w:jc w:val="center"/>
        <w:rPr>
          <w:rFonts w:cs="aakar"/>
          <w:b/>
          <w:sz w:val="40"/>
          <w:szCs w:val="40"/>
        </w:rPr>
      </w:pPr>
      <w:r w:rsidRPr="00D85EAF">
        <w:rPr>
          <w:rFonts w:cs="aakar"/>
          <w:b/>
          <w:sz w:val="40"/>
          <w:szCs w:val="40"/>
        </w:rPr>
        <w:t xml:space="preserve">The Nature </w:t>
      </w:r>
      <w:proofErr w:type="spellStart"/>
      <w:r w:rsidRPr="00D85EAF">
        <w:rPr>
          <w:rFonts w:cs="aakar"/>
          <w:b/>
          <w:sz w:val="40"/>
          <w:szCs w:val="40"/>
        </w:rPr>
        <w:t>Coservancy</w:t>
      </w:r>
      <w:proofErr w:type="spellEnd"/>
      <w:r w:rsidRPr="00D85EAF">
        <w:rPr>
          <w:rFonts w:cs="aakar"/>
          <w:b/>
          <w:sz w:val="40"/>
          <w:szCs w:val="40"/>
        </w:rPr>
        <w:t xml:space="preserve"> </w:t>
      </w:r>
    </w:p>
    <w:p w:rsidR="00ED5470" w:rsidRPr="00ED5470" w:rsidRDefault="00ED5470" w:rsidP="00ED5470">
      <w:pPr>
        <w:spacing w:after="0"/>
        <w:jc w:val="center"/>
        <w:rPr>
          <w:rFonts w:cs="aakar"/>
          <w:b/>
          <w:sz w:val="40"/>
          <w:szCs w:val="40"/>
          <w:lang w:val="es-ES"/>
        </w:rPr>
      </w:pPr>
      <w:proofErr w:type="spellStart"/>
      <w:r w:rsidRPr="00ED5470">
        <w:rPr>
          <w:rFonts w:cs="aakar"/>
          <w:b/>
          <w:sz w:val="40"/>
          <w:szCs w:val="40"/>
          <w:lang w:val="es-ES"/>
        </w:rPr>
        <w:t>Bogota</w:t>
      </w:r>
      <w:proofErr w:type="spellEnd"/>
      <w:r w:rsidRPr="00ED5470">
        <w:rPr>
          <w:rFonts w:cs="aakar"/>
          <w:b/>
          <w:sz w:val="40"/>
          <w:szCs w:val="40"/>
          <w:lang w:val="es-ES"/>
        </w:rPr>
        <w:t xml:space="preserve"> – Colombia</w:t>
      </w:r>
    </w:p>
    <w:p w:rsidR="00ED5470" w:rsidRPr="00ED5470" w:rsidRDefault="00ED5470" w:rsidP="00ED5470">
      <w:pPr>
        <w:spacing w:after="0"/>
        <w:jc w:val="center"/>
        <w:rPr>
          <w:rFonts w:cs="aakar"/>
          <w:b/>
          <w:sz w:val="40"/>
          <w:szCs w:val="40"/>
          <w:lang w:val="es-ES"/>
        </w:rPr>
      </w:pPr>
      <w:r w:rsidRPr="00ED5470">
        <w:rPr>
          <w:rFonts w:cs="aakar"/>
          <w:b/>
          <w:sz w:val="40"/>
          <w:szCs w:val="40"/>
          <w:lang w:val="es-ES"/>
        </w:rPr>
        <w:t>Agosto - 2018</w:t>
      </w:r>
    </w:p>
    <w:p w:rsidR="00ED5470" w:rsidRDefault="00ED5470" w:rsidP="00ED5470">
      <w:pPr>
        <w:jc w:val="center"/>
        <w:rPr>
          <w:lang w:val="es-ES"/>
        </w:rPr>
      </w:pPr>
      <w:r>
        <w:rPr>
          <w:lang w:val="es-ES"/>
        </w:rPr>
        <w:br w:type="page"/>
      </w:r>
    </w:p>
    <w:p w:rsidR="007C6E77" w:rsidRDefault="007C6E77" w:rsidP="007C6E77">
      <w:pPr>
        <w:pStyle w:val="Ttulo1"/>
        <w:rPr>
          <w:lang w:val="es-ES"/>
        </w:rPr>
      </w:pPr>
      <w:r>
        <w:rPr>
          <w:lang w:val="es-ES"/>
        </w:rPr>
        <w:lastRenderedPageBreak/>
        <w:t>Introducción</w:t>
      </w:r>
    </w:p>
    <w:p w:rsidR="007C6E77" w:rsidRPr="007C6E77" w:rsidRDefault="00ED5470" w:rsidP="00B80043">
      <w:pPr>
        <w:rPr>
          <w:lang w:val="es-ES"/>
        </w:rPr>
      </w:pPr>
      <w:r>
        <w:rPr>
          <w:lang w:val="es-ES"/>
        </w:rPr>
        <w:t xml:space="preserve">En el presente informe </w:t>
      </w:r>
      <w:r w:rsidR="00B80043">
        <w:rPr>
          <w:lang w:val="es-ES"/>
        </w:rPr>
        <w:t xml:space="preserve">se realiza una breve descripción, de las fuentes de información y </w:t>
      </w:r>
      <w:r w:rsidR="00805C00">
        <w:rPr>
          <w:lang w:val="es-ES"/>
        </w:rPr>
        <w:t xml:space="preserve">de las </w:t>
      </w:r>
      <w:r w:rsidR="00B80043">
        <w:rPr>
          <w:lang w:val="es-ES"/>
        </w:rPr>
        <w:t xml:space="preserve">metodologías </w:t>
      </w:r>
      <w:r w:rsidR="00805C00">
        <w:rPr>
          <w:lang w:val="es-ES"/>
        </w:rPr>
        <w:t>empleadas</w:t>
      </w:r>
      <w:r w:rsidR="00B80043">
        <w:rPr>
          <w:lang w:val="es-ES"/>
        </w:rPr>
        <w:t xml:space="preserve"> </w:t>
      </w:r>
      <w:r w:rsidR="00805C00">
        <w:rPr>
          <w:lang w:val="es-ES"/>
        </w:rPr>
        <w:t>en</w:t>
      </w:r>
      <w:r w:rsidR="00B80043">
        <w:rPr>
          <w:lang w:val="es-ES"/>
        </w:rPr>
        <w:t xml:space="preserve"> la construcción del modelo </w:t>
      </w:r>
      <w:r w:rsidR="00805C00">
        <w:rPr>
          <w:lang w:val="es-ES"/>
        </w:rPr>
        <w:t xml:space="preserve">hidrológico para la estimación </w:t>
      </w:r>
      <w:r w:rsidR="00B80043">
        <w:rPr>
          <w:lang w:val="es-ES"/>
        </w:rPr>
        <w:t xml:space="preserve">de caudales medios anuales multianuales </w:t>
      </w:r>
      <w:r w:rsidR="00805C00">
        <w:rPr>
          <w:lang w:val="es-ES"/>
        </w:rPr>
        <w:t xml:space="preserve">en </w:t>
      </w:r>
      <w:r w:rsidR="00B80043">
        <w:rPr>
          <w:lang w:val="es-ES"/>
        </w:rPr>
        <w:t xml:space="preserve">la cuenca Magdalena-Cauca. </w:t>
      </w:r>
    </w:p>
    <w:p w:rsidR="007C6E77" w:rsidRDefault="007C6E77" w:rsidP="007C6E77">
      <w:pPr>
        <w:pStyle w:val="Ttulo1"/>
        <w:rPr>
          <w:lang w:val="es-ES"/>
        </w:rPr>
      </w:pPr>
      <w:r>
        <w:rPr>
          <w:lang w:val="es-ES"/>
        </w:rPr>
        <w:t>Información</w:t>
      </w:r>
    </w:p>
    <w:p w:rsidR="00B80043" w:rsidRDefault="00EC234B" w:rsidP="00B80043">
      <w:pPr>
        <w:rPr>
          <w:lang w:val="es-ES"/>
        </w:rPr>
      </w:pPr>
      <w:r>
        <w:rPr>
          <w:lang w:val="es-ES"/>
        </w:rPr>
        <w:t xml:space="preserve">La información </w:t>
      </w:r>
      <w:r w:rsidR="005C2EED">
        <w:rPr>
          <w:lang w:val="es-ES"/>
        </w:rPr>
        <w:t xml:space="preserve">utilizada para la </w:t>
      </w:r>
      <w:r w:rsidR="006132F3">
        <w:rPr>
          <w:lang w:val="es-ES"/>
        </w:rPr>
        <w:t xml:space="preserve">construcción del modelo hidrológico, fue obtenida de la base datos (para la red topológica de 34046 Arcos) utilizada para los análisis de </w:t>
      </w:r>
      <w:proofErr w:type="spellStart"/>
      <w:r w:rsidR="006132F3">
        <w:rPr>
          <w:lang w:val="es-ES"/>
        </w:rPr>
        <w:t>hidro</w:t>
      </w:r>
      <w:proofErr w:type="spellEnd"/>
      <w:r w:rsidR="0033575E">
        <w:rPr>
          <w:lang w:val="es-ES"/>
        </w:rPr>
        <w:t>-energía</w:t>
      </w:r>
      <w:r w:rsidR="006132F3">
        <w:rPr>
          <w:lang w:val="es-ES"/>
        </w:rPr>
        <w:t xml:space="preserve"> por diseño, la cual fue previamente configurada por los Ing. </w:t>
      </w:r>
      <w:r w:rsidR="0033575E">
        <w:rPr>
          <w:lang w:val="es-ES"/>
        </w:rPr>
        <w:t>Héctor</w:t>
      </w:r>
      <w:r w:rsidR="006132F3">
        <w:rPr>
          <w:lang w:val="es-ES"/>
        </w:rPr>
        <w:t xml:space="preserve"> Angarita</w:t>
      </w:r>
      <w:r w:rsidR="0033575E">
        <w:rPr>
          <w:lang w:val="es-ES"/>
        </w:rPr>
        <w:t xml:space="preserve"> y Carlos Andrés </w:t>
      </w:r>
      <w:proofErr w:type="spellStart"/>
      <w:r w:rsidR="0033575E">
        <w:rPr>
          <w:lang w:val="es-ES"/>
        </w:rPr>
        <w:t>Rogelíz</w:t>
      </w:r>
      <w:proofErr w:type="spellEnd"/>
      <w:r w:rsidR="006132F3">
        <w:rPr>
          <w:lang w:val="es-ES"/>
        </w:rPr>
        <w:t>.</w:t>
      </w:r>
    </w:p>
    <w:p w:rsidR="006132F3" w:rsidRDefault="00B03BC8" w:rsidP="00B80043">
      <w:pPr>
        <w:rPr>
          <w:lang w:val="es-ES"/>
        </w:rPr>
      </w:pPr>
      <w:r>
        <w:rPr>
          <w:lang w:val="es-ES"/>
        </w:rPr>
        <w:t>Particularmente la información utilizada</w:t>
      </w:r>
      <w:r w:rsidR="008A1A31">
        <w:rPr>
          <w:lang w:val="es-ES"/>
        </w:rPr>
        <w:t xml:space="preserve">, </w:t>
      </w:r>
      <w:r>
        <w:rPr>
          <w:lang w:val="es-ES"/>
        </w:rPr>
        <w:t xml:space="preserve">correspondió a precipitación media mensual multianual en mm (La cual fue obtenida de los campos de oficiales del IDEAM) y </w:t>
      </w:r>
      <w:r w:rsidR="008A1A31">
        <w:rPr>
          <w:lang w:val="es-ES"/>
        </w:rPr>
        <w:t xml:space="preserve">a </w:t>
      </w:r>
      <w:r>
        <w:rPr>
          <w:lang w:val="es-ES"/>
        </w:rPr>
        <w:t>elevación media del terreno en msnm (obtenida del DEM de 90 metros)</w:t>
      </w:r>
      <w:r w:rsidR="008A1A31">
        <w:rPr>
          <w:lang w:val="es-ES"/>
        </w:rPr>
        <w:t>. Esta información se encontró asignada de manera particular a cada uno de los arcos que componen la red topológica de 34046 arcos (generada a partir del DEM de 90 metros).</w:t>
      </w:r>
    </w:p>
    <w:p w:rsidR="00B80043" w:rsidRDefault="00B80043" w:rsidP="00B80043">
      <w:pPr>
        <w:pStyle w:val="Ttulo1"/>
        <w:rPr>
          <w:lang w:val="es-ES"/>
        </w:rPr>
      </w:pPr>
      <w:r>
        <w:rPr>
          <w:lang w:val="es-ES"/>
        </w:rPr>
        <w:t>Metodología</w:t>
      </w:r>
    </w:p>
    <w:p w:rsidR="005545D9" w:rsidRDefault="005545D9" w:rsidP="006C5E21">
      <w:pPr>
        <w:rPr>
          <w:lang w:val="es-ES"/>
        </w:rPr>
      </w:pPr>
      <w:r>
        <w:rPr>
          <w:lang w:val="es-ES"/>
        </w:rPr>
        <w:t>El esquema metodológico empleado para la construcción del modelo hidrológico, incluyo la estimación de temperatura y evapotranspiración, tomando en cuenta no se contó con esta información en la base de datos consultada.</w:t>
      </w:r>
    </w:p>
    <w:p w:rsidR="00015E74" w:rsidRDefault="00015E74" w:rsidP="00707595">
      <w:pPr>
        <w:rPr>
          <w:lang w:val="es-ES"/>
        </w:rPr>
      </w:pPr>
      <w:r>
        <w:rPr>
          <w:lang w:val="es-ES"/>
        </w:rPr>
        <w:t xml:space="preserve">En concordancia con lo anterior, la temperatura y la evapotranspiración fueron estimadas  respectivamente, mediante el modelo regional propuesto por </w:t>
      </w:r>
      <w:r w:rsidR="00707595">
        <w:rPr>
          <w:lang w:val="es-ES"/>
        </w:rPr>
        <w:t xml:space="preserve">Chávez y </w:t>
      </w:r>
      <w:r w:rsidR="00707595" w:rsidRPr="00707595">
        <w:rPr>
          <w:lang w:val="es-ES"/>
        </w:rPr>
        <w:t>Jaramillo</w:t>
      </w:r>
      <w:r>
        <w:rPr>
          <w:lang w:val="es-ES"/>
        </w:rPr>
        <w:t xml:space="preserve"> y el m</w:t>
      </w:r>
      <w:r w:rsidR="00D85EAF">
        <w:rPr>
          <w:lang w:val="es-ES"/>
        </w:rPr>
        <w:t xml:space="preserve">odelo propuesto por </w:t>
      </w:r>
      <w:proofErr w:type="spellStart"/>
      <w:r w:rsidR="00D85EAF">
        <w:rPr>
          <w:lang w:val="es-ES"/>
        </w:rPr>
        <w:t>Turc</w:t>
      </w:r>
      <w:proofErr w:type="spellEnd"/>
      <w:r w:rsidR="00D85EAF">
        <w:rPr>
          <w:lang w:val="es-ES"/>
        </w:rPr>
        <w:t>. La descripción</w:t>
      </w:r>
      <w:r>
        <w:rPr>
          <w:lang w:val="es-ES"/>
        </w:rPr>
        <w:t xml:space="preserve"> de </w:t>
      </w:r>
      <w:r w:rsidR="00D85EAF">
        <w:rPr>
          <w:lang w:val="es-ES"/>
        </w:rPr>
        <w:t>estas metodologías</w:t>
      </w:r>
      <w:r>
        <w:rPr>
          <w:lang w:val="es-ES"/>
        </w:rPr>
        <w:t>, se presentan a continuación:</w:t>
      </w:r>
    </w:p>
    <w:p w:rsidR="007C6E77" w:rsidRDefault="00015E74" w:rsidP="00B80043">
      <w:pPr>
        <w:pStyle w:val="Ttulo2"/>
      </w:pPr>
      <w:r>
        <w:t xml:space="preserve">Modelo Regional de </w:t>
      </w:r>
      <w:r w:rsidR="00707595">
        <w:rPr>
          <w:lang w:val="es-ES"/>
        </w:rPr>
        <w:t xml:space="preserve">Chávez y </w:t>
      </w:r>
      <w:r w:rsidR="00707595" w:rsidRPr="00707595">
        <w:rPr>
          <w:lang w:val="es-ES"/>
        </w:rPr>
        <w:t>Jaramillo</w:t>
      </w:r>
      <w:r>
        <w:t xml:space="preserve"> (</w:t>
      </w:r>
      <w:r w:rsidR="007C6E77">
        <w:t>Temperatura</w:t>
      </w:r>
      <w:bookmarkStart w:id="0" w:name="_Toc459651136"/>
      <w:r>
        <w:t>)</w:t>
      </w:r>
    </w:p>
    <w:p w:rsidR="00EC234B" w:rsidRDefault="004B0F64" w:rsidP="004B0F64">
      <w:pPr>
        <w:rPr>
          <w:lang w:val="es-CO"/>
        </w:rPr>
      </w:pPr>
      <w:r w:rsidRPr="004B0F64">
        <w:rPr>
          <w:lang w:val="es-CO"/>
        </w:rPr>
        <w:t>En Colombia la temperatura superficial del aire está fuertem</w:t>
      </w:r>
      <w:r>
        <w:rPr>
          <w:lang w:val="es-CO"/>
        </w:rPr>
        <w:t xml:space="preserve">ente condicionada por la altura </w:t>
      </w:r>
      <w:r w:rsidRPr="004B0F64">
        <w:rPr>
          <w:lang w:val="es-CO"/>
        </w:rPr>
        <w:t>sobre el nivel del mar. El método de regionalización p</w:t>
      </w:r>
      <w:r>
        <w:rPr>
          <w:lang w:val="es-CO"/>
        </w:rPr>
        <w:t xml:space="preserve">ropuesto por </w:t>
      </w:r>
      <w:proofErr w:type="spellStart"/>
      <w:r>
        <w:rPr>
          <w:lang w:val="es-CO"/>
        </w:rPr>
        <w:t>Cenicafé</w:t>
      </w:r>
      <w:proofErr w:type="spellEnd"/>
      <w:r>
        <w:rPr>
          <w:lang w:val="es-CO"/>
        </w:rPr>
        <w:t xml:space="preserve"> (Chávez y </w:t>
      </w:r>
      <w:r w:rsidRPr="004B0F64">
        <w:rPr>
          <w:lang w:val="es-CO"/>
        </w:rPr>
        <w:t xml:space="preserve">Jaramillo, 1998) </w:t>
      </w:r>
      <w:r>
        <w:rPr>
          <w:lang w:val="es-CO"/>
        </w:rPr>
        <w:t>permite</w:t>
      </w:r>
      <w:r w:rsidRPr="004B0F64">
        <w:rPr>
          <w:lang w:val="es-CO"/>
        </w:rPr>
        <w:t xml:space="preserve"> estimar la </w:t>
      </w:r>
      <w:r>
        <w:rPr>
          <w:lang w:val="es-CO"/>
        </w:rPr>
        <w:t xml:space="preserve">temperatura media anual multianual en </w:t>
      </w:r>
      <w:r w:rsidRPr="004B0F64">
        <w:rPr>
          <w:lang w:val="es-CO"/>
        </w:rPr>
        <w:t>cualquier lugar del país. Dicha regionalización fue elabora</w:t>
      </w:r>
      <w:r>
        <w:rPr>
          <w:lang w:val="es-CO"/>
        </w:rPr>
        <w:t xml:space="preserve">da para las diferentes regiones </w:t>
      </w:r>
      <w:r w:rsidRPr="004B0F64">
        <w:rPr>
          <w:lang w:val="es-CO"/>
        </w:rPr>
        <w:t>del país tomando como información básica los registros de temperatura media mensua</w:t>
      </w:r>
      <w:r>
        <w:rPr>
          <w:lang w:val="es-CO"/>
        </w:rPr>
        <w:t xml:space="preserve">l del </w:t>
      </w:r>
      <w:r w:rsidRPr="004B0F64">
        <w:rPr>
          <w:lang w:val="es-CO"/>
        </w:rPr>
        <w:t>aire en superficie de 1002 estaciones.</w:t>
      </w:r>
      <w:r>
        <w:rPr>
          <w:lang w:val="es-CO"/>
        </w:rPr>
        <w:t xml:space="preserve"> Particularmente, la expresión matemática obtenida para la región Andina, se presenta a continuación.</w:t>
      </w:r>
    </w:p>
    <w:p w:rsidR="004B0F64" w:rsidRPr="00BD719D" w:rsidRDefault="00BD719D" w:rsidP="004B0F64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T=28.3079+(0.0056517*H)</m:t>
          </m:r>
        </m:oMath>
      </m:oMathPara>
    </w:p>
    <w:p w:rsidR="00BD719D" w:rsidRDefault="00BD719D" w:rsidP="004B0F64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Dónde:</w:t>
      </w:r>
    </w:p>
    <w:p w:rsidR="00BD719D" w:rsidRDefault="0013560B" w:rsidP="004B0F64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T</w:t>
      </w:r>
      <w:r>
        <w:rPr>
          <w:rFonts w:eastAsiaTheme="minorEastAsia"/>
          <w:lang w:val="es-CO"/>
        </w:rPr>
        <w:tab/>
      </w:r>
      <w:r w:rsidR="00BD719D">
        <w:rPr>
          <w:rFonts w:eastAsiaTheme="minorEastAsia"/>
          <w:lang w:val="es-CO"/>
        </w:rPr>
        <w:t>Temperatura Media Anual Multianual en °C</w:t>
      </w:r>
    </w:p>
    <w:p w:rsidR="00BD719D" w:rsidRPr="00EC234B" w:rsidRDefault="00BD719D" w:rsidP="004B0F64">
      <w:pPr>
        <w:rPr>
          <w:lang w:val="es-CO"/>
        </w:rPr>
      </w:pPr>
      <w:r>
        <w:rPr>
          <w:rFonts w:eastAsiaTheme="minorEastAsia"/>
          <w:lang w:val="es-CO"/>
        </w:rPr>
        <w:t>H</w:t>
      </w:r>
      <w:r>
        <w:rPr>
          <w:rFonts w:eastAsiaTheme="minorEastAsia"/>
          <w:lang w:val="es-CO"/>
        </w:rPr>
        <w:tab/>
        <w:t>Elevación en msnm</w:t>
      </w:r>
    </w:p>
    <w:p w:rsidR="00B80043" w:rsidRDefault="00015E74" w:rsidP="00EC234B">
      <w:pPr>
        <w:pStyle w:val="Ttulo2"/>
      </w:pPr>
      <w:r>
        <w:t xml:space="preserve">Modelo de </w:t>
      </w:r>
      <w:proofErr w:type="spellStart"/>
      <w:r w:rsidRPr="00ED5470">
        <w:t>Turc</w:t>
      </w:r>
      <w:proofErr w:type="spellEnd"/>
      <w:r w:rsidR="00B80043">
        <w:t xml:space="preserve"> </w:t>
      </w:r>
      <w:r>
        <w:t>(</w:t>
      </w:r>
      <w:r w:rsidR="00B80043">
        <w:t>Evapotranspiración</w:t>
      </w:r>
      <w:r>
        <w:t>)</w:t>
      </w:r>
    </w:p>
    <w:bookmarkEnd w:id="0"/>
    <w:p w:rsidR="0077760E" w:rsidRPr="0077760E" w:rsidRDefault="0077760E" w:rsidP="00B80043">
      <w:pPr>
        <w:rPr>
          <w:lang w:val="es-ES"/>
        </w:rPr>
      </w:pPr>
      <w:proofErr w:type="spellStart"/>
      <w:r w:rsidRPr="0077760E">
        <w:rPr>
          <w:lang w:val="es-ES"/>
        </w:rPr>
        <w:t>Turc</w:t>
      </w:r>
      <w:proofErr w:type="spellEnd"/>
      <w:r w:rsidRPr="0077760E">
        <w:rPr>
          <w:lang w:val="es-ES"/>
        </w:rPr>
        <w:t xml:space="preserve"> propuso un método para el cálculo de la evapotranspiración, basado en la precipitación y la temperatura. La ecuación fue establecida empíricamente comparando las precipitaciones y la escorrentía total de 254 cuencas, pero su aplicación no ha resultado acertada en otras cuencas u </w:t>
      </w:r>
      <w:r w:rsidRPr="0077760E">
        <w:rPr>
          <w:lang w:val="es-ES"/>
        </w:rPr>
        <w:lastRenderedPageBreak/>
        <w:t xml:space="preserve">otras regiones donde las características climáticas y topográficas son diferentes. La fórmula de </w:t>
      </w:r>
      <w:proofErr w:type="spellStart"/>
      <w:r w:rsidRPr="0077760E">
        <w:rPr>
          <w:lang w:val="es-ES"/>
        </w:rPr>
        <w:t>Turc</w:t>
      </w:r>
      <w:proofErr w:type="spellEnd"/>
      <w:r w:rsidRPr="0077760E">
        <w:rPr>
          <w:lang w:val="es-ES"/>
        </w:rPr>
        <w:t xml:space="preserve"> se utiliza para calcular la evapotranspiración anual en milímetros.</w:t>
      </w:r>
    </w:p>
    <w:p w:rsidR="0077760E" w:rsidRPr="0077760E" w:rsidRDefault="00394D43" w:rsidP="0077760E">
      <w:pPr>
        <w:pStyle w:val="Epgrafe"/>
        <w:jc w:val="center"/>
        <w:rPr>
          <w:color w:val="000000" w:themeColor="text1"/>
          <w:sz w:val="22"/>
        </w:rPr>
      </w:pPr>
      <m:oMathPara>
        <m:oMath>
          <m:r>
            <w:rPr>
              <w:rFonts w:ascii="Cambria Math" w:hAnsi="Cambria Math"/>
              <w:color w:val="000000" w:themeColor="text1"/>
              <w:sz w:val="22"/>
            </w:rPr>
            <m:t>ETR=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</w:rPr>
                <m:t>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000000" w:themeColor="text1"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0.9+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77760E" w:rsidRPr="0077760E" w:rsidRDefault="0077760E" w:rsidP="00B80043">
      <w:pPr>
        <w:rPr>
          <w:lang w:val="es-ES"/>
        </w:rPr>
      </w:pPr>
      <w:r w:rsidRPr="0077760E">
        <w:rPr>
          <w:lang w:val="es-ES"/>
        </w:rPr>
        <w:t xml:space="preserve">P es la precipitación media anual expresada en mm y la expresión </w:t>
      </w:r>
      <w:proofErr w:type="gramStart"/>
      <w:r w:rsidRPr="0077760E">
        <w:rPr>
          <w:lang w:val="es-ES"/>
        </w:rPr>
        <w:t>L(</w:t>
      </w:r>
      <w:proofErr w:type="gramEnd"/>
      <w:r w:rsidRPr="0077760E">
        <w:rPr>
          <w:lang w:val="es-ES"/>
        </w:rPr>
        <w:t>t) se define como:</w:t>
      </w:r>
    </w:p>
    <w:p w:rsidR="0077760E" w:rsidRPr="00B80043" w:rsidRDefault="0077760E" w:rsidP="0077760E">
      <w:pPr>
        <w:pStyle w:val="Epgrafe"/>
        <w:jc w:val="center"/>
        <w:rPr>
          <w:color w:val="000000" w:themeColor="text1"/>
          <w:sz w:val="22"/>
        </w:rPr>
      </w:pPr>
      <m:oMathPara>
        <m:oMath>
          <m:r>
            <w:rPr>
              <w:rFonts w:ascii="Cambria Math" w:hAnsi="Cambria Math"/>
              <w:color w:val="000000" w:themeColor="text1"/>
              <w:sz w:val="22"/>
            </w:rPr>
            <m:t>L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2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sz w:val="22"/>
            </w:rPr>
            <m:t>=300+25t+0.05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2"/>
                </w:rPr>
                <m:t>2</m:t>
              </m:r>
            </m:sup>
          </m:sSup>
        </m:oMath>
      </m:oMathPara>
    </w:p>
    <w:p w:rsidR="0077760E" w:rsidRPr="00B80043" w:rsidRDefault="0077760E" w:rsidP="00B80043">
      <w:pPr>
        <w:rPr>
          <w:sz w:val="28"/>
          <w:lang w:val="es-ES"/>
        </w:rPr>
      </w:pPr>
      <w:r w:rsidRPr="0077760E">
        <w:rPr>
          <w:lang w:val="es-ES"/>
        </w:rPr>
        <w:t>Donde t es la tempera</w:t>
      </w:r>
      <w:r>
        <w:rPr>
          <w:lang w:val="es-ES"/>
        </w:rPr>
        <w:t>tura media mensual del aire en °</w:t>
      </w:r>
      <w:r w:rsidRPr="0077760E">
        <w:rPr>
          <w:lang w:val="es-ES"/>
        </w:rPr>
        <w:t xml:space="preserve">C. La ecuación de </w:t>
      </w:r>
      <w:proofErr w:type="spellStart"/>
      <w:r w:rsidRPr="0077760E">
        <w:rPr>
          <w:lang w:val="es-ES"/>
        </w:rPr>
        <w:t>Turc</w:t>
      </w:r>
      <w:proofErr w:type="spellEnd"/>
      <w:r w:rsidRPr="0077760E">
        <w:rPr>
          <w:lang w:val="es-ES"/>
        </w:rPr>
        <w:t xml:space="preserve"> es válida si se cumple la siguiente condición:</w:t>
      </w:r>
    </w:p>
    <w:p w:rsidR="007C6E77" w:rsidRPr="0013560B" w:rsidRDefault="001600EC" w:rsidP="00B80043">
      <w:pPr>
        <w:pStyle w:val="Epgrafe"/>
        <w:jc w:val="center"/>
        <w:rPr>
          <w:rFonts w:asciiTheme="majorHAnsi" w:eastAsiaTheme="minorEastAsia" w:hAnsiTheme="majorHAnsi"/>
          <w:i w:val="0"/>
          <w:color w:val="000000" w:themeColor="text1"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</w:rPr>
                <m:t>P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</w:rPr>
                <m:t>L</m:t>
              </m:r>
            </m:den>
          </m:f>
          <m:r>
            <w:rPr>
              <w:rFonts w:ascii="Cambria Math" w:hAnsi="Cambria Math"/>
              <w:color w:val="000000" w:themeColor="text1"/>
              <w:sz w:val="22"/>
            </w:rPr>
            <m:t xml:space="preserve">≥0.316 </m:t>
          </m:r>
          <m:r>
            <w:rPr>
              <w:rFonts w:ascii="Cambria Math" w:hAnsi="Cambria Math"/>
              <w:color w:val="000000" w:themeColor="text1"/>
              <w:sz w:val="22"/>
            </w:rPr>
            <m:t>caso c</m:t>
          </m:r>
          <m:r>
            <w:rPr>
              <w:rFonts w:ascii="Cambria Math" w:hAnsi="Cambria Math"/>
              <w:color w:val="000000" w:themeColor="text1"/>
              <w:sz w:val="22"/>
            </w:rPr>
            <m:t>ontrario:ETR=P</m:t>
          </m:r>
        </m:oMath>
      </m:oMathPara>
    </w:p>
    <w:p w:rsidR="0013560B" w:rsidRDefault="0013560B" w:rsidP="0013560B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Ahora bien, reconociendo que exi</w:t>
      </w:r>
      <w:r w:rsidR="00394D43">
        <w:rPr>
          <w:rFonts w:eastAsiaTheme="minorEastAsia"/>
          <w:lang w:val="es-CO"/>
        </w:rPr>
        <w:t>s</w:t>
      </w:r>
      <w:r>
        <w:rPr>
          <w:rFonts w:eastAsiaTheme="minorEastAsia"/>
          <w:lang w:val="es-CO"/>
        </w:rPr>
        <w:t xml:space="preserve">te una incertidumbre asociada a la </w:t>
      </w:r>
      <w:r w:rsidR="00394D43">
        <w:rPr>
          <w:rFonts w:eastAsiaTheme="minorEastAsia"/>
          <w:lang w:val="es-CO"/>
        </w:rPr>
        <w:t>estimación de la ETR mediante</w:t>
      </w:r>
    </w:p>
    <w:p w:rsidR="00394D43" w:rsidRPr="0013560B" w:rsidRDefault="00394D43" w:rsidP="0013560B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ETR= ETR*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:rsidR="007C6E77" w:rsidRDefault="00B80043" w:rsidP="007C6E77">
      <w:pPr>
        <w:pStyle w:val="Ttulo1"/>
        <w:rPr>
          <w:lang w:val="es-CO"/>
        </w:rPr>
      </w:pPr>
      <w:r>
        <w:rPr>
          <w:lang w:val="es-CO"/>
        </w:rPr>
        <w:t>Modelo Hidrológico</w:t>
      </w:r>
    </w:p>
    <w:p w:rsidR="007C6E77" w:rsidRDefault="009017B9" w:rsidP="009017B9">
      <w:pPr>
        <w:tabs>
          <w:tab w:val="left" w:pos="1703"/>
        </w:tabs>
        <w:rPr>
          <w:lang w:val="es-CO"/>
        </w:rPr>
      </w:pPr>
      <w:r>
        <w:rPr>
          <w:lang w:val="es-CO"/>
        </w:rPr>
        <w:t xml:space="preserve">El modelo hidrológico utilizado para la estimación de caudales medios anuales multianuales, correspondido al propuesto por </w:t>
      </w:r>
      <w:proofErr w:type="spellStart"/>
      <w:r>
        <w:rPr>
          <w:lang w:val="es-CO"/>
        </w:rPr>
        <w:t>Turc</w:t>
      </w:r>
      <w:proofErr w:type="spellEnd"/>
      <w:r>
        <w:rPr>
          <w:lang w:val="es-CO"/>
        </w:rPr>
        <w:t>, el cual se describe a continuación:</w:t>
      </w:r>
    </w:p>
    <w:p w:rsidR="009017B9" w:rsidRPr="0013560B" w:rsidRDefault="009017B9" w:rsidP="009017B9">
      <w:pPr>
        <w:tabs>
          <w:tab w:val="left" w:pos="1703"/>
        </w:tabs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P-ETR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3153600000</m:t>
              </m:r>
            </m:den>
          </m:f>
        </m:oMath>
      </m:oMathPara>
    </w:p>
    <w:p w:rsidR="0013560B" w:rsidRDefault="0013560B" w:rsidP="009017B9">
      <w:pPr>
        <w:tabs>
          <w:tab w:val="left" w:pos="1703"/>
        </w:tabs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Dónde:</w:t>
      </w:r>
    </w:p>
    <w:p w:rsidR="0013560B" w:rsidRDefault="0013560B" w:rsidP="009017B9">
      <w:pPr>
        <w:tabs>
          <w:tab w:val="left" w:pos="1703"/>
        </w:tabs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</w:t>
      </w:r>
      <w:r>
        <w:rPr>
          <w:rFonts w:eastAsiaTheme="minorEastAsia"/>
          <w:lang w:val="es-CO"/>
        </w:rPr>
        <w:tab/>
        <w:t>Precipitación media anual multianual (mm)</w:t>
      </w:r>
    </w:p>
    <w:p w:rsidR="0013560B" w:rsidRDefault="0013560B" w:rsidP="009017B9">
      <w:pPr>
        <w:tabs>
          <w:tab w:val="left" w:pos="1703"/>
        </w:tabs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ETR</w:t>
      </w:r>
      <w:r>
        <w:rPr>
          <w:rFonts w:eastAsiaTheme="minorEastAsia"/>
          <w:lang w:val="es-CO"/>
        </w:rPr>
        <w:tab/>
        <w:t>Evapotranspiración media anual multianual (mm)</w:t>
      </w:r>
    </w:p>
    <w:p w:rsidR="0013560B" w:rsidRPr="0013560B" w:rsidRDefault="0013560B" w:rsidP="009017B9">
      <w:pPr>
        <w:tabs>
          <w:tab w:val="left" w:pos="1703"/>
        </w:tabs>
        <w:rPr>
          <w:rFonts w:eastAsiaTheme="minorEastAsia"/>
          <w:lang w:val="es-CO"/>
        </w:rPr>
      </w:pPr>
    </w:p>
    <w:p w:rsidR="00D85EAF" w:rsidRDefault="00D85EAF" w:rsidP="00D85EAF">
      <w:pPr>
        <w:pStyle w:val="Ttulo1"/>
        <w:rPr>
          <w:lang w:val="es-CO"/>
        </w:rPr>
      </w:pPr>
      <w:r>
        <w:rPr>
          <w:lang w:val="es-CO"/>
        </w:rPr>
        <w:t>Esquema de Calibración</w:t>
      </w:r>
    </w:p>
    <w:p w:rsidR="00D85EAF" w:rsidRDefault="00D85EAF" w:rsidP="007C6E77">
      <w:pPr>
        <w:rPr>
          <w:lang w:val="es-CO"/>
        </w:rPr>
      </w:pPr>
    </w:p>
    <w:p w:rsidR="007C6E77" w:rsidRDefault="007C6E77" w:rsidP="007C6E77">
      <w:pPr>
        <w:pStyle w:val="Ttulo1"/>
        <w:rPr>
          <w:lang w:val="es-CO"/>
        </w:rPr>
      </w:pPr>
      <w:r>
        <w:rPr>
          <w:lang w:val="es-CO"/>
        </w:rPr>
        <w:lastRenderedPageBreak/>
        <w:t>Resultados</w:t>
      </w:r>
    </w:p>
    <w:p w:rsidR="008B1101" w:rsidRDefault="008B1101" w:rsidP="002C2DFA">
      <w:r>
        <w:rPr>
          <w:noProof/>
        </w:rPr>
        <w:drawing>
          <wp:inline distT="0" distB="0" distL="0" distR="0" wp14:anchorId="02AD5B31" wp14:editId="4F90060C">
            <wp:extent cx="5943600" cy="3962400"/>
            <wp:effectExtent l="0" t="0" r="0" b="0"/>
            <wp:docPr id="1" name="Imagen 1" descr="Z:\media\nogales\NogalesBackup\TNC\TNC-Tools\Project\Model_MagdalenaBasin\FIGURES\Scatter-Plot-Calib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media\nogales\NogalesBackup\TNC\TNC-Tools\Project\Model_MagdalenaBasin\FIGURES\Scatter-Plot-Calibr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101" w:rsidRPr="008B1101" w:rsidRDefault="008B1101" w:rsidP="008B1101">
      <w:pPr>
        <w:pStyle w:val="Epgraf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.Calibración</w:t>
      </w:r>
      <w:bookmarkStart w:id="1" w:name="_GoBack"/>
      <w:bookmarkEnd w:id="1"/>
    </w:p>
    <w:p w:rsidR="007C6E77" w:rsidRDefault="00D85EAF" w:rsidP="007C6E77">
      <w:pPr>
        <w:pStyle w:val="Ttulo1"/>
        <w:rPr>
          <w:lang w:val="es-CO"/>
        </w:rPr>
      </w:pPr>
      <w:r>
        <w:rPr>
          <w:lang w:val="es-CO"/>
        </w:rPr>
        <w:t>Conclusiones y Recomendaciones</w:t>
      </w:r>
    </w:p>
    <w:p w:rsidR="00D85EAF" w:rsidRPr="00D85EAF" w:rsidRDefault="00D85EAF" w:rsidP="00D85EAF">
      <w:pPr>
        <w:pStyle w:val="Ttulo1"/>
        <w:rPr>
          <w:lang w:val="es-CO"/>
        </w:rPr>
      </w:pPr>
      <w:r>
        <w:rPr>
          <w:lang w:val="es-CO"/>
        </w:rPr>
        <w:t>Referencias</w:t>
      </w:r>
    </w:p>
    <w:p w:rsidR="004D0811" w:rsidRPr="004D0811" w:rsidRDefault="004D0811">
      <w:pPr>
        <w:rPr>
          <w:lang w:val="es-ES"/>
        </w:rPr>
      </w:pPr>
    </w:p>
    <w:sectPr w:rsidR="004D0811" w:rsidRPr="004D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akar">
    <w:charset w:val="00"/>
    <w:family w:val="auto"/>
    <w:pitch w:val="variable"/>
    <w:sig w:usb0="80040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0308A"/>
    <w:multiLevelType w:val="multilevel"/>
    <w:tmpl w:val="B600AB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>
    <w:nsid w:val="76D52042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11"/>
    <w:rsid w:val="00015E74"/>
    <w:rsid w:val="0013560B"/>
    <w:rsid w:val="001600EC"/>
    <w:rsid w:val="002C2DFA"/>
    <w:rsid w:val="0033575E"/>
    <w:rsid w:val="00394D43"/>
    <w:rsid w:val="004B0F64"/>
    <w:rsid w:val="004D0811"/>
    <w:rsid w:val="005545D9"/>
    <w:rsid w:val="00586FDC"/>
    <w:rsid w:val="005C2EED"/>
    <w:rsid w:val="006132F3"/>
    <w:rsid w:val="006C5E21"/>
    <w:rsid w:val="00707595"/>
    <w:rsid w:val="0077760E"/>
    <w:rsid w:val="007C6E77"/>
    <w:rsid w:val="007E4AE9"/>
    <w:rsid w:val="00805C00"/>
    <w:rsid w:val="008A1A31"/>
    <w:rsid w:val="008B1101"/>
    <w:rsid w:val="009017B9"/>
    <w:rsid w:val="00B03BC8"/>
    <w:rsid w:val="00B80043"/>
    <w:rsid w:val="00BD719D"/>
    <w:rsid w:val="00D85EAF"/>
    <w:rsid w:val="00EC234B"/>
    <w:rsid w:val="00ED5470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21"/>
    <w:pPr>
      <w:spacing w:after="120"/>
      <w:jc w:val="both"/>
    </w:pPr>
    <w:rPr>
      <w:rFonts w:asciiTheme="majorHAnsi" w:hAnsiTheme="majorHAnsi"/>
      <w:color w:val="17365D" w:themeColor="text2" w:themeShade="BF"/>
    </w:rPr>
  </w:style>
  <w:style w:type="paragraph" w:styleId="Ttulo1">
    <w:name w:val="heading 1"/>
    <w:basedOn w:val="Normal"/>
    <w:next w:val="Normal"/>
    <w:link w:val="Ttulo1Car"/>
    <w:uiPriority w:val="9"/>
    <w:qFormat/>
    <w:rsid w:val="006C5E21"/>
    <w:pPr>
      <w:keepNext/>
      <w:keepLines/>
      <w:numPr>
        <w:numId w:val="2"/>
      </w:numPr>
      <w:spacing w:before="120"/>
      <w:outlineLvl w:val="0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34B"/>
    <w:pPr>
      <w:keepNext/>
      <w:keepLines/>
      <w:numPr>
        <w:ilvl w:val="1"/>
        <w:numId w:val="2"/>
      </w:numPr>
      <w:spacing w:before="120" w:line="259" w:lineRule="auto"/>
      <w:outlineLvl w:val="1"/>
    </w:pPr>
    <w:rPr>
      <w:rFonts w:eastAsiaTheme="majorEastAsia" w:cstheme="majorBidi"/>
      <w:b/>
      <w:color w:val="0F243E" w:themeColor="text2" w:themeShade="80"/>
      <w:sz w:val="24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043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043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043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043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043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043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043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EC234B"/>
    <w:rPr>
      <w:rFonts w:asciiTheme="majorHAnsi" w:eastAsiaTheme="majorEastAsia" w:hAnsiTheme="majorHAnsi" w:cstheme="majorBidi"/>
      <w:b/>
      <w:color w:val="0F243E" w:themeColor="text2" w:themeShade="80"/>
      <w:sz w:val="24"/>
      <w:szCs w:val="26"/>
      <w:lang w:val="es-CO"/>
    </w:rPr>
  </w:style>
  <w:style w:type="paragraph" w:styleId="Epgrafe">
    <w:name w:val="caption"/>
    <w:basedOn w:val="Normal"/>
    <w:next w:val="Normal"/>
    <w:uiPriority w:val="35"/>
    <w:unhideWhenUsed/>
    <w:qFormat/>
    <w:rsid w:val="0077760E"/>
    <w:pPr>
      <w:spacing w:line="240" w:lineRule="auto"/>
    </w:pPr>
    <w:rPr>
      <w:rFonts w:ascii="Times New Roman" w:hAnsi="Times New Roman"/>
      <w:i/>
      <w:iCs/>
      <w:color w:val="1F497D" w:themeColor="text2"/>
      <w:sz w:val="18"/>
      <w:szCs w:val="18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7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60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C5E21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D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D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0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0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0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0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0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0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0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0759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21"/>
    <w:pPr>
      <w:spacing w:after="120"/>
      <w:jc w:val="both"/>
    </w:pPr>
    <w:rPr>
      <w:rFonts w:asciiTheme="majorHAnsi" w:hAnsiTheme="majorHAnsi"/>
      <w:color w:val="17365D" w:themeColor="text2" w:themeShade="BF"/>
    </w:rPr>
  </w:style>
  <w:style w:type="paragraph" w:styleId="Ttulo1">
    <w:name w:val="heading 1"/>
    <w:basedOn w:val="Normal"/>
    <w:next w:val="Normal"/>
    <w:link w:val="Ttulo1Car"/>
    <w:uiPriority w:val="9"/>
    <w:qFormat/>
    <w:rsid w:val="006C5E21"/>
    <w:pPr>
      <w:keepNext/>
      <w:keepLines/>
      <w:numPr>
        <w:numId w:val="2"/>
      </w:numPr>
      <w:spacing w:before="120"/>
      <w:outlineLvl w:val="0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34B"/>
    <w:pPr>
      <w:keepNext/>
      <w:keepLines/>
      <w:numPr>
        <w:ilvl w:val="1"/>
        <w:numId w:val="2"/>
      </w:numPr>
      <w:spacing w:before="120" w:line="259" w:lineRule="auto"/>
      <w:outlineLvl w:val="1"/>
    </w:pPr>
    <w:rPr>
      <w:rFonts w:eastAsiaTheme="majorEastAsia" w:cstheme="majorBidi"/>
      <w:b/>
      <w:color w:val="0F243E" w:themeColor="text2" w:themeShade="80"/>
      <w:sz w:val="24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043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043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043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043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043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043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043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EC234B"/>
    <w:rPr>
      <w:rFonts w:asciiTheme="majorHAnsi" w:eastAsiaTheme="majorEastAsia" w:hAnsiTheme="majorHAnsi" w:cstheme="majorBidi"/>
      <w:b/>
      <w:color w:val="0F243E" w:themeColor="text2" w:themeShade="80"/>
      <w:sz w:val="24"/>
      <w:szCs w:val="26"/>
      <w:lang w:val="es-CO"/>
    </w:rPr>
  </w:style>
  <w:style w:type="paragraph" w:styleId="Epgrafe">
    <w:name w:val="caption"/>
    <w:basedOn w:val="Normal"/>
    <w:next w:val="Normal"/>
    <w:uiPriority w:val="35"/>
    <w:unhideWhenUsed/>
    <w:qFormat/>
    <w:rsid w:val="0077760E"/>
    <w:pPr>
      <w:spacing w:line="240" w:lineRule="auto"/>
    </w:pPr>
    <w:rPr>
      <w:rFonts w:ascii="Times New Roman" w:hAnsi="Times New Roman"/>
      <w:i/>
      <w:iCs/>
      <w:color w:val="1F497D" w:themeColor="text2"/>
      <w:sz w:val="18"/>
      <w:szCs w:val="18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7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60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C5E21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D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D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0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0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0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0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0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0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0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07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nogales</dc:creator>
  <cp:keywords/>
  <dc:description/>
  <cp:lastModifiedBy>nogales</cp:lastModifiedBy>
  <cp:revision>18</cp:revision>
  <dcterms:created xsi:type="dcterms:W3CDTF">2018-08-16T15:21:00Z</dcterms:created>
  <dcterms:modified xsi:type="dcterms:W3CDTF">2018-09-05T22:03:00Z</dcterms:modified>
</cp:coreProperties>
</file>