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spacing w:line="480" w:lineRule="auto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哈尔滨工程大学教务处 制</w:t>
      </w:r>
    </w:p>
    <w:p>
      <w:pPr>
        <w:rPr>
          <w:rFonts w:hint="default"/>
          <w:sz w:val="21"/>
          <w:szCs w:val="24"/>
        </w:rPr>
      </w:pPr>
    </w:p>
    <w:p>
      <w:pPr>
        <w:ind w:firstLine="413" w:firstLineChars="196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一、实验目的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1．掌握用测量线测量阻抗的原理和方法。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2．学习匹配技术。</w:t>
      </w: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二、实验原理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1．阻抗测量的基本原理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微波元器件或天线系统的输入阻抗是微波工程中的重要参数，因而阻抗测量也是重要内容之一，本实验学习用驻波测量线测量单端口微波元件输入阻抗的方法。</w:t>
      </w:r>
    </w:p>
    <w:p>
      <w:pPr>
        <w:ind w:firstLine="43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根据传输线理论，传输系统中驻波分布与终端负载阻抗直接有关，表征驻波待性的两个参量，驻波比</w:t>
      </w:r>
      <w:r>
        <w:rPr>
          <w:position w:val="-10"/>
          <w:sz w:val="21"/>
          <w:szCs w:val="21"/>
        </w:rPr>
        <w:object>
          <v:shape id="_x0000_i102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1"/>
          <w:szCs w:val="21"/>
        </w:rPr>
        <w:t>及相位</w:t>
      </w:r>
      <w:r>
        <w:rPr>
          <w:position w:val="-10"/>
          <w:sz w:val="21"/>
          <w:szCs w:val="21"/>
        </w:rPr>
        <w:object>
          <v:shape id="_x0000_i1026" o:spt="75" type="#_x0000_t75" style="height:17pt;width:24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1"/>
          <w:szCs w:val="21"/>
        </w:rPr>
        <w:t>与负载阻抗的关系如下式所示：</w:t>
      </w:r>
    </w:p>
    <w:p>
      <w:pPr>
        <w:wordWrap w:val="0"/>
        <w:jc w:val="right"/>
        <w:rPr>
          <w:rFonts w:hint="eastAsia" w:eastAsia="宋体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144780</wp:posOffset>
            </wp:positionV>
            <wp:extent cx="1857375" cy="1276350"/>
            <wp:effectExtent l="0" t="0" r="9525" b="0"/>
            <wp:wrapTight wrapText="bothSides">
              <wp:wrapPolygon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4" name="图片 2" descr="2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30"/>
          <w:sz w:val="21"/>
          <w:szCs w:val="21"/>
        </w:rPr>
        <w:object>
          <v:shape id="_x0000_i1027" o:spt="75" type="#_x0000_t75" style="height:34pt;width:10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28" o:spt="75" type="#_x0000_t75" style="height:19pt;width:16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sz w:val="21"/>
          <w:szCs w:val="21"/>
        </w:rPr>
        <w:t>为归一化负载阻抗，即单端口微波元件的输入阻抗，</w:t>
      </w:r>
      <w:r>
        <w:rPr>
          <w:position w:val="-10"/>
          <w:sz w:val="21"/>
          <w:szCs w:val="21"/>
        </w:rPr>
        <w:object>
          <v:shape id="_x0000_i1029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>为驻波比，</w:t>
      </w:r>
      <w:r>
        <w:rPr>
          <w:position w:val="-12"/>
          <w:sz w:val="21"/>
          <w:szCs w:val="21"/>
        </w:rPr>
        <w:object>
          <v:shape id="_x0000_i1030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>是终端负载至相邻波节点的距离。因而只需在测量线的输出端接上待测元件，分别测定驻波比</w:t>
      </w:r>
      <w:r>
        <w:rPr>
          <w:position w:val="-10"/>
          <w:sz w:val="21"/>
          <w:szCs w:val="21"/>
        </w:rPr>
        <w:object>
          <v:shape id="_x0000_i1031" o:spt="75" type="#_x0000_t75" style="height:13pt;width:12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sz w:val="21"/>
          <w:szCs w:val="21"/>
        </w:rPr>
        <w:t>、波导波长</w:t>
      </w:r>
      <w:r>
        <w:rPr>
          <w:position w:val="-14"/>
          <w:sz w:val="21"/>
          <w:szCs w:val="21"/>
        </w:rPr>
        <w:object>
          <v:shape id="_x0000_i1032" o:spt="75" type="#_x0000_t75" style="height:19pt;width:13.95pt;" o:ole="t" filled="f" o:preferrelative="t" stroked="f" coordsize="21600,21600">
            <v:path/>
            <v:fill on="f" alignshape="1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sz w:val="21"/>
          <w:szCs w:val="21"/>
        </w:rPr>
        <w:t>及距离</w:t>
      </w:r>
      <w:r>
        <w:rPr>
          <w:position w:val="-12"/>
          <w:sz w:val="21"/>
          <w:szCs w:val="21"/>
        </w:rPr>
        <w:object>
          <v:shape id="_x0000_i1033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1"/>
          <w:szCs w:val="21"/>
        </w:rPr>
        <w:t>，即可或根据阻抗</w:t>
      </w:r>
      <w:r>
        <w:rPr>
          <w:rFonts w:hint="eastAsia"/>
          <w:sz w:val="21"/>
          <w:szCs w:val="21"/>
        </w:rPr>
        <w:t>(或导纳)</w:t>
      </w:r>
      <w:r>
        <w:rPr>
          <w:sz w:val="21"/>
          <w:szCs w:val="21"/>
        </w:rPr>
        <w:t>圆图计算待测元件的输入阻抗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终端负载至相邻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232410</wp:posOffset>
            </wp:positionV>
            <wp:extent cx="1829435" cy="2908935"/>
            <wp:effectExtent l="0" t="0" r="18415" b="5715"/>
            <wp:wrapTight wrapText="bothSides">
              <wp:wrapPolygon>
                <wp:start x="0" y="0"/>
                <wp:lineTo x="0" y="21501"/>
                <wp:lineTo x="21368" y="21501"/>
                <wp:lineTo x="21368" y="0"/>
                <wp:lineTo x="0" y="0"/>
              </wp:wrapPolygon>
            </wp:wrapTight>
            <wp:docPr id="5" name="图片 3" descr="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-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(或输入导纳)</w:t>
      </w:r>
      <w:r>
        <w:rPr>
          <w:sz w:val="21"/>
          <w:szCs w:val="21"/>
        </w:rPr>
        <w:t>。</w:t>
      </w:r>
    </w:p>
    <w:p>
      <w:pPr>
        <w:jc w:val="both"/>
        <w:rPr>
          <w:rFonts w:hint="eastAsia"/>
          <w:sz w:val="21"/>
          <w:szCs w:val="21"/>
        </w:rPr>
      </w:pPr>
      <w:r>
        <w:rPr>
          <w:sz w:val="21"/>
          <w:szCs w:val="21"/>
        </w:rPr>
        <w:t>波节点的距离测量</w:t>
      </w:r>
      <w:r>
        <w:rPr>
          <w:position w:val="-12"/>
          <w:sz w:val="21"/>
          <w:szCs w:val="21"/>
        </w:rPr>
        <w:object>
          <v:shape id="_x0000_i1034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sz w:val="21"/>
          <w:szCs w:val="21"/>
        </w:rPr>
        <w:t>时，由于测量线结构的限制，直接测量待测元件输入端面到相邻驻波节点的距离有困难，因此实际测量中常用</w:t>
      </w:r>
      <w:r>
        <w:rPr>
          <w:rFonts w:hint="eastAsia"/>
          <w:sz w:val="21"/>
          <w:szCs w:val="21"/>
        </w:rPr>
        <w:t>“</w:t>
      </w:r>
      <w:r>
        <w:rPr>
          <w:sz w:val="21"/>
          <w:szCs w:val="21"/>
        </w:rPr>
        <w:t>等效截面法</w:t>
      </w:r>
      <w:r>
        <w:rPr>
          <w:rFonts w:hint="eastAsia"/>
          <w:sz w:val="21"/>
          <w:szCs w:val="21"/>
        </w:rPr>
        <w:t>”</w:t>
      </w:r>
      <w:r>
        <w:rPr>
          <w:sz w:val="21"/>
          <w:szCs w:val="21"/>
        </w:rPr>
        <w:t>。首先让测量线终端短路，沿线驻波分布如图(a)所示，因而移动测量线探针可测得某一驻波节点位置</w:t>
      </w:r>
      <w:r>
        <w:rPr>
          <w:position w:val="-12"/>
          <w:sz w:val="21"/>
          <w:szCs w:val="21"/>
        </w:rPr>
        <w:object>
          <v:shape id="_x0000_i1035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它与终端距离为半波长的整数倍</w:t>
      </w:r>
      <w:r>
        <w:rPr>
          <w:position w:val="-14"/>
          <w:sz w:val="21"/>
          <w:szCs w:val="21"/>
        </w:rPr>
        <w:object>
          <v:shape id="_x0000_i1036" o:spt="75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 w:val="21"/>
          <w:szCs w:val="21"/>
        </w:rPr>
        <w:t>，此位置即为待测元件输入端面在测量线上的等效位置</w:t>
      </w:r>
      <w:r>
        <w:rPr>
          <w:position w:val="-4"/>
          <w:sz w:val="21"/>
          <w:szCs w:val="21"/>
        </w:rPr>
        <w:object>
          <v:shape id="_x0000_i1037" o:spt="75" type="#_x0000_t75" style="height:13pt;width:11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sz w:val="21"/>
          <w:szCs w:val="21"/>
        </w:rPr>
        <w:t>。当测量线终端换接待测负载时，系统的驻波分布如图(b)所示，由测量线测得</w:t>
      </w:r>
      <w:r>
        <w:rPr>
          <w:position w:val="-12"/>
          <w:sz w:val="21"/>
          <w:szCs w:val="21"/>
        </w:rPr>
        <w:object>
          <v:shape id="_x0000_i1038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sz w:val="21"/>
          <w:szCs w:val="21"/>
        </w:rPr>
        <w:t>左边(向波源方向)的相邻驻波节点位置</w:t>
      </w:r>
      <w:r>
        <w:rPr>
          <w:position w:val="-12"/>
          <w:sz w:val="21"/>
          <w:szCs w:val="21"/>
        </w:rPr>
        <w:object>
          <v:shape id="_x0000_i1039" o:spt="75" type="#_x0000_t75" style="height:18pt;width:22pt;" o:ole="t" filled="f" o:preferrelative="t" stroked="f" coordsize="21600,21600">
            <v:path/>
            <v:fill on="f" alignshape="1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sz w:val="21"/>
          <w:szCs w:val="21"/>
        </w:rPr>
        <w:t>即为终端相邻驻波节点的等效位置，所以</w:t>
      </w:r>
      <w:r>
        <w:rPr>
          <w:position w:val="-14"/>
          <w:sz w:val="21"/>
          <w:szCs w:val="21"/>
        </w:rPr>
        <w:object>
          <v:shape id="_x0000_i1040" o:spt="75" type="#_x0000_t75" style="height:20pt;width:77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sz w:val="21"/>
          <w:szCs w:val="21"/>
        </w:rPr>
        <w:t>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可以计算待测元件的输入阻抗</w:t>
      </w:r>
      <w:r>
        <w:rPr>
          <w:position w:val="-10"/>
          <w:sz w:val="21"/>
          <w:szCs w:val="21"/>
        </w:rPr>
        <w:object>
          <v:shape id="_x0000_i1041" o:spt="75" type="#_x0000_t75" style="height:17pt;width:15pt;" o:ole="t" filled="f" o:preferrelative="t" stroked="f" coordsize="21600,21600">
            <v:path/>
            <v:fill on="f" alignshape="1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/>
          <w:sz w:val="21"/>
          <w:szCs w:val="21"/>
        </w:rPr>
        <w:t>，但工程设计中为方使起见，通常用Smith圆图来求解。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2．匹配技术</w:t>
      </w:r>
      <w:r>
        <w:rPr>
          <w:rStyle w:val="5"/>
          <w:rFonts w:hint="eastAsia"/>
          <w:sz w:val="21"/>
          <w:szCs w:val="21"/>
        </w:rPr>
        <w:footnoteReference w:id="0" w:customMarkFollows="1"/>
        <w:t>①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是微波技术中的一个重要概念，通常包含两方面的意义：一是微波源的匹配，二是负载的匹配。通常微波系统中都希望采用匹配微波源(简称匹配源)，可使波源不再产生二次反射，从而减少测量误差；同时，匹配负载可以从匹配源中取出最大功率。在传输微波功率时，希望负载也是匹配的，因而负载匹配时，传输效率最高、功率容量最大，微波源的工作也较稳定。所以熟悉掌握匹配的原理和有关技巧，对分析和解决微波技术中的实</w:t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677545</wp:posOffset>
            </wp:positionV>
            <wp:extent cx="1582420" cy="1656080"/>
            <wp:effectExtent l="0" t="0" r="17780" b="1270"/>
            <wp:wrapTight wrapText="bothSides">
              <wp:wrapPolygon>
                <wp:start x="0" y="0"/>
                <wp:lineTo x="0" y="21368"/>
                <wp:lineTo x="21323" y="21368"/>
                <wp:lineTo x="21323" y="0"/>
                <wp:lineTo x="0" y="0"/>
              </wp:wrapPolygon>
            </wp:wrapTight>
            <wp:docPr id="1" name="图片 4" descr="2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-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际问题具有十分重要的意义。</w:t>
      </w:r>
    </w:p>
    <w:p>
      <w:pPr>
        <w:ind w:firstLine="420" w:firstLineChars="2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在小功率时构成微波匹配源最简单的办法，是在信号源(它本身并非匹配源)的输出端口接一个衰减量足够大的吸收式衰减器，或一个隔离器。使负载反射的波通过衰减进入到信号源后的二次反射已微不足道，可以忽略。负载的匹配，则是要解决如何消除负载反射的问题。因而调匹配过程的实质，就是使调配器产生一个反射波，其幅度和失配元件产生的反射幅度相等，而相位相反，从而抵消失配元件在系统中引起的反射而达到匹配。                                   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匹配的方法很多，可以根据不同的场合和要求灵活选用。对于固定的负载，通常可在系统中接入隔离器、膜片、销钉、谐振窗以达到匹配目的，而在负载变动的情况下可以接入滑动单螺、多螺及单短截线等各种类型的调配器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本实验利用滑动单螺调配器调配终端负载。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滑动单螺调配器结构示意如</w:t>
      </w:r>
      <w:r>
        <w:rPr>
          <w:rFonts w:hint="eastAsia"/>
          <w:sz w:val="21"/>
          <w:szCs w:val="21"/>
          <w:lang w:val="en-US" w:eastAsia="zh-CN"/>
        </w:rPr>
        <w:t>下</w:t>
      </w:r>
      <w:r>
        <w:rPr>
          <w:rFonts w:hint="eastAsia"/>
          <w:sz w:val="21"/>
          <w:szCs w:val="21"/>
        </w:rPr>
        <w:t>图所示，它是插入矩形波导中的一个穿伸度可以调节的螺钉，并可沿着矩形波导宽壁中心的无辐射缝作纵向移动。其调匹配原理由</w:t>
      </w:r>
      <w:r>
        <w:rPr>
          <w:rFonts w:hint="eastAsia"/>
          <w:sz w:val="21"/>
          <w:szCs w:val="21"/>
          <w:lang w:val="en-US" w:eastAsia="zh-CN"/>
        </w:rPr>
        <w:t>下图</w:t>
      </w:r>
      <w:r>
        <w:rPr>
          <w:rFonts w:hint="eastAsia"/>
          <w:sz w:val="21"/>
          <w:szCs w:val="21"/>
        </w:rPr>
        <w:t>说明。</w:t>
      </w:r>
    </w:p>
    <w:p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928495" cy="1263650"/>
            <wp:effectExtent l="0" t="0" r="14605" b="12700"/>
            <wp:docPr id="2" name="图片 18" descr="2-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2-26a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124075" cy="2067560"/>
            <wp:effectExtent l="0" t="0" r="9525" b="8890"/>
            <wp:docPr id="3" name="图片 19" descr="2-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" descr="2-26b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(a)滑动单螺调配器结构示意图；(b)调匹配原理图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设系统终端导纳</w:t>
      </w:r>
      <w:r>
        <w:rPr>
          <w:position w:val="-6"/>
          <w:sz w:val="21"/>
          <w:szCs w:val="21"/>
        </w:rPr>
        <w:object>
          <v:shape id="_x0000_i1042" o:spt="75" type="#_x0000_t75" style="height:22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1"/>
          <w:szCs w:val="21"/>
        </w:rPr>
        <w:t>在圆图上的对应点为A，当参考面从负载向波源移动时，传输线输入导纳由A点沿等</w:t>
      </w:r>
      <w:r>
        <w:rPr>
          <w:position w:val="-10"/>
          <w:sz w:val="21"/>
          <w:szCs w:val="21"/>
        </w:rPr>
        <w:object>
          <v:shape id="_x0000_i104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1"/>
          <w:szCs w:val="21"/>
        </w:rPr>
        <w:t>圆顺时针方向移动，在到达位置BB面时(与</w:t>
      </w:r>
      <w:r>
        <w:rPr>
          <w:rFonts w:hint="eastAsia"/>
          <w:i/>
          <w:sz w:val="21"/>
          <w:szCs w:val="21"/>
        </w:rPr>
        <w:t>g</w:t>
      </w:r>
      <w:r>
        <w:rPr>
          <w:rFonts w:hint="eastAsia"/>
          <w:sz w:val="21"/>
          <w:szCs w:val="21"/>
        </w:rPr>
        <w:t>＝l的圆相交)，输入导纳</w:t>
      </w:r>
      <w:r>
        <w:rPr>
          <w:position w:val="-10"/>
          <w:sz w:val="21"/>
          <w:szCs w:val="21"/>
        </w:rPr>
        <w:object>
          <v:shape id="_x0000_i1044" o:spt="75" type="#_x0000_t75" style="height:24pt;width:56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1"/>
          <w:szCs w:val="21"/>
        </w:rPr>
        <w:t>，电纳为感性。又因为波导宽壁插入一直径</w:t>
      </w:r>
      <w:r>
        <w:rPr>
          <w:position w:val="-14"/>
          <w:sz w:val="21"/>
          <w:szCs w:val="21"/>
        </w:rPr>
        <w:object>
          <v:shape id="_x0000_i1045" o:spt="75" type="#_x0000_t75" style="height:19pt;width:40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/>
          <w:sz w:val="21"/>
          <w:szCs w:val="21"/>
        </w:rPr>
        <w:t>、插入深度</w:t>
      </w:r>
      <w:r>
        <w:rPr>
          <w:position w:val="-14"/>
          <w:sz w:val="21"/>
          <w:szCs w:val="21"/>
        </w:rPr>
        <w:object>
          <v:shape id="_x0000_i1046" o:spt="75" type="#_x0000_t75" style="height:19pt;width:42.95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/>
          <w:sz w:val="21"/>
          <w:szCs w:val="21"/>
        </w:rPr>
        <w:t>的螺钉时，等效于在传输线上并联一容性电纳，改变螺钉深度，即能改变容性电纳值</w:t>
      </w:r>
      <w:r>
        <w:rPr>
          <w:position w:val="-10"/>
          <w:sz w:val="21"/>
          <w:szCs w:val="21"/>
        </w:rPr>
        <w:object>
          <v:shape id="_x0000_i1047" o:spt="75" type="#_x0000_t75" style="height:17pt;width:26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1"/>
          <w:szCs w:val="21"/>
        </w:rPr>
        <w:t>；因而BB截面上总的归一化导纳为</w:t>
      </w:r>
      <w:r>
        <w:rPr>
          <w:position w:val="-10"/>
          <w:sz w:val="21"/>
          <w:szCs w:val="21"/>
        </w:rPr>
        <w:object>
          <v:shape id="_x0000_i1048" o:spt="75" type="#_x0000_t75" style="height:24pt;width:13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 w:val="21"/>
          <w:szCs w:val="21"/>
        </w:rPr>
        <w:t>。若调节螺钉深度</w:t>
      </w:r>
      <w:r>
        <w:rPr>
          <w:rFonts w:hint="eastAsia"/>
          <w:i/>
          <w:sz w:val="21"/>
          <w:szCs w:val="21"/>
        </w:rPr>
        <w:t>t</w:t>
      </w:r>
      <w:r>
        <w:rPr>
          <w:rFonts w:hint="eastAsia"/>
          <w:sz w:val="21"/>
          <w:szCs w:val="21"/>
        </w:rPr>
        <w:t>，直至</w:t>
      </w:r>
      <w:r>
        <w:rPr>
          <w:position w:val="-6"/>
          <w:sz w:val="21"/>
          <w:szCs w:val="21"/>
        </w:rPr>
        <w:object>
          <v:shape id="_x0000_i1049" o:spt="75" type="#_x0000_t75" style="height:15pt;width:30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rPr>
          <w:rFonts w:hint="eastAsia"/>
          <w:sz w:val="21"/>
          <w:szCs w:val="21"/>
        </w:rPr>
        <w:t>时，则久</w:t>
      </w:r>
      <w:r>
        <w:rPr>
          <w:position w:val="-6"/>
          <w:sz w:val="21"/>
          <w:szCs w:val="21"/>
        </w:rPr>
        <w:object>
          <v:shape id="_x0000_i1050" o:spt="75" type="#_x0000_t75" style="height:21pt;width:34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  <w:r>
        <w:rPr>
          <w:rFonts w:hint="eastAsia"/>
          <w:sz w:val="21"/>
          <w:szCs w:val="21"/>
        </w:rPr>
        <w:t>，圆图上BB面的导纳逐渐移动到O点，即匹配点，从而使系统</w:t>
      </w:r>
      <w:r>
        <w:rPr>
          <w:rFonts w:hint="eastAsia" w:ascii="Times New Roman" w:hAnsi="Times New Roman" w:eastAsia="宋体" w:cs="Times New Roman"/>
          <w:sz w:val="21"/>
          <w:szCs w:val="21"/>
        </w:rPr>
        <w:t>达到</w:t>
      </w:r>
      <w:r>
        <w:rPr>
          <w:rFonts w:hint="eastAsia"/>
          <w:sz w:val="21"/>
          <w:szCs w:val="21"/>
        </w:rPr>
        <w:t>匹配。如果滑动单螺调配器</w:t>
      </w:r>
      <w:r>
        <w:rPr>
          <w:rFonts w:hint="eastAsia"/>
          <w:i/>
          <w:sz w:val="21"/>
          <w:szCs w:val="21"/>
        </w:rPr>
        <w:t>l</w:t>
      </w:r>
      <w:r>
        <w:rPr>
          <w:rFonts w:hint="eastAsia"/>
          <w:sz w:val="21"/>
          <w:szCs w:val="21"/>
        </w:rPr>
        <w:t>的长度可在半波长范围内变化，同时并联电纳</w:t>
      </w:r>
      <w:r>
        <w:rPr>
          <w:position w:val="-6"/>
          <w:sz w:val="21"/>
          <w:szCs w:val="21"/>
        </w:rPr>
        <w:object>
          <v:shape id="_x0000_i1051" o:spt="75" type="#_x0000_t75" style="height:15pt;width:11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rPr>
          <w:rFonts w:hint="eastAsia"/>
          <w:sz w:val="21"/>
          <w:szCs w:val="21"/>
        </w:rPr>
        <w:t>可在0~</w:t>
      </w:r>
      <w:r>
        <w:rPr>
          <w:position w:val="-4"/>
          <w:sz w:val="21"/>
          <w:szCs w:val="21"/>
        </w:rPr>
        <w:object>
          <v:shape id="_x0000_i1052" o:spt="75" type="#_x0000_t75" style="height:10pt;width:12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  <w:r>
        <w:rPr>
          <w:rFonts w:hint="eastAsia"/>
          <w:sz w:val="21"/>
          <w:szCs w:val="21"/>
        </w:rPr>
        <w:t>间任意调节，则该调配器能对任何有耗负载调配，故理想情况下没有禁区。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8" w:name="inputAttenuatorSetup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 xml:space="preserve">=50 </w:t>
      </w:r>
      <w:r>
        <w:rPr>
          <w:rFonts w:hint="default" w:ascii="Arial" w:hAnsi="Arial" w:cs="Arial"/>
          <w:sz w:val="21"/>
          <w:szCs w:val="24"/>
          <w:lang w:val="en-US" w:eastAsia="zh-CN"/>
        </w:rPr>
        <w:t>Ω</w:t>
      </w:r>
      <w:r>
        <w:rPr>
          <w:rFonts w:hint="eastAsia"/>
          <w:sz w:val="21"/>
          <w:szCs w:val="24"/>
          <w:lang w:val="en-US" w:eastAsia="zh-CN"/>
        </w:rPr>
        <w:t>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  <w:bookmarkStart w:id="25" w:name="_GoBack"/>
      <w:bookmarkEnd w:id="25"/>
    </w:p>
    <w:tbl>
      <w:tblPr>
        <w:tblStyle w:val="3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default" w:ascii="Times New Roman" w:hAnsi="Times New Roman" w:cs="Times New Roman"/>
                <w:i/>
                <w:iCs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9" w:name="EquivalentSectionPositionFirst"/>
            <w:bookmarkEnd w:id="9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0" w:name="WaveguideWavelengthFirst"/>
            <w:bookmarkEnd w:id="10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1" w:name="MinimumVoltage"/>
            <w:bookmarkEnd w:id="11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2" w:name="MaximumVoltage"/>
            <w:bookmarkEnd w:id="12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3" w:name="SWRFirst"/>
            <w:bookmarkEnd w:id="13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4" w:name="WaveNodePositionFirst"/>
            <w:bookmarkEnd w:id="14"/>
          </w:p>
        </w:tc>
        <w:bookmarkStart w:id="15" w:name="NormalizedLoadImpedanceFirst"/>
      </w:tr>
      <w:bookmarkEnd w:id="15"/>
    </w:tbl>
    <w:p>
      <w:pPr>
        <w:rPr>
          <w:rFonts w:hint="default"/>
          <w:sz w:val="21"/>
          <w:szCs w:val="24"/>
          <w:highlight w:val="none"/>
        </w:rPr>
      </w:pPr>
    </w:p>
    <w:tbl>
      <w:tblPr>
        <w:tblStyle w:val="3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highlight w:val="none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highlight w:val="no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highlight w:val="none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highlight w:val="none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  <w:highlight w:val="none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highlight w:val="none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highlight w:val="none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highlight w:val="none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none"/>
        </w:rPr>
      </w:pPr>
    </w:p>
    <w:p>
      <w:pPr>
        <w:ind w:left="420"/>
        <w:rPr>
          <w:rFonts w:hint="default"/>
          <w:sz w:val="21"/>
          <w:szCs w:val="24"/>
          <w:highlight w:val="none"/>
          <w:lang w:val="en-US" w:eastAsia="zh-CN"/>
        </w:rPr>
      </w:pPr>
    </w:p>
    <w:p>
      <w:pPr>
        <w:ind w:left="420"/>
        <w:rPr>
          <w:rFonts w:hint="eastAsia"/>
          <w:sz w:val="21"/>
          <w:szCs w:val="24"/>
          <w:highlight w:val="none"/>
        </w:rPr>
      </w:pPr>
    </w:p>
    <w:p>
      <w:pPr>
        <w:ind w:left="420"/>
        <w:rPr>
          <w:rFonts w:hint="eastAsia"/>
          <w:sz w:val="21"/>
          <w:szCs w:val="24"/>
          <w:highlight w:val="none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highlight w:val="none"/>
          <w:lang w:val="en-US" w:eastAsia="zh-CN"/>
        </w:rPr>
        <w:t>2.负载阻抗匹配</w:t>
      </w:r>
    </w:p>
    <w:tbl>
      <w:tblPr>
        <w:tblStyle w:val="3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highlight w:val="none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highlight w:val="none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highlight w:val="none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highlight w:val="none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highlight w:val="none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1" w:name="ScrewDepthFirst"/>
            <w:bookmarkEnd w:id="21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3" w:name="MaximumVoltageAfterMatchingFirst"/>
            <w:bookmarkEnd w:id="23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4" w:name="SWRAfterMatchingFirst"/>
            <w:bookmarkEnd w:id="2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rPr>
          <w:rFonts w:hint="eastAsia"/>
        </w:rPr>
      </w:pPr>
      <w:r>
        <w:rPr>
          <w:rStyle w:val="5"/>
          <w:rFonts w:hint="eastAsia"/>
        </w:rPr>
        <w:t>①</w:t>
      </w:r>
      <w:r>
        <w:t xml:space="preserve"> </w:t>
      </w:r>
      <w:r>
        <w:rPr>
          <w:rFonts w:hint="eastAsia"/>
        </w:rPr>
        <w:t>沈致远：《微波技术》第155~163页，国防工业出版社，1980年。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7738"/>
    <w:rsid w:val="1061583F"/>
    <w:rsid w:val="12AE6340"/>
    <w:rsid w:val="203459B1"/>
    <w:rsid w:val="278F2F2A"/>
    <w:rsid w:val="29E851DF"/>
    <w:rsid w:val="2DC274B6"/>
    <w:rsid w:val="33F26834"/>
    <w:rsid w:val="358A2772"/>
    <w:rsid w:val="397201D8"/>
    <w:rsid w:val="3C257300"/>
    <w:rsid w:val="443D3839"/>
    <w:rsid w:val="63163283"/>
    <w:rsid w:val="7A202A98"/>
    <w:rsid w:val="7FD1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semiHidden/>
    <w:qFormat/>
    <w:uiPriority w:val="0"/>
    <w:rPr>
      <w:sz w:val="18"/>
    </w:rPr>
  </w:style>
  <w:style w:type="character" w:styleId="5">
    <w:name w:val="footnote reference"/>
    <w:basedOn w:val="4"/>
    <w:semiHidden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4" Type="http://schemas.openxmlformats.org/officeDocument/2006/relationships/fontTable" Target="fontTable.xml"/><Relationship Id="rId63" Type="http://schemas.openxmlformats.org/officeDocument/2006/relationships/numbering" Target="numbering.xml"/><Relationship Id="rId62" Type="http://schemas.openxmlformats.org/officeDocument/2006/relationships/customXml" Target="../customXml/item1.xml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jpeg"/><Relationship Id="rId38" Type="http://schemas.openxmlformats.org/officeDocument/2006/relationships/image" Target="media/image17.jpeg"/><Relationship Id="rId37" Type="http://schemas.openxmlformats.org/officeDocument/2006/relationships/image" Target="media/image16.jpeg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9.jpeg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zyq</cp:lastModifiedBy>
  <dcterms:modified xsi:type="dcterms:W3CDTF">2022-03-17T02:15:22Z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F3AF76851E4B498D83FD3A94577896B1</vt:lpwstr>
  </property>
</Properties>
</file>