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CF267">
      <w:pPr>
        <w:jc w:val="center"/>
        <w:rPr>
          <w:rFonts w:ascii="Times New Roman" w:hAnsi="Times New Roman"/>
          <w:b/>
          <w:bCs/>
          <w:sz w:val="28"/>
          <w:szCs w:val="28"/>
        </w:rPr>
      </w:pPr>
      <w:r>
        <w:rPr>
          <w:rFonts w:ascii="Times New Roman" w:hAnsi="Times New Roman"/>
          <w:b/>
          <w:bCs/>
          <w:sz w:val="28"/>
          <w:szCs w:val="28"/>
        </w:rPr>
        <w:t>202</w:t>
      </w:r>
      <w:r>
        <w:rPr>
          <w:rFonts w:hint="eastAsia" w:ascii="Times New Roman" w:hAnsi="Times New Roman"/>
          <w:b/>
          <w:bCs/>
          <w:sz w:val="28"/>
          <w:szCs w:val="28"/>
          <w:lang w:val="en-US" w:eastAsia="zh-CN"/>
        </w:rPr>
        <w:t>5</w:t>
      </w:r>
      <w:r>
        <w:rPr>
          <w:rFonts w:ascii="Times New Roman" w:hAnsi="Times New Roman"/>
          <w:b/>
          <w:bCs/>
          <w:sz w:val="28"/>
          <w:szCs w:val="28"/>
        </w:rPr>
        <w:t>-202</w:t>
      </w:r>
      <w:r>
        <w:rPr>
          <w:rFonts w:hint="eastAsia" w:ascii="Times New Roman" w:hAnsi="Times New Roman"/>
          <w:b/>
          <w:bCs/>
          <w:sz w:val="28"/>
          <w:szCs w:val="28"/>
          <w:lang w:val="en-US" w:eastAsia="zh-CN"/>
        </w:rPr>
        <w:t>6</w:t>
      </w:r>
      <w:r>
        <w:rPr>
          <w:rFonts w:ascii="Times New Roman" w:hAnsi="Times New Roman"/>
          <w:b/>
          <w:bCs/>
          <w:sz w:val="28"/>
          <w:szCs w:val="28"/>
        </w:rPr>
        <w:t>学年第</w:t>
      </w:r>
      <w:r>
        <w:rPr>
          <w:rFonts w:hint="eastAsia" w:ascii="Times New Roman" w:hAnsi="Times New Roman"/>
          <w:b/>
          <w:bCs/>
          <w:sz w:val="28"/>
          <w:szCs w:val="28"/>
          <w:lang w:val="en-US" w:eastAsia="zh-CN"/>
        </w:rPr>
        <w:t>1</w:t>
      </w:r>
      <w:r>
        <w:rPr>
          <w:rFonts w:ascii="Times New Roman" w:hAnsi="Times New Roman"/>
          <w:b/>
          <w:bCs/>
          <w:sz w:val="28"/>
          <w:szCs w:val="28"/>
        </w:rPr>
        <w:t>学期《</w:t>
      </w:r>
      <w:r>
        <w:rPr>
          <w:rFonts w:hint="eastAsia" w:ascii="Times New Roman" w:hAnsi="Times New Roman"/>
          <w:b/>
          <w:bCs/>
          <w:sz w:val="28"/>
          <w:szCs w:val="28"/>
          <w:lang w:val="en-US" w:eastAsia="zh-CN"/>
        </w:rPr>
        <w:t>移动应用开发</w:t>
      </w:r>
      <w:r>
        <w:rPr>
          <w:rFonts w:ascii="Times New Roman" w:hAnsi="Times New Roman"/>
          <w:b/>
          <w:bCs/>
          <w:sz w:val="28"/>
          <w:szCs w:val="28"/>
        </w:rPr>
        <w:t>》课程目标达成评价报告</w:t>
      </w:r>
    </w:p>
    <w:tbl>
      <w:tblPr>
        <w:tblStyle w:val="13"/>
        <w:tblW w:w="94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614"/>
        <w:gridCol w:w="229"/>
        <w:gridCol w:w="1069"/>
        <w:gridCol w:w="1452"/>
        <w:gridCol w:w="739"/>
        <w:gridCol w:w="1410"/>
        <w:gridCol w:w="717"/>
        <w:gridCol w:w="1101"/>
        <w:gridCol w:w="6"/>
      </w:tblGrid>
      <w:tr w14:paraId="26E1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90" w:hRule="atLeast"/>
          <w:jc w:val="center"/>
        </w:trPr>
        <w:tc>
          <w:tcPr>
            <w:tcW w:w="9491" w:type="dxa"/>
            <w:gridSpan w:val="9"/>
            <w:tcMar>
              <w:left w:w="108" w:type="dxa"/>
              <w:right w:w="108" w:type="dxa"/>
            </w:tcMar>
            <w:vAlign w:val="center"/>
          </w:tcPr>
          <w:p w14:paraId="3980B67D">
            <w:pPr>
              <w:jc w:val="left"/>
            </w:pPr>
            <w:r>
              <w:rPr>
                <w:rFonts w:ascii="Times New Roman" w:hAnsi="Times New Roman" w:eastAsia="宋体" w:cs="Times New Roman"/>
                <w:b/>
                <w:kern w:val="2"/>
                <w:sz w:val="24"/>
                <w:szCs w:val="24"/>
                <w:lang w:val="en-US" w:eastAsia="zh-CN" w:bidi="ar-SA"/>
              </w:rPr>
              <w:t>一、基本信息</w:t>
            </w:r>
          </w:p>
        </w:tc>
      </w:tr>
      <w:tr w14:paraId="306D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jc w:val="center"/>
        </w:trPr>
        <w:tc>
          <w:tcPr>
            <w:tcW w:w="1160" w:type="dxa"/>
            <w:tcMar>
              <w:left w:w="108" w:type="dxa"/>
              <w:right w:w="108" w:type="dxa"/>
            </w:tcMar>
            <w:vAlign w:val="center"/>
          </w:tcPr>
          <w:p w14:paraId="6466C028">
            <w:pPr>
              <w:jc w:val="center"/>
            </w:pPr>
            <w:r>
              <w:rPr>
                <w:rFonts w:ascii="Times New Roman" w:hAnsi="Times New Roman" w:eastAsia="宋体" w:cs="Times New Roman"/>
                <w:bCs/>
                <w:kern w:val="2"/>
                <w:sz w:val="21"/>
                <w:szCs w:val="21"/>
                <w:lang w:val="en-US" w:eastAsia="zh-CN" w:bidi="ar-SA"/>
              </w:rPr>
              <w:t>课程名称</w:t>
            </w:r>
          </w:p>
        </w:tc>
        <w:tc>
          <w:tcPr>
            <w:tcW w:w="1843" w:type="dxa"/>
            <w:gridSpan w:val="2"/>
            <w:tcMar>
              <w:left w:w="108" w:type="dxa"/>
              <w:right w:w="108" w:type="dxa"/>
            </w:tcMar>
            <w:vAlign w:val="center"/>
          </w:tcPr>
          <w:p w14:paraId="603B7862">
            <w:pPr>
              <w:jc w:val="center"/>
            </w:pPr>
            <w:r>
              <w:rPr>
                <w:rFonts w:ascii="Times New Roman" w:hAnsi="Times New Roman" w:eastAsia="宋体" w:cs="Times New Roman"/>
                <w:bCs/>
                <w:kern w:val="2"/>
                <w:sz w:val="21"/>
                <w:szCs w:val="21"/>
                <w:lang w:val="en-US" w:eastAsia="zh-CN" w:bidi="ar-SA"/>
              </w:rPr>
              <w:t>移动应用开发</w:t>
            </w:r>
          </w:p>
        </w:tc>
        <w:tc>
          <w:tcPr>
            <w:tcW w:w="1069" w:type="dxa"/>
            <w:tcMar>
              <w:left w:w="108" w:type="dxa"/>
              <w:right w:w="108" w:type="dxa"/>
            </w:tcMar>
            <w:vAlign w:val="center"/>
          </w:tcPr>
          <w:p w14:paraId="48389A0B">
            <w:pPr>
              <w:jc w:val="center"/>
            </w:pPr>
            <w:r>
              <w:rPr>
                <w:rFonts w:ascii="Times New Roman" w:hAnsi="Times New Roman" w:eastAsia="宋体" w:cs="Times New Roman"/>
                <w:bCs/>
                <w:kern w:val="2"/>
                <w:sz w:val="21"/>
                <w:szCs w:val="21"/>
                <w:lang w:val="en-US" w:eastAsia="zh-CN" w:bidi="ar-SA"/>
              </w:rPr>
              <w:t>课程类别</w:t>
            </w:r>
          </w:p>
        </w:tc>
        <w:tc>
          <w:tcPr>
            <w:tcW w:w="1452" w:type="dxa"/>
            <w:tcMar>
              <w:left w:w="108" w:type="dxa"/>
              <w:right w:w="108" w:type="dxa"/>
            </w:tcMar>
            <w:vAlign w:val="center"/>
          </w:tcPr>
          <w:p w14:paraId="3230BE1F">
            <w:pPr>
              <w:jc w:val="center"/>
            </w:pPr>
            <w:r>
              <w:rPr>
                <w:rFonts w:ascii="Times New Roman" w:hAnsi="Times New Roman" w:eastAsia="宋体" w:cs="Times New Roman"/>
                <w:bCs/>
                <w:kern w:val="2"/>
                <w:sz w:val="21"/>
                <w:szCs w:val="21"/>
                <w:lang w:val="en-US" w:eastAsia="zh-CN" w:bidi="ar-SA"/>
              </w:rPr>
              <w:t>专业基础</w:t>
            </w:r>
          </w:p>
        </w:tc>
        <w:tc>
          <w:tcPr>
            <w:tcW w:w="739" w:type="dxa"/>
            <w:tcMar>
              <w:left w:w="108" w:type="dxa"/>
              <w:right w:w="108" w:type="dxa"/>
            </w:tcMar>
            <w:vAlign w:val="center"/>
          </w:tcPr>
          <w:p w14:paraId="4322ADFB">
            <w:pPr>
              <w:jc w:val="center"/>
            </w:pPr>
            <w:r>
              <w:rPr>
                <w:rFonts w:ascii="Times New Roman" w:hAnsi="Times New Roman" w:eastAsia="宋体" w:cs="Times New Roman"/>
                <w:bCs/>
                <w:kern w:val="2"/>
                <w:sz w:val="21"/>
                <w:szCs w:val="21"/>
                <w:lang w:val="en-US" w:eastAsia="zh-CN" w:bidi="ar-SA"/>
              </w:rPr>
              <w:t>课程学时</w:t>
            </w:r>
          </w:p>
        </w:tc>
        <w:tc>
          <w:tcPr>
            <w:tcW w:w="1410" w:type="dxa"/>
            <w:tcMar>
              <w:left w:w="108" w:type="dxa"/>
              <w:right w:w="108" w:type="dxa"/>
            </w:tcMar>
            <w:vAlign w:val="center"/>
          </w:tcPr>
          <w:p w14:paraId="59D84904">
            <w:pPr>
              <w:jc w:val="center"/>
            </w:pPr>
            <w:r>
              <w:rPr>
                <w:rFonts w:ascii="Times New Roman" w:hAnsi="Times New Roman" w:eastAsia="宋体" w:cs="Times New Roman"/>
                <w:bCs/>
                <w:kern w:val="2"/>
                <w:sz w:val="21"/>
                <w:szCs w:val="21"/>
                <w:lang w:val="en-US" w:eastAsia="zh-CN" w:bidi="ar-SA"/>
              </w:rPr>
              <w:t>48(24+24)</w:t>
            </w:r>
          </w:p>
        </w:tc>
        <w:tc>
          <w:tcPr>
            <w:tcW w:w="717" w:type="dxa"/>
            <w:tcMar>
              <w:left w:w="108" w:type="dxa"/>
              <w:right w:w="108" w:type="dxa"/>
            </w:tcMar>
            <w:vAlign w:val="center"/>
          </w:tcPr>
          <w:p w14:paraId="4102EBD0">
            <w:pPr>
              <w:jc w:val="center"/>
            </w:pPr>
            <w:r>
              <w:rPr>
                <w:rFonts w:ascii="Times New Roman" w:hAnsi="Times New Roman" w:eastAsia="宋体" w:cs="Times New Roman"/>
                <w:bCs/>
                <w:kern w:val="2"/>
                <w:sz w:val="21"/>
                <w:szCs w:val="21"/>
                <w:lang w:val="en-US" w:eastAsia="zh-CN" w:bidi="ar-SA"/>
              </w:rPr>
              <w:t>学分</w:t>
            </w:r>
          </w:p>
        </w:tc>
        <w:tc>
          <w:tcPr>
            <w:tcW w:w="1101" w:type="dxa"/>
            <w:tcMar>
              <w:left w:w="108" w:type="dxa"/>
              <w:right w:w="108" w:type="dxa"/>
            </w:tcMar>
            <w:vAlign w:val="center"/>
          </w:tcPr>
          <w:p w14:paraId="241231DD">
            <w:pPr>
              <w:jc w:val="center"/>
            </w:pPr>
            <w:r>
              <w:rPr>
                <w:rFonts w:ascii="Times New Roman" w:hAnsi="Times New Roman" w:eastAsia="宋体" w:cs="Times New Roman"/>
                <w:bCs/>
                <w:kern w:val="2"/>
                <w:sz w:val="21"/>
                <w:szCs w:val="21"/>
                <w:lang w:val="en-US" w:eastAsia="zh-CN" w:bidi="ar-SA"/>
              </w:rPr>
              <w:t>2.5</w:t>
            </w:r>
          </w:p>
        </w:tc>
      </w:tr>
      <w:tr w14:paraId="61B4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jc w:val="center"/>
        </w:trPr>
        <w:tc>
          <w:tcPr>
            <w:tcW w:w="1160" w:type="dxa"/>
            <w:tcMar>
              <w:left w:w="108" w:type="dxa"/>
              <w:right w:w="108" w:type="dxa"/>
            </w:tcMar>
            <w:vAlign w:val="center"/>
          </w:tcPr>
          <w:p w14:paraId="06999253">
            <w:pPr>
              <w:jc w:val="center"/>
            </w:pPr>
            <w:r>
              <w:rPr>
                <w:rFonts w:ascii="Times New Roman" w:hAnsi="Times New Roman" w:eastAsia="宋体" w:cs="Times New Roman"/>
                <w:bCs/>
                <w:kern w:val="2"/>
                <w:sz w:val="21"/>
                <w:szCs w:val="21"/>
                <w:lang w:val="en-US" w:eastAsia="zh-CN" w:bidi="ar-SA"/>
              </w:rPr>
              <w:t>专业班级</w:t>
            </w:r>
          </w:p>
        </w:tc>
        <w:tc>
          <w:tcPr>
            <w:tcW w:w="1843" w:type="dxa"/>
            <w:gridSpan w:val="2"/>
            <w:tcMar>
              <w:left w:w="108" w:type="dxa"/>
              <w:right w:w="108" w:type="dxa"/>
            </w:tcMar>
            <w:vAlign w:val="center"/>
          </w:tcPr>
          <w:p w14:paraId="61F46E2B">
            <w:pPr>
              <w:jc w:val="center"/>
            </w:pPr>
            <w:r>
              <w:rPr>
                <w:rFonts w:ascii="Times New Roman" w:hAnsi="Times New Roman" w:eastAsia="宋体" w:cs="Times New Roman"/>
                <w:bCs/>
                <w:kern w:val="2"/>
                <w:sz w:val="21"/>
                <w:szCs w:val="21"/>
                <w:lang w:val="en-US" w:eastAsia="zh-CN" w:bidi="ar-SA"/>
              </w:rPr>
              <w:t xml:space="preserve">计科22 </w:t>
            </w:r>
          </w:p>
        </w:tc>
        <w:tc>
          <w:tcPr>
            <w:tcW w:w="1069" w:type="dxa"/>
            <w:tcMar>
              <w:left w:w="108" w:type="dxa"/>
              <w:right w:w="108" w:type="dxa"/>
            </w:tcMar>
            <w:vAlign w:val="center"/>
          </w:tcPr>
          <w:p w14:paraId="70B1C084">
            <w:pPr>
              <w:jc w:val="center"/>
            </w:pPr>
            <w:r>
              <w:rPr>
                <w:rFonts w:ascii="Times New Roman" w:hAnsi="Times New Roman" w:eastAsia="宋体" w:cs="Times New Roman"/>
                <w:bCs/>
                <w:kern w:val="2"/>
                <w:sz w:val="21"/>
                <w:szCs w:val="21"/>
                <w:lang w:val="en-US" w:eastAsia="zh-CN" w:bidi="ar-SA"/>
              </w:rPr>
              <w:t>学生人数</w:t>
            </w:r>
          </w:p>
        </w:tc>
        <w:tc>
          <w:tcPr>
            <w:tcW w:w="1452" w:type="dxa"/>
            <w:tcMar>
              <w:left w:w="108" w:type="dxa"/>
              <w:right w:w="108" w:type="dxa"/>
            </w:tcMar>
            <w:vAlign w:val="center"/>
          </w:tcPr>
          <w:p w14:paraId="4C694DCE">
            <w:pPr>
              <w:jc w:val="center"/>
            </w:pPr>
            <w:r>
              <w:rPr>
                <w:rFonts w:ascii="Times New Roman" w:hAnsi="Times New Roman" w:eastAsia="宋体" w:cs="Times New Roman"/>
                <w:bCs/>
                <w:kern w:val="2"/>
                <w:sz w:val="21"/>
                <w:szCs w:val="21"/>
                <w:lang w:val="en-US" w:eastAsia="zh-CN" w:bidi="ar-SA"/>
              </w:rPr>
              <w:t>50</w:t>
            </w:r>
          </w:p>
        </w:tc>
        <w:tc>
          <w:tcPr>
            <w:tcW w:w="739" w:type="dxa"/>
            <w:tcMar>
              <w:left w:w="108" w:type="dxa"/>
              <w:right w:w="108" w:type="dxa"/>
            </w:tcMar>
            <w:vAlign w:val="center"/>
          </w:tcPr>
          <w:p w14:paraId="638577AA">
            <w:pPr>
              <w:jc w:val="center"/>
            </w:pPr>
            <w:r>
              <w:rPr>
                <w:rFonts w:ascii="Times New Roman" w:hAnsi="Times New Roman" w:eastAsia="宋体" w:cs="Times New Roman"/>
                <w:bCs/>
                <w:kern w:val="2"/>
                <w:sz w:val="21"/>
                <w:szCs w:val="21"/>
                <w:lang w:val="en-US" w:eastAsia="zh-CN" w:bidi="ar-SA"/>
              </w:rPr>
              <w:t>任课教师</w:t>
            </w:r>
          </w:p>
        </w:tc>
        <w:tc>
          <w:tcPr>
            <w:tcW w:w="1410" w:type="dxa"/>
            <w:tcMar>
              <w:left w:w="108" w:type="dxa"/>
              <w:right w:w="108" w:type="dxa"/>
            </w:tcMar>
            <w:vAlign w:val="center"/>
          </w:tcPr>
          <w:p w14:paraId="5DEF50C9">
            <w:pPr>
              <w:jc w:val="center"/>
            </w:pPr>
            <w:r>
              <w:rPr>
                <w:rFonts w:ascii="Times New Roman" w:hAnsi="Times New Roman" w:eastAsia="宋体" w:cs="Times New Roman"/>
                <w:bCs/>
                <w:kern w:val="2"/>
                <w:sz w:val="21"/>
                <w:szCs w:val="21"/>
                <w:lang w:val="en-US" w:eastAsia="zh-CN" w:bidi="ar-SA"/>
              </w:rPr>
              <w:t>刘东良</w:t>
            </w:r>
          </w:p>
        </w:tc>
        <w:tc>
          <w:tcPr>
            <w:tcW w:w="717" w:type="dxa"/>
            <w:tcMar>
              <w:left w:w="108" w:type="dxa"/>
              <w:right w:w="108" w:type="dxa"/>
            </w:tcMar>
            <w:vAlign w:val="center"/>
          </w:tcPr>
          <w:p w14:paraId="7A368889">
            <w:pPr>
              <w:jc w:val="center"/>
            </w:pPr>
            <w:r>
              <w:rPr>
                <w:rFonts w:ascii="Times New Roman" w:hAnsi="Times New Roman" w:eastAsia="宋体" w:cs="Times New Roman"/>
                <w:bCs/>
                <w:kern w:val="2"/>
                <w:sz w:val="21"/>
                <w:szCs w:val="21"/>
                <w:lang w:val="en-US" w:eastAsia="zh-CN" w:bidi="ar-SA"/>
              </w:rPr>
              <w:t>职称</w:t>
            </w:r>
          </w:p>
        </w:tc>
        <w:tc>
          <w:tcPr>
            <w:tcW w:w="1101" w:type="dxa"/>
            <w:tcMar>
              <w:left w:w="108" w:type="dxa"/>
              <w:right w:w="108" w:type="dxa"/>
            </w:tcMar>
            <w:vAlign w:val="center"/>
          </w:tcPr>
          <w:p w14:paraId="0B9F1248">
            <w:pPr>
              <w:jc w:val="center"/>
            </w:pPr>
            <w:r>
              <w:rPr>
                <w:rFonts w:ascii="Times New Roman" w:hAnsi="Times New Roman" w:eastAsia="宋体" w:cs="Times New Roman"/>
                <w:bCs/>
                <w:kern w:val="2"/>
                <w:sz w:val="21"/>
                <w:szCs w:val="21"/>
                <w:lang w:val="en-US" w:eastAsia="zh-CN" w:bidi="ar-SA"/>
              </w:rPr>
              <w:t>讲师</w:t>
            </w:r>
          </w:p>
        </w:tc>
      </w:tr>
      <w:tr w14:paraId="0B3D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jc w:val="center"/>
        </w:trPr>
        <w:tc>
          <w:tcPr>
            <w:tcW w:w="1160" w:type="dxa"/>
            <w:tcMar>
              <w:left w:w="108" w:type="dxa"/>
              <w:right w:w="108" w:type="dxa"/>
            </w:tcMar>
            <w:vAlign w:val="center"/>
          </w:tcPr>
          <w:p w14:paraId="6E7A5F06">
            <w:pPr>
              <w:jc w:val="center"/>
            </w:pPr>
            <w:r>
              <w:rPr>
                <w:rFonts w:ascii="Times New Roman" w:hAnsi="Times New Roman" w:eastAsia="宋体" w:cs="Times New Roman"/>
                <w:bCs/>
                <w:kern w:val="2"/>
                <w:sz w:val="21"/>
                <w:szCs w:val="21"/>
                <w:lang w:val="en-US" w:eastAsia="zh-CN" w:bidi="ar-SA"/>
              </w:rPr>
              <w:t>命题教师</w:t>
            </w:r>
          </w:p>
        </w:tc>
        <w:tc>
          <w:tcPr>
            <w:tcW w:w="2912" w:type="dxa"/>
            <w:gridSpan w:val="3"/>
            <w:tcMar>
              <w:left w:w="108" w:type="dxa"/>
              <w:right w:w="108" w:type="dxa"/>
            </w:tcMar>
            <w:vAlign w:val="center"/>
          </w:tcPr>
          <w:p w14:paraId="64C10FCF">
            <w:pPr>
              <w:jc w:val="center"/>
            </w:pPr>
            <w:r>
              <w:rPr>
                <w:rFonts w:ascii="Times New Roman" w:hAnsi="Times New Roman" w:eastAsia="宋体" w:cs="Times New Roman"/>
                <w:bCs/>
                <w:color w:val="000000" w:themeColor="text1"/>
                <w:kern w:val="2"/>
                <w:sz w:val="18"/>
                <w:szCs w:val="18"/>
                <w:lang w:val="en-US" w:eastAsia="zh-CN" w:bidi="ar-SA"/>
                <w14:textFill>
                  <w14:solidFill>
                    <w14:schemeClr w14:val="tx1"/>
                  </w14:solidFill>
                </w14:textFill>
              </w:rPr>
              <w:t>刘东良</w:t>
            </w:r>
          </w:p>
        </w:tc>
        <w:tc>
          <w:tcPr>
            <w:tcW w:w="1452" w:type="dxa"/>
            <w:tcMar>
              <w:left w:w="108" w:type="dxa"/>
              <w:right w:w="108" w:type="dxa"/>
            </w:tcMar>
            <w:vAlign w:val="center"/>
          </w:tcPr>
          <w:p w14:paraId="31282DE5">
            <w:pPr>
              <w:jc w:val="center"/>
            </w:pPr>
            <w:r>
              <w:rPr>
                <w:rFonts w:ascii="Times New Roman" w:hAnsi="Times New Roman" w:eastAsia="宋体" w:cs="Times New Roman"/>
                <w:bCs/>
                <w:kern w:val="2"/>
                <w:sz w:val="21"/>
                <w:szCs w:val="21"/>
                <w:lang w:val="en-US" w:eastAsia="zh-CN" w:bidi="ar-SA"/>
              </w:rPr>
              <w:t>考核类型</w:t>
            </w:r>
          </w:p>
        </w:tc>
        <w:tc>
          <w:tcPr>
            <w:tcW w:w="739" w:type="dxa"/>
            <w:tcMar>
              <w:left w:w="108" w:type="dxa"/>
              <w:right w:w="108" w:type="dxa"/>
            </w:tcMar>
            <w:vAlign w:val="center"/>
          </w:tcPr>
          <w:p w14:paraId="5A842F40">
            <w:pPr>
              <w:jc w:val="center"/>
            </w:pPr>
            <w:r>
              <w:rPr>
                <w:rFonts w:ascii="Times New Roman" w:hAnsi="Times New Roman" w:eastAsia="宋体" w:cs="Times New Roman"/>
                <w:bCs/>
                <w:kern w:val="2"/>
                <w:sz w:val="21"/>
                <w:szCs w:val="21"/>
                <w:lang w:val="en-US" w:eastAsia="zh-CN" w:bidi="ar-SA"/>
              </w:rPr>
              <w:t>考查</w:t>
            </w:r>
          </w:p>
        </w:tc>
        <w:tc>
          <w:tcPr>
            <w:tcW w:w="1410" w:type="dxa"/>
            <w:tcMar>
              <w:left w:w="108" w:type="dxa"/>
              <w:right w:w="108" w:type="dxa"/>
            </w:tcMar>
            <w:vAlign w:val="center"/>
          </w:tcPr>
          <w:p w14:paraId="6C9DB37E">
            <w:pPr>
              <w:jc w:val="center"/>
            </w:pPr>
            <w:r>
              <w:rPr>
                <w:rFonts w:ascii="Times New Roman" w:hAnsi="Times New Roman" w:eastAsia="宋体" w:cs="Times New Roman"/>
                <w:bCs/>
                <w:kern w:val="2"/>
                <w:sz w:val="21"/>
                <w:szCs w:val="21"/>
                <w:lang w:val="en-US" w:eastAsia="zh-CN" w:bidi="ar-SA"/>
              </w:rPr>
              <w:t>考核方式</w:t>
            </w:r>
          </w:p>
        </w:tc>
        <w:tc>
          <w:tcPr>
            <w:tcW w:w="1818" w:type="dxa"/>
            <w:gridSpan w:val="2"/>
            <w:tcMar>
              <w:left w:w="108" w:type="dxa"/>
              <w:right w:w="108" w:type="dxa"/>
            </w:tcMar>
            <w:vAlign w:val="center"/>
          </w:tcPr>
          <w:p w14:paraId="2103F2E1">
            <w:r>
              <w:rPr>
                <w:rFonts w:ascii="Times New Roman" w:hAnsi="Times New Roman" w:eastAsia="宋体" w:cs="Times New Roman"/>
                <w:bCs/>
                <w:kern w:val="2"/>
                <w:sz w:val="21"/>
                <w:szCs w:val="21"/>
                <w:lang w:val="en-US" w:eastAsia="zh-CN" w:bidi="ar-SA"/>
              </w:rPr>
              <w:t>大作业</w:t>
            </w:r>
          </w:p>
        </w:tc>
      </w:tr>
      <w:tr w14:paraId="3CFD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jc w:val="center"/>
        </w:trPr>
        <w:tc>
          <w:tcPr>
            <w:tcW w:w="1160" w:type="dxa"/>
            <w:tcMar>
              <w:left w:w="108" w:type="dxa"/>
              <w:right w:w="108" w:type="dxa"/>
            </w:tcMar>
            <w:vAlign w:val="center"/>
          </w:tcPr>
          <w:p w14:paraId="60A45C93">
            <w:pPr>
              <w:jc w:val="center"/>
            </w:pPr>
            <w:r>
              <w:rPr>
                <w:rFonts w:ascii="Times New Roman" w:hAnsi="Times New Roman" w:eastAsia="宋体" w:cs="Times New Roman"/>
                <w:bCs/>
                <w:kern w:val="2"/>
                <w:sz w:val="21"/>
                <w:szCs w:val="21"/>
                <w:lang w:val="en-US" w:eastAsia="zh-CN" w:bidi="ar-SA"/>
              </w:rPr>
              <w:t>阅卷教师</w:t>
            </w:r>
          </w:p>
        </w:tc>
        <w:tc>
          <w:tcPr>
            <w:tcW w:w="4364" w:type="dxa"/>
            <w:gridSpan w:val="4"/>
            <w:tcMar>
              <w:left w:w="108" w:type="dxa"/>
              <w:right w:w="108" w:type="dxa"/>
            </w:tcMar>
            <w:vAlign w:val="center"/>
          </w:tcPr>
          <w:p w14:paraId="378027EC">
            <w:pPr>
              <w:jc w:val="center"/>
            </w:pPr>
            <w:r>
              <w:rPr>
                <w:rFonts w:ascii="Times New Roman" w:hAnsi="Times New Roman" w:eastAsia="宋体" w:cs="Times New Roman"/>
                <w:bCs/>
                <w:kern w:val="2"/>
                <w:sz w:val="21"/>
                <w:szCs w:val="21"/>
                <w:lang w:val="en-US" w:eastAsia="zh-CN" w:bidi="ar-SA"/>
              </w:rPr>
              <w:t>刘东良</w:t>
            </w:r>
          </w:p>
        </w:tc>
        <w:tc>
          <w:tcPr>
            <w:tcW w:w="739" w:type="dxa"/>
            <w:tcMar>
              <w:left w:w="108" w:type="dxa"/>
              <w:right w:w="108" w:type="dxa"/>
            </w:tcMar>
            <w:vAlign w:val="center"/>
          </w:tcPr>
          <w:p w14:paraId="2D10972F">
            <w:pPr>
              <w:jc w:val="center"/>
            </w:pPr>
            <w:r>
              <w:rPr>
                <w:rFonts w:ascii="Times New Roman" w:hAnsi="Times New Roman" w:eastAsia="宋体" w:cs="Times New Roman"/>
                <w:bCs/>
                <w:kern w:val="2"/>
                <w:sz w:val="21"/>
                <w:szCs w:val="21"/>
                <w:lang w:val="en-US" w:eastAsia="zh-CN" w:bidi="ar-SA"/>
              </w:rPr>
              <w:t>阅卷方式</w:t>
            </w:r>
          </w:p>
        </w:tc>
        <w:tc>
          <w:tcPr>
            <w:tcW w:w="3228" w:type="dxa"/>
            <w:gridSpan w:val="3"/>
            <w:tcMar>
              <w:left w:w="108" w:type="dxa"/>
              <w:right w:w="108" w:type="dxa"/>
            </w:tcMar>
            <w:vAlign w:val="center"/>
          </w:tcPr>
          <w:p w14:paraId="168A6BBA">
            <w:pPr>
              <w:jc w:val="center"/>
            </w:pPr>
            <w:r>
              <w:rPr>
                <w:rFonts w:ascii="Times New Roman" w:hAnsi="Times New Roman" w:eastAsia="宋体" w:cs="Times New Roman"/>
                <w:bCs/>
                <w:kern w:val="2"/>
                <w:sz w:val="21"/>
                <w:szCs w:val="21"/>
                <w:lang w:val="en-US" w:eastAsia="zh-CN" w:bidi="ar-SA"/>
              </w:rPr>
              <w:t>集体阅卷</w:t>
            </w:r>
          </w:p>
        </w:tc>
      </w:tr>
      <w:tr w14:paraId="428B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jc w:val="center"/>
        </w:trPr>
        <w:tc>
          <w:tcPr>
            <w:tcW w:w="1160" w:type="dxa"/>
            <w:tcMar>
              <w:left w:w="108" w:type="dxa"/>
              <w:right w:w="108" w:type="dxa"/>
            </w:tcMar>
            <w:vAlign w:val="center"/>
          </w:tcPr>
          <w:p w14:paraId="46C67B24">
            <w:pPr>
              <w:jc w:val="center"/>
            </w:pPr>
            <w:r>
              <w:rPr>
                <w:rFonts w:ascii="Times New Roman" w:hAnsi="Times New Roman" w:eastAsia="宋体" w:cs="Times New Roman"/>
                <w:bCs/>
                <w:kern w:val="2"/>
                <w:sz w:val="21"/>
                <w:szCs w:val="21"/>
                <w:lang w:val="en-US" w:eastAsia="zh-CN" w:bidi="ar-SA"/>
              </w:rPr>
              <w:t>评价方法</w:t>
            </w:r>
          </w:p>
        </w:tc>
        <w:tc>
          <w:tcPr>
            <w:tcW w:w="8331" w:type="dxa"/>
            <w:gridSpan w:val="8"/>
            <w:tcMar>
              <w:left w:w="108" w:type="dxa"/>
              <w:right w:w="108" w:type="dxa"/>
            </w:tcMar>
            <w:vAlign w:val="center"/>
          </w:tcPr>
          <w:p w14:paraId="1125FA17">
            <w:pPr>
              <w:jc w:val="center"/>
            </w:pPr>
            <w:r>
              <w:rPr>
                <w:rFonts w:ascii="Times New Roman" w:hAnsi="Times New Roman" w:eastAsia="宋体" w:cs="Times New Roman"/>
                <w:bCs/>
                <w:kern w:val="2"/>
                <w:sz w:val="21"/>
                <w:szCs w:val="21"/>
                <w:lang w:val="en-US" w:eastAsia="zh-CN" w:bidi="ar-SA"/>
              </w:rPr>
              <w:t>定量评价+定性评价</w:t>
            </w:r>
          </w:p>
        </w:tc>
      </w:tr>
      <w:tr w14:paraId="6339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Mar>
              <w:left w:w="108" w:type="dxa"/>
              <w:right w:w="108" w:type="dxa"/>
            </w:tcMar>
            <w:vAlign w:val="center"/>
          </w:tcPr>
          <w:p w14:paraId="127ABC67">
            <w:pPr>
              <w:jc w:val="center"/>
            </w:pPr>
            <w:r>
              <w:rPr>
                <w:rFonts w:ascii="Times New Roman" w:hAnsi="Times New Roman" w:eastAsia="宋体" w:cs="Times New Roman"/>
                <w:bCs/>
                <w:kern w:val="2"/>
                <w:sz w:val="21"/>
                <w:szCs w:val="21"/>
                <w:lang w:val="en-US" w:eastAsia="zh-CN" w:bidi="ar-SA"/>
              </w:rPr>
              <w:t>评价依据</w:t>
            </w:r>
          </w:p>
        </w:tc>
        <w:tc>
          <w:tcPr>
            <w:tcW w:w="8337" w:type="dxa"/>
            <w:gridSpan w:val="9"/>
            <w:tcMar>
              <w:left w:w="108" w:type="dxa"/>
              <w:right w:w="108" w:type="dxa"/>
            </w:tcMar>
            <w:vAlign w:val="center"/>
          </w:tcPr>
          <w:p w14:paraId="0C8BBBD3">
            <w:pPr>
              <w:jc w:val="center"/>
            </w:pPr>
            <w:r>
              <w:rPr>
                <w:rFonts w:ascii="Times New Roman" w:hAnsi="Times New Roman" w:eastAsia="宋体" w:cs="Times New Roman"/>
                <w:bCs/>
                <w:kern w:val="2"/>
                <w:sz w:val="21"/>
                <w:szCs w:val="21"/>
                <w:lang w:val="en-US" w:eastAsia="zh-CN" w:bidi="ar-SA"/>
              </w:rPr>
              <w:t>课程教学大纲、课程过程性考核合理性审核表、教学过程性评价数据以及考试成绩</w:t>
            </w:r>
          </w:p>
        </w:tc>
      </w:tr>
      <w:tr w14:paraId="4516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9491" w:type="dxa"/>
            <w:gridSpan w:val="9"/>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4E8077A">
            <w:pPr>
              <w:jc w:val="center"/>
            </w:pPr>
            <w:r>
              <w:rPr>
                <w:rFonts w:ascii="Times New Roman" w:hAnsi="Times New Roman" w:eastAsia="宋体" w:cs="Times New Roman"/>
                <w:bCs/>
                <w:kern w:val="2"/>
                <w:sz w:val="21"/>
                <w:szCs w:val="21"/>
                <w:lang w:val="en-US" w:eastAsia="zh-CN" w:bidi="ar-SA"/>
              </w:rPr>
              <w:t>课程支撑毕业要求与课程目标及课程内容的对应关系</w:t>
            </w:r>
          </w:p>
        </w:tc>
      </w:tr>
      <w:tr w14:paraId="2754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2774" w:type="dxa"/>
            <w:gridSpan w:val="2"/>
            <w:tcMar>
              <w:left w:w="108" w:type="dxa"/>
              <w:right w:w="108" w:type="dxa"/>
            </w:tcMar>
            <w:vAlign w:val="center"/>
          </w:tcPr>
          <w:p w14:paraId="671B5092">
            <w:pPr>
              <w:wordWrap w:val="0"/>
              <w:spacing w:line="400" w:lineRule="exact"/>
              <w:jc w:val="center"/>
            </w:pPr>
            <w:r>
              <w:rPr>
                <w:rFonts w:ascii="Times New Roman" w:hAnsi="Times New Roman" w:eastAsia="宋体" w:cs="Times New Roman"/>
                <w:bCs/>
                <w:kern w:val="2"/>
                <w:sz w:val="21"/>
                <w:szCs w:val="21"/>
                <w:lang w:val="en-US" w:eastAsia="zh-CN" w:bidi="ar-SA"/>
              </w:rPr>
              <w:t>支撑的毕业要求</w:t>
            </w:r>
          </w:p>
        </w:tc>
        <w:tc>
          <w:tcPr>
            <w:tcW w:w="2750" w:type="dxa"/>
            <w:gridSpan w:val="3"/>
            <w:tcMar>
              <w:left w:w="108" w:type="dxa"/>
              <w:right w:w="108" w:type="dxa"/>
            </w:tcMar>
            <w:vAlign w:val="center"/>
          </w:tcPr>
          <w:p w14:paraId="3EB8B402">
            <w:pPr>
              <w:wordWrap w:val="0"/>
              <w:spacing w:line="400" w:lineRule="exact"/>
              <w:jc w:val="center"/>
            </w:pPr>
            <w:r>
              <w:rPr>
                <w:rFonts w:ascii="Times New Roman" w:hAnsi="Times New Roman" w:eastAsia="宋体" w:cs="Times New Roman"/>
                <w:bCs/>
                <w:kern w:val="2"/>
                <w:sz w:val="21"/>
                <w:szCs w:val="21"/>
                <w:lang w:val="en-US" w:eastAsia="zh-CN" w:bidi="ar-SA"/>
              </w:rPr>
              <w:t>课程目标</w:t>
            </w:r>
          </w:p>
        </w:tc>
        <w:tc>
          <w:tcPr>
            <w:tcW w:w="3967" w:type="dxa"/>
            <w:gridSpan w:val="4"/>
            <w:tcMar>
              <w:left w:w="108" w:type="dxa"/>
              <w:right w:w="108" w:type="dxa"/>
            </w:tcMar>
            <w:vAlign w:val="center"/>
          </w:tcPr>
          <w:p w14:paraId="6EADC6A4">
            <w:pPr>
              <w:wordWrap w:val="0"/>
              <w:spacing w:line="400" w:lineRule="exact"/>
              <w:jc w:val="center"/>
            </w:pPr>
            <w:r>
              <w:rPr>
                <w:rFonts w:ascii="Times New Roman" w:hAnsi="Times New Roman" w:eastAsia="宋体" w:cs="Times New Roman"/>
                <w:bCs/>
                <w:kern w:val="2"/>
                <w:sz w:val="21"/>
                <w:szCs w:val="21"/>
                <w:lang w:val="en-US" w:eastAsia="zh-CN" w:bidi="ar-SA"/>
              </w:rPr>
              <w:t>考核内容</w:t>
            </w:r>
          </w:p>
        </w:tc>
      </w:tr>
      <w:tr w14:paraId="25BD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2774" w:type="dxa"/>
            <w:gridSpan w:val="2"/>
            <w:tcBorders>
              <w:top w:val="single" w:color="auto" w:sz="4" w:space="0"/>
              <w:bottom w:val="single" w:color="auto" w:sz="4" w:space="0"/>
              <w:right w:val="single" w:color="auto" w:sz="4" w:space="0"/>
              <w:tl2br w:val="nil"/>
              <w:tr2bl w:val="nil"/>
            </w:tcBorders>
            <w:shd w:val="clear" w:color="auto" w:fill="auto"/>
            <w:tcMar>
              <w:left w:w="108" w:type="dxa"/>
              <w:right w:w="108" w:type="dxa"/>
            </w:tcMar>
            <w:vAlign w:val="center"/>
          </w:tcPr>
          <w:p w14:paraId="3F934240">
            <w:pPr>
              <w:snapToGrid w:val="0"/>
              <w:spacing w:line="360" w:lineRule="exact"/>
            </w:pPr>
            <w:r>
              <w:rPr>
                <w:rFonts w:ascii="Calibri" w:hAnsi="Calibri" w:eastAsia="宋体" w:cs="Times New Roman"/>
                <w:kern w:val="2"/>
                <w:sz w:val="21"/>
                <w:szCs w:val="24"/>
                <w:lang w:val="en-US" w:eastAsia="zh-CN" w:bidi="ar-SA"/>
              </w:rPr>
              <w:t>掌握移动应用开发技术体系（原生/混合/跨平台）及主流平台特性，理解技术选型逻辑，熟悉混合开发框架和 AI 编程工具的基本使用。</w:t>
            </w:r>
          </w:p>
        </w:tc>
        <w:tc>
          <w:tcPr>
            <w:tcW w:w="2750" w:type="dxa"/>
            <w:gridSpan w:val="3"/>
            <w:shd w:val="clear" w:color="auto" w:fill="auto"/>
            <w:tcMar>
              <w:left w:w="108" w:type="dxa"/>
              <w:right w:w="108" w:type="dxa"/>
            </w:tcMar>
            <w:vAlign w:val="center"/>
          </w:tcPr>
          <w:p w14:paraId="53813949">
            <w:pPr>
              <w:snapToGrid w:val="0"/>
              <w:spacing w:line="360" w:lineRule="exact"/>
            </w:pPr>
            <w:r>
              <w:rPr>
                <w:rFonts w:ascii="Calibri" w:hAnsi="Calibri" w:eastAsia="宋体" w:cs="Times New Roman"/>
                <w:kern w:val="2"/>
                <w:sz w:val="21"/>
                <w:szCs w:val="24"/>
                <w:lang w:val="en-US" w:eastAsia="zh-CN" w:bidi="ar-SA"/>
              </w:rPr>
              <w:t>1.4能够将数学、自然科学、工程基础和专业知识综合应用于解决计算机领域复杂工程问题，能够判别计算机系统的复杂性</w:t>
            </w:r>
          </w:p>
        </w:tc>
        <w:tc>
          <w:tcPr>
            <w:tcW w:w="3967" w:type="dxa"/>
            <w:gridSpan w:val="4"/>
            <w:tcMar>
              <w:left w:w="108" w:type="dxa"/>
              <w:right w:w="108" w:type="dxa"/>
            </w:tcMar>
            <w:vAlign w:val="center"/>
          </w:tcPr>
          <w:p w14:paraId="25C9C161">
            <w:pPr>
              <w:snapToGrid w:val="0"/>
              <w:spacing w:line="360" w:lineRule="exact"/>
            </w:pPr>
            <w:r>
              <w:rPr>
                <w:rFonts w:ascii="Times New Roman" w:hAnsi="Times New Roman" w:eastAsia="宋体" w:cs="Times New Roman"/>
                <w:bCs/>
                <w:kern w:val="2"/>
                <w:sz w:val="21"/>
                <w:szCs w:val="21"/>
                <w:lang w:val="en-US" w:eastAsia="zh-CN" w:bidi="ar-SA"/>
              </w:rPr>
              <w:t>1. 移动应用开发技术体系分析报告（原生/混合/跨平台技术对比、主流平台特性分析）2. 技术选型方案设计（基于具体场景的技术路线论证）3. AI编程工具应用实践（使用AI工具辅助开发的过程记录与成果展示）</w:t>
            </w:r>
          </w:p>
        </w:tc>
      </w:tr>
      <w:tr w14:paraId="794E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2774" w:type="dxa"/>
            <w:gridSpan w:val="2"/>
            <w:tcBorders>
              <w:top w:val="single" w:color="auto" w:sz="4" w:space="0"/>
              <w:bottom w:val="single" w:color="auto" w:sz="4" w:space="0"/>
              <w:right w:val="single" w:color="auto" w:sz="4" w:space="0"/>
              <w:tl2br w:val="nil"/>
              <w:tr2bl w:val="nil"/>
            </w:tcBorders>
            <w:shd w:val="clear" w:color="auto" w:fill="auto"/>
            <w:tcMar>
              <w:left w:w="108" w:type="dxa"/>
              <w:right w:w="108" w:type="dxa"/>
            </w:tcMar>
            <w:vAlign w:val="center"/>
          </w:tcPr>
          <w:p w14:paraId="31159675">
            <w:pPr>
              <w:snapToGrid w:val="0"/>
              <w:spacing w:line="360" w:lineRule="exact"/>
            </w:pPr>
            <w:r>
              <w:rPr>
                <w:rFonts w:ascii="Calibri" w:hAnsi="Calibri" w:eastAsia="宋体" w:cs="Times New Roman"/>
                <w:kern w:val="2"/>
                <w:sz w:val="21"/>
                <w:szCs w:val="24"/>
                <w:lang w:val="en-US" w:eastAsia="zh-CN" w:bidi="ar-SA"/>
              </w:rPr>
              <w:t>运用混合开发框架及小程序技术，结合 AI 编程工具，设计实现跨平台应用，具备需求建模与创新应用能力。</w:t>
            </w:r>
          </w:p>
        </w:tc>
        <w:tc>
          <w:tcPr>
            <w:tcW w:w="2750" w:type="dxa"/>
            <w:gridSpan w:val="3"/>
            <w:shd w:val="clear" w:color="auto" w:fill="auto"/>
            <w:tcMar>
              <w:left w:w="108" w:type="dxa"/>
              <w:right w:w="108" w:type="dxa"/>
            </w:tcMar>
            <w:vAlign w:val="center"/>
          </w:tcPr>
          <w:p w14:paraId="1987FB68">
            <w:pPr>
              <w:snapToGrid w:val="0"/>
              <w:spacing w:line="360" w:lineRule="exact"/>
            </w:pPr>
            <w:r>
              <w:rPr>
                <w:rFonts w:ascii="Calibri" w:hAnsi="Calibri" w:eastAsia="宋体" w:cs="Times New Roman"/>
                <w:kern w:val="2"/>
                <w:sz w:val="21"/>
                <w:szCs w:val="24"/>
                <w:lang w:val="en-US" w:eastAsia="zh-CN" w:bidi="ar-SA"/>
              </w:rPr>
              <w:t>3.2能够针对特定工程需求设计计算机应用系统,，并在设计环节中体现创新意识。</w:t>
            </w:r>
          </w:p>
        </w:tc>
        <w:tc>
          <w:tcPr>
            <w:tcW w:w="3967" w:type="dxa"/>
            <w:gridSpan w:val="4"/>
            <w:tcMar>
              <w:left w:w="108" w:type="dxa"/>
              <w:right w:w="108" w:type="dxa"/>
            </w:tcMar>
            <w:vAlign w:val="center"/>
          </w:tcPr>
          <w:p w14:paraId="627E139E">
            <w:pPr>
              <w:snapToGrid w:val="0"/>
              <w:spacing w:line="360" w:lineRule="exact"/>
            </w:pPr>
            <w:r>
              <w:rPr>
                <w:rFonts w:ascii="Times New Roman" w:hAnsi="Times New Roman" w:eastAsia="宋体" w:cs="Times New Roman"/>
                <w:bCs/>
                <w:kern w:val="2"/>
                <w:sz w:val="21"/>
                <w:szCs w:val="21"/>
                <w:lang w:val="en-US" w:eastAsia="zh-CN" w:bidi="ar-SA"/>
              </w:rPr>
              <w:t>1. 跨平台应用需求分析与建模报告（含用例图、流程图）2. 混合开发框架应用实践（小程序技术实现核心功能模块）3. 创新应用设计方案（功能创新点说明与技术实现路径）</w:t>
            </w:r>
          </w:p>
        </w:tc>
      </w:tr>
      <w:tr w14:paraId="577B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2774" w:type="dxa"/>
            <w:gridSpan w:val="2"/>
            <w:tcBorders>
              <w:top w:val="single" w:color="auto" w:sz="4" w:space="0"/>
              <w:bottom w:val="single" w:color="auto" w:sz="4" w:space="0"/>
              <w:right w:val="single" w:color="auto" w:sz="4" w:space="0"/>
              <w:tl2br w:val="nil"/>
              <w:tr2bl w:val="nil"/>
            </w:tcBorders>
            <w:shd w:val="clear" w:color="auto" w:fill="auto"/>
            <w:tcMar>
              <w:left w:w="108" w:type="dxa"/>
              <w:right w:w="108" w:type="dxa"/>
            </w:tcMar>
            <w:vAlign w:val="center"/>
          </w:tcPr>
          <w:p w14:paraId="10311F38">
            <w:pPr>
              <w:snapToGrid w:val="0"/>
              <w:spacing w:line="360" w:lineRule="exact"/>
            </w:pPr>
            <w:r>
              <w:rPr>
                <w:rFonts w:ascii="Calibri" w:hAnsi="Calibri" w:eastAsia="宋体" w:cs="Times New Roman"/>
                <w:kern w:val="2"/>
                <w:sz w:val="21"/>
                <w:szCs w:val="24"/>
                <w:lang w:val="en-US" w:eastAsia="zh-CN" w:bidi="ar-SA"/>
              </w:rPr>
              <w:t>基于华为多端技术实现跨设备适配，具备多场景应用的系统分析与开发能力。</w:t>
            </w:r>
          </w:p>
        </w:tc>
        <w:tc>
          <w:tcPr>
            <w:tcW w:w="2750" w:type="dxa"/>
            <w:gridSpan w:val="3"/>
            <w:shd w:val="clear" w:color="auto" w:fill="auto"/>
            <w:tcMar>
              <w:left w:w="108" w:type="dxa"/>
              <w:right w:w="108" w:type="dxa"/>
            </w:tcMar>
            <w:vAlign w:val="center"/>
          </w:tcPr>
          <w:p w14:paraId="66A4BF50">
            <w:pPr>
              <w:snapToGrid w:val="0"/>
              <w:spacing w:line="360" w:lineRule="exact"/>
            </w:pPr>
            <w:r>
              <w:rPr>
                <w:rFonts w:ascii="Calibri" w:hAnsi="Calibri" w:eastAsia="宋体" w:cs="Times New Roman"/>
                <w:kern w:val="2"/>
                <w:sz w:val="21"/>
                <w:szCs w:val="24"/>
                <w:lang w:val="en-US" w:eastAsia="zh-CN" w:bidi="ar-SA"/>
              </w:rPr>
              <w:t>4.2针对计算机领域复杂工程问题，能够收集、分析与解释已存在的相关产品、模型、系统、方案、开源资料库等资料，并通过信息综合得到合理有效的结论。</w:t>
            </w:r>
          </w:p>
        </w:tc>
        <w:tc>
          <w:tcPr>
            <w:tcW w:w="3967" w:type="dxa"/>
            <w:gridSpan w:val="4"/>
            <w:tcMar>
              <w:left w:w="108" w:type="dxa"/>
              <w:right w:w="108" w:type="dxa"/>
            </w:tcMar>
            <w:vAlign w:val="center"/>
          </w:tcPr>
          <w:p w14:paraId="7F8D23B0">
            <w:pPr>
              <w:snapToGrid w:val="0"/>
              <w:spacing w:line="360" w:lineRule="exact"/>
            </w:pPr>
            <w:r>
              <w:rPr>
                <w:rFonts w:ascii="Times New Roman" w:hAnsi="Times New Roman" w:eastAsia="宋体" w:cs="Times New Roman"/>
                <w:bCs/>
                <w:kern w:val="2"/>
                <w:sz w:val="21"/>
                <w:szCs w:val="21"/>
                <w:lang w:val="en-US" w:eastAsia="zh-CN" w:bidi="ar-SA"/>
              </w:rPr>
              <w:t>1. 跨设备适配技术方案设计（基于华为多端技术的适配策略）2. 多场景应用系统分析报告（不同设备环境下的功能适配方案）3. 开源技术资料调研与应用分析（相关技术框架的比较研究）</w:t>
            </w:r>
          </w:p>
        </w:tc>
      </w:tr>
      <w:tr w14:paraId="494F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Height w:val="468" w:hRule="atLeast"/>
          <w:jc w:val="center"/>
        </w:trPr>
        <w:tc>
          <w:tcPr>
            <w:tcW w:w="2774" w:type="dxa"/>
            <w:gridSpan w:val="2"/>
            <w:tcBorders>
              <w:top w:val="single" w:color="auto" w:sz="4" w:space="0"/>
              <w:bottom w:val="single" w:color="auto" w:sz="4" w:space="0"/>
              <w:right w:val="single" w:color="auto" w:sz="4" w:space="0"/>
              <w:tl2br w:val="nil"/>
              <w:tr2bl w:val="nil"/>
            </w:tcBorders>
            <w:shd w:val="clear" w:color="auto" w:fill="auto"/>
            <w:tcMar>
              <w:left w:w="108" w:type="dxa"/>
              <w:right w:w="108" w:type="dxa"/>
            </w:tcMar>
            <w:vAlign w:val="center"/>
          </w:tcPr>
          <w:p w14:paraId="58CE425E">
            <w:pPr>
              <w:snapToGrid w:val="0"/>
              <w:spacing w:line="360" w:lineRule="exact"/>
            </w:pPr>
            <w:r>
              <w:rPr>
                <w:rFonts w:ascii="Calibri" w:hAnsi="Calibri" w:eastAsia="宋体" w:cs="Times New Roman"/>
                <w:kern w:val="2"/>
                <w:sz w:val="21"/>
                <w:szCs w:val="24"/>
                <w:lang w:val="en-US" w:eastAsia="zh-CN" w:bidi="ar-SA"/>
              </w:rPr>
              <w:t>遵循软件工程规范，使用现代开发工具（含 AI 编程工具）完成应用测试与优化，具备工程实践能力</w:t>
            </w:r>
          </w:p>
        </w:tc>
        <w:tc>
          <w:tcPr>
            <w:tcW w:w="2750" w:type="dxa"/>
            <w:gridSpan w:val="3"/>
            <w:shd w:val="clear" w:color="auto" w:fill="auto"/>
            <w:tcMar>
              <w:left w:w="108" w:type="dxa"/>
              <w:right w:w="108" w:type="dxa"/>
            </w:tcMar>
            <w:vAlign w:val="center"/>
          </w:tcPr>
          <w:p w14:paraId="2BCE9D24">
            <w:pPr>
              <w:snapToGrid w:val="0"/>
              <w:spacing w:line="360" w:lineRule="exact"/>
            </w:pPr>
            <w:r>
              <w:rPr>
                <w:rFonts w:ascii="Calibri" w:hAnsi="Calibri" w:eastAsia="宋体" w:cs="Times New Roman"/>
                <w:kern w:val="2"/>
                <w:sz w:val="21"/>
                <w:szCs w:val="24"/>
                <w:lang w:val="en-US" w:eastAsia="zh-CN" w:bidi="ar-SA"/>
              </w:rPr>
              <w:t>5.1能够运用现代信息技术和工具获取计算机专业重要资料与信息。</w:t>
            </w:r>
          </w:p>
        </w:tc>
        <w:tc>
          <w:tcPr>
            <w:tcW w:w="3967" w:type="dxa"/>
            <w:gridSpan w:val="4"/>
            <w:tcMar>
              <w:left w:w="108" w:type="dxa"/>
              <w:right w:w="108" w:type="dxa"/>
            </w:tcMar>
            <w:vAlign w:val="center"/>
          </w:tcPr>
          <w:p w14:paraId="61078E4D">
            <w:pPr>
              <w:snapToGrid w:val="0"/>
              <w:spacing w:line="360" w:lineRule="exact"/>
            </w:pPr>
            <w:r>
              <w:rPr>
                <w:rFonts w:ascii="Times New Roman" w:hAnsi="Times New Roman" w:eastAsia="宋体" w:cs="Times New Roman"/>
                <w:bCs/>
                <w:kern w:val="2"/>
                <w:sz w:val="21"/>
                <w:szCs w:val="21"/>
                <w:lang w:val="en-US" w:eastAsia="zh-CN" w:bidi="ar-SA"/>
              </w:rPr>
              <w:t>1. 软件工程规范实践报告（代码规范、版本控制、文档管理）2. 应用测试方案与执行报告（功能测试、性能测试、兼容性测试）3. AI编程工具辅助优化案例（使用AI工具进行代码优化的过程与效果分析）</w:t>
            </w:r>
          </w:p>
        </w:tc>
      </w:tr>
    </w:tbl>
    <w:p w14:paraId="76FDDF56"/>
    <w:p w14:paraId="52B4F312"/>
    <w:p w14:paraId="1321C8B1"/>
    <w:p w14:paraId="4A853D59">
      <w:pPr>
        <w:spacing w:line="360" w:lineRule="exact"/>
        <w:ind w:firstLine="411" w:firstLineChars="196"/>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课程目标达成考核与评价方式及成绩评定对照表</w:t>
      </w:r>
    </w:p>
    <w:tbl>
      <w:tblPr>
        <w:tblStyle w:val="13"/>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706"/>
        <w:gridCol w:w="1164"/>
        <w:gridCol w:w="1616"/>
        <w:gridCol w:w="1517"/>
        <w:gridCol w:w="1883"/>
      </w:tblGrid>
      <w:tr w14:paraId="6BC1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Merge w:val="restart"/>
            <w:vAlign w:val="center"/>
          </w:tcPr>
          <w:p w14:paraId="1D16D66E">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w:t>
            </w:r>
          </w:p>
        </w:tc>
        <w:tc>
          <w:tcPr>
            <w:tcW w:w="706" w:type="dxa"/>
            <w:vMerge w:val="restart"/>
            <w:vAlign w:val="center"/>
          </w:tcPr>
          <w:p w14:paraId="5BB2D796">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权重</w:t>
            </w:r>
          </w:p>
        </w:tc>
        <w:tc>
          <w:tcPr>
            <w:tcW w:w="1164" w:type="dxa"/>
            <w:vMerge w:val="restart"/>
            <w:vAlign w:val="center"/>
          </w:tcPr>
          <w:p w14:paraId="30E580E7">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毕业要求</w:t>
            </w:r>
          </w:p>
        </w:tc>
        <w:tc>
          <w:tcPr>
            <w:tcW w:w="5016" w:type="dxa"/>
            <w:gridSpan w:val="3"/>
            <w:vAlign w:val="center"/>
          </w:tcPr>
          <w:p w14:paraId="009D823E">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评价方式及成绩比例（%）</w:t>
            </w:r>
          </w:p>
        </w:tc>
      </w:tr>
      <w:tr w14:paraId="3C9E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Merge w:val="continue"/>
          </w:tcPr>
          <w:p w14:paraId="1CE1421B">
            <w:pPr>
              <w:pStyle w:val="7"/>
              <w:spacing w:before="156" w:line="360" w:lineRule="auto"/>
              <w:rPr>
                <w:rFonts w:ascii="Times New Roman" w:hAnsi="Times New Roman" w:cs="Times New Roman"/>
                <w:bCs/>
                <w:color w:val="000000" w:themeColor="text1"/>
                <w14:textFill>
                  <w14:solidFill>
                    <w14:schemeClr w14:val="tx1"/>
                  </w14:solidFill>
                </w14:textFill>
              </w:rPr>
            </w:pPr>
          </w:p>
        </w:tc>
        <w:tc>
          <w:tcPr>
            <w:tcW w:w="706" w:type="dxa"/>
            <w:vMerge w:val="continue"/>
          </w:tcPr>
          <w:p w14:paraId="6899D19D">
            <w:pPr>
              <w:pStyle w:val="7"/>
              <w:spacing w:before="156" w:line="360" w:lineRule="auto"/>
              <w:rPr>
                <w:rFonts w:ascii="Times New Roman" w:hAnsi="Times New Roman" w:cs="Times New Roman"/>
                <w:bCs/>
                <w:color w:val="000000" w:themeColor="text1"/>
                <w14:textFill>
                  <w14:solidFill>
                    <w14:schemeClr w14:val="tx1"/>
                  </w14:solidFill>
                </w14:textFill>
              </w:rPr>
            </w:pPr>
          </w:p>
        </w:tc>
        <w:tc>
          <w:tcPr>
            <w:tcW w:w="1164" w:type="dxa"/>
            <w:vMerge w:val="continue"/>
          </w:tcPr>
          <w:p w14:paraId="4C7D836A">
            <w:pPr>
              <w:pStyle w:val="7"/>
              <w:spacing w:before="156"/>
              <w:jc w:val="center"/>
              <w:rPr>
                <w:rFonts w:ascii="Times New Roman" w:hAnsi="Times New Roman" w:cs="Times New Roman"/>
                <w:bCs/>
                <w:color w:val="000000" w:themeColor="text1"/>
                <w14:textFill>
                  <w14:solidFill>
                    <w14:schemeClr w14:val="tx1"/>
                  </w14:solidFill>
                </w14:textFill>
              </w:rPr>
            </w:pPr>
          </w:p>
        </w:tc>
        <w:tc>
          <w:tcPr>
            <w:tcW w:w="1616" w:type="dxa"/>
          </w:tcPr>
          <w:p w14:paraId="66B7CF1D">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平时</w:t>
            </w:r>
          </w:p>
          <w:p w14:paraId="0E4D77BC">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c>
          <w:tcPr>
            <w:tcW w:w="1517" w:type="dxa"/>
          </w:tcPr>
          <w:p w14:paraId="4BD24A9B">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实验</w:t>
            </w:r>
          </w:p>
          <w:p w14:paraId="1A82B094">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c>
          <w:tcPr>
            <w:tcW w:w="1883" w:type="dxa"/>
          </w:tcPr>
          <w:p w14:paraId="37E95BED">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期末</w:t>
            </w:r>
          </w:p>
          <w:p w14:paraId="47F6DBBD">
            <w:pPr>
              <w:pStyle w:val="7"/>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r>
      <w:tr w14:paraId="3AB1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jc w:val="center"/>
        </w:trPr>
        <w:tc>
          <w:tcPr>
            <w:tcW w:w="1416" w:type="dxa"/>
            <w:vAlign w:val="center"/>
          </w:tcPr>
          <w:p w14:paraId="78CC8435">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课程目标1</w:t>
            </w:r>
          </w:p>
        </w:tc>
        <w:tc>
          <w:tcPr>
            <w:tcW w:w="706" w:type="dxa"/>
            <w:vAlign w:val="center"/>
          </w:tcPr>
          <w:p w14:paraId="2E99F570">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0.1</w:t>
            </w:r>
          </w:p>
        </w:tc>
        <w:tc>
          <w:tcPr>
            <w:tcW w:w="1164" w:type="dxa"/>
          </w:tcPr>
          <w:p w14:paraId="4F003A5E">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支撑毕业要求1.4</w:t>
            </w:r>
          </w:p>
        </w:tc>
        <w:tc>
          <w:tcPr>
            <w:tcW w:w="1616" w:type="dxa"/>
            <w:vAlign w:val="center"/>
          </w:tcPr>
          <w:p w14:paraId="23AB8B6C">
            <w:pPr>
              <w:pStyle w:val="7"/>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10（20%）</w:t>
            </w:r>
          </w:p>
        </w:tc>
        <w:tc>
          <w:tcPr>
            <w:tcW w:w="1517" w:type="dxa"/>
            <w:vAlign w:val="center"/>
          </w:tcPr>
          <w:p w14:paraId="56124884">
            <w:pPr>
              <w:pStyle w:val="7"/>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10（30%）</w:t>
            </w:r>
          </w:p>
        </w:tc>
        <w:tc>
          <w:tcPr>
            <w:tcW w:w="1883" w:type="dxa"/>
            <w:vAlign w:val="center"/>
          </w:tcPr>
          <w:p w14:paraId="1F219670">
            <w:pPr>
              <w:pStyle w:val="7"/>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10（50%）</w:t>
            </w:r>
          </w:p>
        </w:tc>
      </w:tr>
      <w:tr w14:paraId="178E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1376B7F5">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课程目标2</w:t>
            </w:r>
          </w:p>
        </w:tc>
        <w:tc>
          <w:tcPr>
            <w:tcW w:w="706" w:type="dxa"/>
            <w:vAlign w:val="center"/>
          </w:tcPr>
          <w:p w14:paraId="2CF892AA">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0.2</w:t>
            </w:r>
          </w:p>
        </w:tc>
        <w:tc>
          <w:tcPr>
            <w:tcW w:w="1164" w:type="dxa"/>
          </w:tcPr>
          <w:p w14:paraId="723C087A">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支撑毕业要求3.2</w:t>
            </w:r>
          </w:p>
        </w:tc>
        <w:tc>
          <w:tcPr>
            <w:tcW w:w="1616" w:type="dxa"/>
            <w:vAlign w:val="center"/>
          </w:tcPr>
          <w:p w14:paraId="1608E41D">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20（20%）</w:t>
            </w:r>
          </w:p>
        </w:tc>
        <w:tc>
          <w:tcPr>
            <w:tcW w:w="1517" w:type="dxa"/>
            <w:vAlign w:val="center"/>
          </w:tcPr>
          <w:p w14:paraId="7E12ACF4">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20（30%）</w:t>
            </w:r>
          </w:p>
        </w:tc>
        <w:tc>
          <w:tcPr>
            <w:tcW w:w="1883" w:type="dxa"/>
            <w:vAlign w:val="center"/>
          </w:tcPr>
          <w:p w14:paraId="290B801B">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20（50%）</w:t>
            </w:r>
          </w:p>
        </w:tc>
      </w:tr>
      <w:tr w14:paraId="7D47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7C38EB8D">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课程目标3</w:t>
            </w:r>
          </w:p>
        </w:tc>
        <w:tc>
          <w:tcPr>
            <w:tcW w:w="706" w:type="dxa"/>
            <w:vAlign w:val="center"/>
          </w:tcPr>
          <w:p w14:paraId="230F7E81">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0</w:t>
            </w:r>
            <w:r>
              <w:rPr>
                <w:rFonts w:ascii="Times New Roman" w:hAnsi="Times New Roman" w:cs="Times New Roman"/>
                <w:bCs/>
                <w:color w:val="000000" w:themeColor="text1"/>
                <w14:textFill>
                  <w14:solidFill>
                    <w14:schemeClr w14:val="tx1"/>
                  </w14:solidFill>
                </w14:textFill>
              </w:rPr>
              <w:t>.3</w:t>
            </w:r>
          </w:p>
        </w:tc>
        <w:tc>
          <w:tcPr>
            <w:tcW w:w="1164" w:type="dxa"/>
          </w:tcPr>
          <w:p w14:paraId="28A225C3">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支撑毕业要求4.2</w:t>
            </w:r>
          </w:p>
        </w:tc>
        <w:tc>
          <w:tcPr>
            <w:tcW w:w="1616" w:type="dxa"/>
            <w:vAlign w:val="center"/>
          </w:tcPr>
          <w:p w14:paraId="200C4DE0">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0（20%）</w:t>
            </w:r>
          </w:p>
        </w:tc>
        <w:tc>
          <w:tcPr>
            <w:tcW w:w="1517" w:type="dxa"/>
            <w:vAlign w:val="center"/>
          </w:tcPr>
          <w:p w14:paraId="16F8844A">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0（30%）</w:t>
            </w:r>
          </w:p>
        </w:tc>
        <w:tc>
          <w:tcPr>
            <w:tcW w:w="1883" w:type="dxa"/>
            <w:vAlign w:val="center"/>
          </w:tcPr>
          <w:p w14:paraId="0F35DA8A">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0（50%）</w:t>
            </w:r>
          </w:p>
        </w:tc>
      </w:tr>
      <w:tr w14:paraId="1009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50C86037">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课程目标4</w:t>
            </w:r>
          </w:p>
        </w:tc>
        <w:tc>
          <w:tcPr>
            <w:tcW w:w="706" w:type="dxa"/>
            <w:vAlign w:val="center"/>
          </w:tcPr>
          <w:p w14:paraId="365E9908">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0</w:t>
            </w:r>
            <w:r>
              <w:rPr>
                <w:rFonts w:ascii="Times New Roman" w:hAnsi="Times New Roman" w:cs="Times New Roman"/>
                <w:bCs/>
                <w:color w:val="000000" w:themeColor="text1"/>
                <w14:textFill>
                  <w14:solidFill>
                    <w14:schemeClr w14:val="tx1"/>
                  </w14:solidFill>
                </w14:textFill>
              </w:rPr>
              <w:t>.4</w:t>
            </w:r>
          </w:p>
        </w:tc>
        <w:tc>
          <w:tcPr>
            <w:tcW w:w="1164" w:type="dxa"/>
          </w:tcPr>
          <w:p w14:paraId="19E47710">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支撑毕业要求5.1</w:t>
            </w:r>
          </w:p>
        </w:tc>
        <w:tc>
          <w:tcPr>
            <w:tcW w:w="1616" w:type="dxa"/>
            <w:vAlign w:val="center"/>
          </w:tcPr>
          <w:p w14:paraId="61C0CBE1">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（2</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c>
          <w:tcPr>
            <w:tcW w:w="1517" w:type="dxa"/>
            <w:vAlign w:val="center"/>
          </w:tcPr>
          <w:p w14:paraId="0E430EFE">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c>
          <w:tcPr>
            <w:tcW w:w="1883" w:type="dxa"/>
            <w:vAlign w:val="center"/>
          </w:tcPr>
          <w:p w14:paraId="76F40338">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（5</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r>
      <w:tr w14:paraId="6C4E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gridSpan w:val="3"/>
            <w:vAlign w:val="center"/>
          </w:tcPr>
          <w:p w14:paraId="71953324">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合计（占总评成绩比例）</w:t>
            </w:r>
          </w:p>
        </w:tc>
        <w:tc>
          <w:tcPr>
            <w:tcW w:w="1616" w:type="dxa"/>
            <w:vAlign w:val="center"/>
          </w:tcPr>
          <w:p w14:paraId="33B8CA80">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100（20%）</w:t>
            </w:r>
          </w:p>
        </w:tc>
        <w:tc>
          <w:tcPr>
            <w:tcW w:w="1517" w:type="dxa"/>
            <w:vAlign w:val="center"/>
          </w:tcPr>
          <w:p w14:paraId="376B03FA">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100（30%）</w:t>
            </w:r>
          </w:p>
        </w:tc>
        <w:tc>
          <w:tcPr>
            <w:tcW w:w="1883" w:type="dxa"/>
            <w:vAlign w:val="center"/>
          </w:tcPr>
          <w:p w14:paraId="02CDDE6D">
            <w:pPr>
              <w:pStyle w:val="7"/>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100（50%）</w:t>
            </w:r>
          </w:p>
        </w:tc>
      </w:tr>
    </w:tbl>
    <w:p w14:paraId="69D33BA9">
      <w:pPr>
        <w:rPr>
          <w:rFonts w:ascii="Times New Roman" w:hAnsi="Times New Roman"/>
          <w:vanish/>
          <w:sz w:val="13"/>
          <w:szCs w:val="13"/>
        </w:rPr>
      </w:pPr>
    </w:p>
    <w:p w14:paraId="153A54FC">
      <w:pPr>
        <w:widowControl/>
        <w:jc w:val="left"/>
        <w:rPr>
          <w:rFonts w:ascii="Times New Roman" w:hAnsi="Times New Roman"/>
          <w:b/>
          <w:bCs/>
          <w:sz w:val="13"/>
          <w:szCs w:val="13"/>
        </w:rPr>
      </w:pPr>
      <w:r>
        <w:rPr>
          <w:rFonts w:ascii="Times New Roman" w:hAnsi="Times New Roman"/>
          <w:b/>
          <w:sz w:val="24"/>
        </w:rPr>
        <w:t>二、课程考核标准</w:t>
      </w:r>
    </w:p>
    <w:p w14:paraId="515A91C7">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1 平时成绩评价标准</w:t>
      </w:r>
    </w:p>
    <w:tbl>
      <w:tblPr>
        <w:tblStyle w:val="13"/>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9"/>
        <w:gridCol w:w="1019"/>
        <w:gridCol w:w="1698"/>
        <w:gridCol w:w="1516"/>
        <w:gridCol w:w="1417"/>
        <w:gridCol w:w="1418"/>
        <w:gridCol w:w="709"/>
      </w:tblGrid>
      <w:tr w14:paraId="3898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restart"/>
            <w:tcMar>
              <w:top w:w="15" w:type="dxa"/>
              <w:left w:w="15" w:type="dxa"/>
              <w:right w:w="15" w:type="dxa"/>
            </w:tcMar>
            <w:vAlign w:val="center"/>
          </w:tcPr>
          <w:p w14:paraId="1A977203">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课程目标</w:t>
            </w:r>
          </w:p>
        </w:tc>
        <w:tc>
          <w:tcPr>
            <w:tcW w:w="1019" w:type="dxa"/>
            <w:vMerge w:val="restart"/>
            <w:vAlign w:val="center"/>
          </w:tcPr>
          <w:p w14:paraId="3EFD9416">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观测点</w:t>
            </w:r>
          </w:p>
        </w:tc>
        <w:tc>
          <w:tcPr>
            <w:tcW w:w="6049" w:type="dxa"/>
            <w:gridSpan w:val="4"/>
            <w:tcMar>
              <w:top w:w="15" w:type="dxa"/>
              <w:left w:w="15" w:type="dxa"/>
              <w:right w:w="15" w:type="dxa"/>
            </w:tcMar>
            <w:vAlign w:val="center"/>
          </w:tcPr>
          <w:p w14:paraId="2126F646">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评价标准</w:t>
            </w:r>
          </w:p>
        </w:tc>
        <w:tc>
          <w:tcPr>
            <w:tcW w:w="709" w:type="dxa"/>
            <w:vMerge w:val="restart"/>
            <w:tcMar>
              <w:top w:w="15" w:type="dxa"/>
              <w:left w:w="15" w:type="dxa"/>
              <w:right w:w="15" w:type="dxa"/>
            </w:tcMar>
            <w:vAlign w:val="center"/>
          </w:tcPr>
          <w:p w14:paraId="6EC28C9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成绩比例（</w:t>
            </w:r>
            <w:r>
              <w:rPr>
                <w:color w:val="000000" w:themeColor="text1"/>
                <w:szCs w:val="21"/>
                <w14:textFill>
                  <w14:solidFill>
                    <w14:schemeClr w14:val="tx1"/>
                  </w14:solidFill>
                </w14:textFill>
              </w:rPr>
              <w:t>%）</w:t>
            </w:r>
          </w:p>
        </w:tc>
      </w:tr>
      <w:tr w14:paraId="3437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continue"/>
            <w:tcMar>
              <w:top w:w="15" w:type="dxa"/>
              <w:left w:w="15" w:type="dxa"/>
              <w:right w:w="15" w:type="dxa"/>
            </w:tcMar>
            <w:vAlign w:val="center"/>
          </w:tcPr>
          <w:p w14:paraId="3CA9367F">
            <w:pPr>
              <w:snapToGrid w:val="0"/>
              <w:spacing w:line="360" w:lineRule="exact"/>
              <w:jc w:val="center"/>
              <w:rPr>
                <w:color w:val="000000" w:themeColor="text1"/>
                <w:szCs w:val="21"/>
                <w14:textFill>
                  <w14:solidFill>
                    <w14:schemeClr w14:val="tx1"/>
                  </w14:solidFill>
                </w14:textFill>
              </w:rPr>
            </w:pPr>
          </w:p>
        </w:tc>
        <w:tc>
          <w:tcPr>
            <w:tcW w:w="1019" w:type="dxa"/>
            <w:vMerge w:val="continue"/>
          </w:tcPr>
          <w:p w14:paraId="429C6FB7">
            <w:pPr>
              <w:widowControl/>
              <w:snapToGrid w:val="0"/>
              <w:spacing w:line="360" w:lineRule="exact"/>
              <w:jc w:val="center"/>
              <w:textAlignment w:val="center"/>
              <w:rPr>
                <w:color w:val="000000" w:themeColor="text1"/>
                <w:kern w:val="0"/>
                <w:szCs w:val="21"/>
                <w14:textFill>
                  <w14:solidFill>
                    <w14:schemeClr w14:val="tx1"/>
                  </w14:solidFill>
                </w14:textFill>
              </w:rPr>
            </w:pPr>
          </w:p>
        </w:tc>
        <w:tc>
          <w:tcPr>
            <w:tcW w:w="1698" w:type="dxa"/>
            <w:tcMar>
              <w:top w:w="15" w:type="dxa"/>
              <w:left w:w="15" w:type="dxa"/>
              <w:right w:w="15" w:type="dxa"/>
            </w:tcMar>
            <w:vAlign w:val="center"/>
          </w:tcPr>
          <w:p w14:paraId="0676A78F">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优秀</w:t>
            </w:r>
          </w:p>
          <w:p w14:paraId="1106D7E4">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90-100</w:t>
            </w:r>
          </w:p>
        </w:tc>
        <w:tc>
          <w:tcPr>
            <w:tcW w:w="1516" w:type="dxa"/>
            <w:tcMar>
              <w:top w:w="15" w:type="dxa"/>
              <w:left w:w="15" w:type="dxa"/>
              <w:right w:w="15" w:type="dxa"/>
            </w:tcMar>
            <w:vAlign w:val="center"/>
          </w:tcPr>
          <w:p w14:paraId="4E950F7B">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良好</w:t>
            </w:r>
          </w:p>
          <w:p w14:paraId="477FD0BA">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70-89</w:t>
            </w:r>
          </w:p>
        </w:tc>
        <w:tc>
          <w:tcPr>
            <w:tcW w:w="1417" w:type="dxa"/>
            <w:tcMar>
              <w:top w:w="15" w:type="dxa"/>
              <w:left w:w="15" w:type="dxa"/>
              <w:right w:w="15" w:type="dxa"/>
            </w:tcMar>
            <w:vAlign w:val="center"/>
          </w:tcPr>
          <w:p w14:paraId="0D7750C1">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合格</w:t>
            </w:r>
          </w:p>
          <w:p w14:paraId="3561C62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60-69</w:t>
            </w:r>
          </w:p>
        </w:tc>
        <w:tc>
          <w:tcPr>
            <w:tcW w:w="1418" w:type="dxa"/>
            <w:tcMar>
              <w:top w:w="15" w:type="dxa"/>
              <w:left w:w="15" w:type="dxa"/>
              <w:right w:w="15" w:type="dxa"/>
            </w:tcMar>
            <w:vAlign w:val="center"/>
          </w:tcPr>
          <w:p w14:paraId="02FB3E9B">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不合格</w:t>
            </w:r>
          </w:p>
          <w:p w14:paraId="7B9D668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0-59</w:t>
            </w:r>
          </w:p>
        </w:tc>
        <w:tc>
          <w:tcPr>
            <w:tcW w:w="709" w:type="dxa"/>
            <w:vMerge w:val="continue"/>
            <w:tcMar>
              <w:top w:w="15" w:type="dxa"/>
              <w:left w:w="15" w:type="dxa"/>
              <w:right w:w="15" w:type="dxa"/>
            </w:tcMar>
            <w:vAlign w:val="center"/>
          </w:tcPr>
          <w:p w14:paraId="6072EE95">
            <w:pPr>
              <w:snapToGrid w:val="0"/>
              <w:spacing w:line="360" w:lineRule="exact"/>
              <w:jc w:val="center"/>
              <w:rPr>
                <w:color w:val="000000" w:themeColor="text1"/>
                <w:szCs w:val="21"/>
                <w14:textFill>
                  <w14:solidFill>
                    <w14:schemeClr w14:val="tx1"/>
                  </w14:solidFill>
                </w14:textFill>
              </w:rPr>
            </w:pPr>
          </w:p>
        </w:tc>
      </w:tr>
      <w:tr w14:paraId="105E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81" w:hRule="atLeast"/>
          <w:jc w:val="center"/>
        </w:trPr>
        <w:tc>
          <w:tcPr>
            <w:tcW w:w="1149" w:type="dxa"/>
            <w:tcMar>
              <w:top w:w="15" w:type="dxa"/>
              <w:left w:w="15" w:type="dxa"/>
              <w:right w:w="15" w:type="dxa"/>
            </w:tcMar>
            <w:vAlign w:val="center"/>
          </w:tcPr>
          <w:p w14:paraId="590F8AEF">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1019" w:type="dxa"/>
            <w:vAlign w:val="center"/>
          </w:tcPr>
          <w:p w14:paraId="4451C8EB">
            <w:pPr>
              <w:widowControl/>
              <w:snapToGrid w:val="0"/>
              <w:spacing w:line="360" w:lineRule="exact"/>
              <w:textAlignment w:val="center"/>
              <w:rPr>
                <w:rFonts w:hint="eastAsia" w:eastAsia="宋体"/>
                <w:color w:val="000000" w:themeColor="text1"/>
                <w:kern w:val="0"/>
                <w:szCs w:val="21"/>
                <w:lang w:val="en-US" w:eastAsia="zh-CN"/>
                <w14:textFill>
                  <w14:solidFill>
                    <w14:schemeClr w14:val="tx1"/>
                  </w14:solidFill>
                </w14:textFill>
              </w:rPr>
            </w:pPr>
            <w:r>
              <w:rPr>
                <w:color w:val="000000" w:themeColor="text1"/>
                <w:kern w:val="0"/>
                <w:szCs w:val="21"/>
                <w14:textFill>
                  <w14:solidFill>
                    <w14:schemeClr w14:val="tx1"/>
                  </w14:solidFill>
                </w14:textFill>
              </w:rPr>
              <w:t>移动应用开发技术体系</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原生开发基础</w:t>
            </w:r>
          </w:p>
        </w:tc>
        <w:tc>
          <w:tcPr>
            <w:tcW w:w="1698" w:type="dxa"/>
            <w:tcMar>
              <w:top w:w="15" w:type="dxa"/>
              <w:left w:w="15" w:type="dxa"/>
              <w:right w:w="15" w:type="dxa"/>
            </w:tcMar>
            <w:vAlign w:val="center"/>
          </w:tcPr>
          <w:p w14:paraId="1095ADE6">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能够熟练</w:t>
            </w:r>
            <w:r>
              <w:rPr>
                <w:rFonts w:hint="eastAsia"/>
                <w:color w:val="000000" w:themeColor="text1"/>
                <w:kern w:val="0"/>
                <w:szCs w:val="21"/>
                <w14:textFill>
                  <w14:solidFill>
                    <w14:schemeClr w14:val="tx1"/>
                  </w14:solidFill>
                </w14:textFill>
              </w:rPr>
              <w:t>掌握主流工具链使用</w:t>
            </w:r>
            <w:r>
              <w:rPr>
                <w:rFonts w:hint="eastAsia"/>
                <w:color w:val="000000" w:themeColor="text1"/>
                <w:kern w:val="0"/>
                <w:szCs w:val="21"/>
                <w:lang w:eastAsia="zh-CN"/>
                <w14:textFill>
                  <w14:solidFill>
                    <w14:schemeClr w14:val="tx1"/>
                  </w14:solidFill>
                </w14:textFill>
              </w:rPr>
              <w:t>、掌握原生开发核心概念，能够实现简单页面交互</w:t>
            </w:r>
            <w:r>
              <w:rPr>
                <w:color w:val="000000" w:themeColor="text1"/>
                <w:kern w:val="0"/>
                <w:szCs w:val="21"/>
                <w14:textFill>
                  <w14:solidFill>
                    <w14:schemeClr w14:val="tx1"/>
                  </w14:solidFill>
                </w14:textFill>
              </w:rPr>
              <w:t>。</w:t>
            </w:r>
          </w:p>
        </w:tc>
        <w:tc>
          <w:tcPr>
            <w:tcW w:w="1516" w:type="dxa"/>
            <w:tcMar>
              <w:top w:w="15" w:type="dxa"/>
              <w:left w:w="15" w:type="dxa"/>
              <w:right w:w="15" w:type="dxa"/>
            </w:tcMar>
            <w:vAlign w:val="center"/>
          </w:tcPr>
          <w:p w14:paraId="593D11D1">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能够较好地</w:t>
            </w:r>
            <w:r>
              <w:rPr>
                <w:rFonts w:hint="eastAsia"/>
                <w:color w:val="000000" w:themeColor="text1"/>
                <w:kern w:val="0"/>
                <w:szCs w:val="21"/>
                <w14:textFill>
                  <w14:solidFill>
                    <w14:schemeClr w14:val="tx1"/>
                  </w14:solidFill>
                </w14:textFill>
              </w:rPr>
              <w:t>主流工具链使用</w:t>
            </w:r>
            <w:r>
              <w:rPr>
                <w:rFonts w:hint="eastAsia"/>
                <w:color w:val="000000" w:themeColor="text1"/>
                <w:kern w:val="0"/>
                <w:szCs w:val="21"/>
                <w:lang w:eastAsia="zh-CN"/>
                <w14:textFill>
                  <w14:solidFill>
                    <w14:schemeClr w14:val="tx1"/>
                  </w14:solidFill>
                </w14:textFill>
              </w:rPr>
              <w:t>、能够实现简单页面交互</w:t>
            </w:r>
            <w:r>
              <w:rPr>
                <w:color w:val="000000" w:themeColor="text1"/>
                <w:kern w:val="0"/>
                <w:szCs w:val="21"/>
                <w14:textFill>
                  <w14:solidFill>
                    <w14:schemeClr w14:val="tx1"/>
                  </w14:solidFill>
                </w14:textFill>
              </w:rPr>
              <w:t>。</w:t>
            </w:r>
          </w:p>
        </w:tc>
        <w:tc>
          <w:tcPr>
            <w:tcW w:w="1417" w:type="dxa"/>
            <w:tcMar>
              <w:top w:w="15" w:type="dxa"/>
              <w:left w:w="15" w:type="dxa"/>
              <w:right w:w="15" w:type="dxa"/>
            </w:tcMar>
            <w:vAlign w:val="center"/>
          </w:tcPr>
          <w:p w14:paraId="16E160C9">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能够配置和使用工具</w:t>
            </w:r>
            <w:r>
              <w:rPr>
                <w:rFonts w:hint="eastAsia"/>
                <w:color w:val="000000" w:themeColor="text1"/>
                <w:kern w:val="0"/>
                <w:szCs w:val="21"/>
                <w:lang w:eastAsia="zh-CN"/>
                <w14:textFill>
                  <w14:solidFill>
                    <w14:schemeClr w14:val="tx1"/>
                  </w14:solidFill>
                </w14:textFill>
              </w:rPr>
              <w:t>，实现简单页面交互</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5F4ABB09">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不能够独立配置</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lang w:eastAsia="zh-CN"/>
                <w14:textFill>
                  <w14:solidFill>
                    <w14:schemeClr w14:val="tx1"/>
                  </w14:solidFill>
                </w14:textFill>
              </w:rPr>
              <w:t>能够实现简单页面交互。</w:t>
            </w:r>
          </w:p>
        </w:tc>
        <w:tc>
          <w:tcPr>
            <w:tcW w:w="709" w:type="dxa"/>
            <w:tcMar>
              <w:top w:w="15" w:type="dxa"/>
              <w:left w:w="15" w:type="dxa"/>
              <w:right w:w="15" w:type="dxa"/>
            </w:tcMar>
            <w:vAlign w:val="center"/>
          </w:tcPr>
          <w:p w14:paraId="50F63511">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10</w:t>
            </w:r>
          </w:p>
        </w:tc>
      </w:tr>
      <w:tr w14:paraId="3656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18BEA733">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1019" w:type="dxa"/>
            <w:vAlign w:val="center"/>
          </w:tcPr>
          <w:p w14:paraId="3F7443EA">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szCs w:val="21"/>
                <w14:textFill>
                  <w14:solidFill>
                    <w14:schemeClr w14:val="tx1"/>
                  </w14:solidFill>
                </w14:textFill>
              </w:rPr>
              <w:t>混合开发技术</w:t>
            </w:r>
            <w:r>
              <w:rPr>
                <w:rFonts w:hint="eastAsia"/>
                <w:color w:val="000000" w:themeColor="text1"/>
                <w:szCs w:val="21"/>
                <w:lang w:eastAsia="zh-CN"/>
                <w14:textFill>
                  <w14:solidFill>
                    <w14:schemeClr w14:val="tx1"/>
                  </w14:solidFill>
                </w14:textFill>
              </w:rPr>
              <w:t>、</w:t>
            </w:r>
            <w:r>
              <w:rPr>
                <w:color w:val="000000" w:themeColor="text1"/>
                <w:szCs w:val="21"/>
                <w14:textFill>
                  <w14:solidFill>
                    <w14:schemeClr w14:val="tx1"/>
                  </w14:solidFill>
                </w14:textFill>
              </w:rPr>
              <w:t>小程序开发</w:t>
            </w:r>
          </w:p>
        </w:tc>
        <w:tc>
          <w:tcPr>
            <w:tcW w:w="1698" w:type="dxa"/>
            <w:tcMar>
              <w:top w:w="15" w:type="dxa"/>
              <w:left w:w="15" w:type="dxa"/>
              <w:right w:w="15" w:type="dxa"/>
            </w:tcMar>
            <w:vAlign w:val="center"/>
          </w:tcPr>
          <w:p w14:paraId="6A5E3841">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能够独立完成</w:t>
            </w:r>
            <w:r>
              <w:rPr>
                <w:rFonts w:hint="eastAsia"/>
                <w:color w:val="000000" w:themeColor="text1"/>
                <w:kern w:val="0"/>
                <w:szCs w:val="21"/>
                <w14:textFill>
                  <w14:solidFill>
                    <w14:schemeClr w14:val="tx1"/>
                  </w14:solidFill>
                </w14:textFill>
              </w:rPr>
              <w:t>使用混合框架开发跨平台页面，理解原生与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独立开发具备基础功能的小程序，掌握跨平台适配技巧</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学会借助 AI 工具提高开发效率</w:t>
            </w:r>
            <w:r>
              <w:rPr>
                <w:color w:val="000000" w:themeColor="text1"/>
                <w:kern w:val="0"/>
                <w:szCs w:val="21"/>
                <w14:textFill>
                  <w14:solidFill>
                    <w14:schemeClr w14:val="tx1"/>
                  </w14:solidFill>
                </w14:textFill>
              </w:rPr>
              <w:t>。</w:t>
            </w:r>
          </w:p>
        </w:tc>
        <w:tc>
          <w:tcPr>
            <w:tcW w:w="1516" w:type="dxa"/>
            <w:tcMar>
              <w:top w:w="15" w:type="dxa"/>
              <w:left w:w="15" w:type="dxa"/>
              <w:right w:w="15" w:type="dxa"/>
            </w:tcMar>
            <w:vAlign w:val="center"/>
          </w:tcPr>
          <w:p w14:paraId="3BA1040F">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能够完成</w:t>
            </w:r>
            <w:r>
              <w:rPr>
                <w:rFonts w:hint="eastAsia"/>
                <w:color w:val="000000" w:themeColor="text1"/>
                <w:kern w:val="0"/>
                <w:szCs w:val="21"/>
                <w14:textFill>
                  <w14:solidFill>
                    <w14:schemeClr w14:val="tx1"/>
                  </w14:solidFill>
                </w14:textFill>
              </w:rPr>
              <w:t>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1417" w:type="dxa"/>
            <w:tcMar>
              <w:top w:w="15" w:type="dxa"/>
              <w:left w:w="15" w:type="dxa"/>
              <w:right w:w="15" w:type="dxa"/>
            </w:tcMar>
            <w:vAlign w:val="center"/>
          </w:tcPr>
          <w:p w14:paraId="2B258340">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能够完成</w:t>
            </w:r>
            <w:r>
              <w:rPr>
                <w:rFonts w:hint="eastAsia"/>
                <w:color w:val="000000" w:themeColor="text1"/>
                <w:kern w:val="0"/>
                <w:szCs w:val="21"/>
                <w14:textFill>
                  <w14:solidFill>
                    <w14:schemeClr w14:val="tx1"/>
                  </w14:solidFill>
                </w14:textFill>
              </w:rPr>
              <w:t>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5928F2E2">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不能完成</w:t>
            </w:r>
            <w:r>
              <w:rPr>
                <w:rFonts w:hint="eastAsia"/>
                <w:color w:val="000000" w:themeColor="text1"/>
                <w:kern w:val="0"/>
                <w:szCs w:val="21"/>
                <w14:textFill>
                  <w14:solidFill>
                    <w14:schemeClr w14:val="tx1"/>
                  </w14:solidFill>
                </w14:textFill>
              </w:rPr>
              <w:t>混合框架开发跨平台页面，理解原生与 H5 交互原理，</w:t>
            </w:r>
            <w:r>
              <w:rPr>
                <w:rFonts w:hint="eastAsia"/>
                <w:color w:val="000000" w:themeColor="text1"/>
                <w:kern w:val="0"/>
                <w:szCs w:val="21"/>
                <w:lang w:val="en-US" w:eastAsia="zh-CN"/>
                <w14:textFill>
                  <w14:solidFill>
                    <w14:schemeClr w14:val="tx1"/>
                  </w14:solidFill>
                </w14:textFill>
              </w:rPr>
              <w:t>不能</w:t>
            </w:r>
            <w:r>
              <w:rPr>
                <w:color w:val="000000" w:themeColor="text1"/>
                <w:kern w:val="0"/>
                <w:szCs w:val="21"/>
                <w14:textFill>
                  <w14:solidFill>
                    <w14:schemeClr w14:val="tx1"/>
                  </w14:solidFill>
                </w14:textFill>
              </w:rPr>
              <w:t>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不会用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709" w:type="dxa"/>
            <w:tcMar>
              <w:top w:w="15" w:type="dxa"/>
              <w:left w:w="15" w:type="dxa"/>
              <w:right w:w="15" w:type="dxa"/>
            </w:tcMar>
            <w:vAlign w:val="center"/>
          </w:tcPr>
          <w:p w14:paraId="12FAB0A1">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20</w:t>
            </w:r>
          </w:p>
        </w:tc>
      </w:tr>
      <w:tr w14:paraId="7E8F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3BE4B2AB">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1019" w:type="dxa"/>
            <w:vAlign w:val="center"/>
          </w:tcPr>
          <w:p w14:paraId="57DF5FC6">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华为多端应用开发</w:t>
            </w:r>
          </w:p>
        </w:tc>
        <w:tc>
          <w:tcPr>
            <w:tcW w:w="1698" w:type="dxa"/>
            <w:tcMar>
              <w:top w:w="15" w:type="dxa"/>
              <w:left w:w="15" w:type="dxa"/>
              <w:right w:w="15" w:type="dxa"/>
            </w:tcMar>
            <w:vAlign w:val="center"/>
          </w:tcPr>
          <w:p w14:paraId="2F6A16C8">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使用 DevEco Studio 开发多端应用，实现设备间数据同步</w:t>
            </w:r>
            <w:r>
              <w:rPr>
                <w:rFonts w:hint="eastAsia"/>
                <w:color w:val="000000" w:themeColor="text1"/>
                <w:kern w:val="0"/>
                <w:szCs w:val="21"/>
                <w:lang w:eastAsia="zh-CN"/>
                <w14:textFill>
                  <w14:solidFill>
                    <w14:schemeClr w14:val="tx1"/>
                  </w14:solidFill>
                </w14:textFill>
              </w:rPr>
              <w:t>。</w:t>
            </w:r>
          </w:p>
        </w:tc>
        <w:tc>
          <w:tcPr>
            <w:tcW w:w="1516" w:type="dxa"/>
            <w:tcMar>
              <w:top w:w="15" w:type="dxa"/>
              <w:left w:w="15" w:type="dxa"/>
              <w:right w:w="15" w:type="dxa"/>
            </w:tcMar>
            <w:vAlign w:val="center"/>
          </w:tcPr>
          <w:p w14:paraId="13F8C70F">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使用 DevEco Studio 开发多端应用，实现设备间数据同步</w:t>
            </w:r>
            <w:r>
              <w:rPr>
                <w:rFonts w:hint="eastAsia"/>
                <w:color w:val="000000" w:themeColor="text1"/>
                <w:kern w:val="0"/>
                <w:szCs w:val="21"/>
                <w:lang w:eastAsia="zh-CN"/>
                <w14:textFill>
                  <w14:solidFill>
                    <w14:schemeClr w14:val="tx1"/>
                  </w14:solidFill>
                </w14:textFill>
              </w:rPr>
              <w:t>。</w:t>
            </w:r>
          </w:p>
        </w:tc>
        <w:tc>
          <w:tcPr>
            <w:tcW w:w="1417" w:type="dxa"/>
            <w:tcMar>
              <w:top w:w="15" w:type="dxa"/>
              <w:left w:w="15" w:type="dxa"/>
              <w:right w:w="15" w:type="dxa"/>
            </w:tcMar>
            <w:vAlign w:val="center"/>
          </w:tcPr>
          <w:p w14:paraId="49F93A1A">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使用 DevEco Studio 开发多端应用，</w:t>
            </w:r>
            <w:r>
              <w:rPr>
                <w:rFonts w:hint="eastAsia"/>
                <w:color w:val="000000" w:themeColor="text1"/>
                <w:kern w:val="0"/>
                <w:szCs w:val="21"/>
                <w:lang w:val="en-US" w:eastAsia="zh-CN"/>
                <w14:textFill>
                  <w14:solidFill>
                    <w14:schemeClr w14:val="tx1"/>
                  </w14:solidFill>
                </w14:textFill>
              </w:rPr>
              <w:t>基本</w:t>
            </w:r>
            <w:r>
              <w:rPr>
                <w:rFonts w:hint="eastAsia"/>
                <w:color w:val="000000" w:themeColor="text1"/>
                <w:kern w:val="0"/>
                <w:szCs w:val="21"/>
                <w14:textFill>
                  <w14:solidFill>
                    <w14:schemeClr w14:val="tx1"/>
                  </w14:solidFill>
                </w14:textFill>
              </w:rPr>
              <w:t>实现设备间数据同步</w:t>
            </w:r>
            <w:r>
              <w:rPr>
                <w:rFonts w:hint="eastAsia"/>
                <w:color w:val="000000" w:themeColor="text1"/>
                <w:kern w:val="0"/>
                <w:szCs w:val="21"/>
                <w:lang w:eastAsia="zh-CN"/>
                <w14:textFill>
                  <w14:solidFill>
                    <w14:schemeClr w14:val="tx1"/>
                  </w14:solidFill>
                </w14:textFill>
              </w:rPr>
              <w:t>。</w:t>
            </w:r>
          </w:p>
        </w:tc>
        <w:tc>
          <w:tcPr>
            <w:tcW w:w="1418" w:type="dxa"/>
            <w:tcMar>
              <w:top w:w="15" w:type="dxa"/>
              <w:left w:w="15" w:type="dxa"/>
              <w:right w:w="15" w:type="dxa"/>
            </w:tcMar>
            <w:vAlign w:val="center"/>
          </w:tcPr>
          <w:p w14:paraId="7936E55D">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使用 DevEco Studio 开发多端应用，</w:t>
            </w:r>
            <w:r>
              <w:rPr>
                <w:rFonts w:hint="eastAsia"/>
                <w:color w:val="000000" w:themeColor="text1"/>
                <w:kern w:val="0"/>
                <w:szCs w:val="21"/>
                <w:lang w:val="en-US" w:eastAsia="zh-CN"/>
                <w14:textFill>
                  <w14:solidFill>
                    <w14:schemeClr w14:val="tx1"/>
                  </w14:solidFill>
                </w14:textFill>
              </w:rPr>
              <w:t>不能</w:t>
            </w:r>
            <w:r>
              <w:rPr>
                <w:rFonts w:hint="eastAsia"/>
                <w:color w:val="000000" w:themeColor="text1"/>
                <w:kern w:val="0"/>
                <w:szCs w:val="21"/>
                <w14:textFill>
                  <w14:solidFill>
                    <w14:schemeClr w14:val="tx1"/>
                  </w14:solidFill>
                </w14:textFill>
              </w:rPr>
              <w:t>实现设备间数据同步</w:t>
            </w:r>
            <w:r>
              <w:rPr>
                <w:rFonts w:hint="eastAsia"/>
                <w:color w:val="000000" w:themeColor="text1"/>
                <w:kern w:val="0"/>
                <w:szCs w:val="21"/>
                <w:lang w:eastAsia="zh-CN"/>
                <w14:textFill>
                  <w14:solidFill>
                    <w14:schemeClr w14:val="tx1"/>
                  </w14:solidFill>
                </w14:textFill>
              </w:rPr>
              <w:t>。</w:t>
            </w:r>
          </w:p>
        </w:tc>
        <w:tc>
          <w:tcPr>
            <w:tcW w:w="709" w:type="dxa"/>
            <w:tcMar>
              <w:top w:w="15" w:type="dxa"/>
              <w:left w:w="15" w:type="dxa"/>
              <w:right w:w="15" w:type="dxa"/>
            </w:tcMar>
            <w:vAlign w:val="center"/>
          </w:tcPr>
          <w:p w14:paraId="4A0A0C88">
            <w:pPr>
              <w:widowControl/>
              <w:snapToGrid w:val="0"/>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3</w:t>
            </w:r>
            <w:r>
              <w:rPr>
                <w:color w:val="000000" w:themeColor="text1"/>
                <w:kern w:val="0"/>
                <w:szCs w:val="21"/>
                <w14:textFill>
                  <w14:solidFill>
                    <w14:schemeClr w14:val="tx1"/>
                  </w14:solidFill>
                </w14:textFill>
              </w:rPr>
              <w:t>0</w:t>
            </w:r>
          </w:p>
        </w:tc>
      </w:tr>
      <w:tr w14:paraId="4310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66D5101B">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1019" w:type="dxa"/>
            <w:vAlign w:val="center"/>
          </w:tcPr>
          <w:p w14:paraId="16D7D51F">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综合开发实践</w:t>
            </w:r>
          </w:p>
        </w:tc>
        <w:tc>
          <w:tcPr>
            <w:tcW w:w="1698" w:type="dxa"/>
            <w:tcMar>
              <w:top w:w="15" w:type="dxa"/>
              <w:left w:w="15" w:type="dxa"/>
              <w:right w:w="15" w:type="dxa"/>
            </w:tcMar>
            <w:vAlign w:val="center"/>
          </w:tcPr>
          <w:p w14:paraId="7117BCA8">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整合多技术栈完成综合项目，能借助 AI 工具进行优化，具备系统优化能力</w:t>
            </w:r>
            <w:r>
              <w:rPr>
                <w:color w:val="000000" w:themeColor="text1"/>
                <w:kern w:val="0"/>
                <w:szCs w:val="21"/>
                <w14:textFill>
                  <w14:solidFill>
                    <w14:schemeClr w14:val="tx1"/>
                  </w14:solidFill>
                </w14:textFill>
              </w:rPr>
              <w:t>，参与学习活动成绩优秀。</w:t>
            </w:r>
          </w:p>
        </w:tc>
        <w:tc>
          <w:tcPr>
            <w:tcW w:w="1516" w:type="dxa"/>
            <w:tcMar>
              <w:top w:w="15" w:type="dxa"/>
              <w:left w:w="15" w:type="dxa"/>
              <w:right w:w="15" w:type="dxa"/>
            </w:tcMar>
            <w:vAlign w:val="center"/>
          </w:tcPr>
          <w:p w14:paraId="36AD744A">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整合多技术栈完成综合项目，借助 AI 工具进行优化，具备系统优化能力</w:t>
            </w:r>
            <w:r>
              <w:rPr>
                <w:color w:val="000000" w:themeColor="text1"/>
                <w:kern w:val="0"/>
                <w:szCs w:val="21"/>
                <w14:textFill>
                  <w14:solidFill>
                    <w14:schemeClr w14:val="tx1"/>
                  </w14:solidFill>
                </w14:textFill>
              </w:rPr>
              <w:t>，参与学习活动成绩优秀。</w:t>
            </w:r>
          </w:p>
        </w:tc>
        <w:tc>
          <w:tcPr>
            <w:tcW w:w="1417" w:type="dxa"/>
            <w:tcMar>
              <w:top w:w="15" w:type="dxa"/>
              <w:left w:w="15" w:type="dxa"/>
              <w:right w:w="15" w:type="dxa"/>
            </w:tcMar>
            <w:vAlign w:val="center"/>
          </w:tcPr>
          <w:p w14:paraId="37530D14">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整合多技术栈完成综合项目，借助 AI 工具进行优化，具备系统优化能力</w:t>
            </w:r>
            <w:r>
              <w:rPr>
                <w:color w:val="000000" w:themeColor="text1"/>
                <w:kern w:val="0"/>
                <w:szCs w:val="21"/>
                <w14:textFill>
                  <w14:solidFill>
                    <w14:schemeClr w14:val="tx1"/>
                  </w14:solidFill>
                </w14:textFill>
              </w:rPr>
              <w:t>，参与学习活动成绩</w:t>
            </w:r>
            <w:r>
              <w:rPr>
                <w:rFonts w:hint="eastAsia"/>
                <w:color w:val="000000" w:themeColor="text1"/>
                <w:kern w:val="0"/>
                <w:szCs w:val="21"/>
                <w:lang w:val="en-US" w:eastAsia="zh-CN"/>
                <w14:textFill>
                  <w14:solidFill>
                    <w14:schemeClr w14:val="tx1"/>
                  </w14:solidFill>
                </w14:textFill>
              </w:rPr>
              <w:t>良好</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08299C13">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整合多技术栈完成综合项目，能借助 AI 工具进行优化，</w:t>
            </w: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14:textFill>
                  <w14:solidFill>
                    <w14:schemeClr w14:val="tx1"/>
                  </w14:solidFill>
                </w14:textFill>
              </w:rPr>
              <w:t>具备系统优化能力</w:t>
            </w:r>
            <w:r>
              <w:rPr>
                <w:color w:val="000000" w:themeColor="text1"/>
                <w:kern w:val="0"/>
                <w:szCs w:val="21"/>
                <w14:textFill>
                  <w14:solidFill>
                    <w14:schemeClr w14:val="tx1"/>
                  </w14:solidFill>
                </w14:textFill>
              </w:rPr>
              <w:t>。</w:t>
            </w:r>
          </w:p>
        </w:tc>
        <w:tc>
          <w:tcPr>
            <w:tcW w:w="709" w:type="dxa"/>
            <w:tcMar>
              <w:top w:w="15" w:type="dxa"/>
              <w:left w:w="15" w:type="dxa"/>
              <w:right w:w="15" w:type="dxa"/>
            </w:tcMar>
            <w:vAlign w:val="center"/>
          </w:tcPr>
          <w:p w14:paraId="3F553648">
            <w:pPr>
              <w:widowControl/>
              <w:snapToGrid w:val="0"/>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0</w:t>
            </w:r>
          </w:p>
        </w:tc>
      </w:tr>
    </w:tbl>
    <w:p w14:paraId="6008D918">
      <w:pPr>
        <w:spacing w:line="360" w:lineRule="auto"/>
        <w:ind w:firstLine="352" w:firstLineChars="196"/>
        <w:rPr>
          <w:bCs/>
          <w:color w:val="000000" w:themeColor="text1"/>
          <w:sz w:val="18"/>
          <w:szCs w:val="18"/>
          <w14:textFill>
            <w14:solidFill>
              <w14:schemeClr w14:val="tx1"/>
            </w14:solidFill>
          </w14:textFill>
        </w:rPr>
      </w:pPr>
      <w:r>
        <w:rPr>
          <w:bCs/>
          <w:color w:val="000000" w:themeColor="text1"/>
          <w:sz w:val="18"/>
          <w:szCs w:val="18"/>
          <w14:textFill>
            <w14:solidFill>
              <w14:schemeClr w14:val="tx1"/>
            </w14:solidFill>
          </w14:textFill>
        </w:rPr>
        <w:t>注：该表格中比例为平时考核成绩比例。</w:t>
      </w:r>
    </w:p>
    <w:p w14:paraId="4E7D57D1">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 实验成绩评价标准</w:t>
      </w:r>
    </w:p>
    <w:tbl>
      <w:tblPr>
        <w:tblStyle w:val="13"/>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9"/>
        <w:gridCol w:w="1170"/>
        <w:gridCol w:w="1645"/>
        <w:gridCol w:w="1610"/>
        <w:gridCol w:w="1225"/>
        <w:gridCol w:w="1418"/>
        <w:gridCol w:w="709"/>
      </w:tblGrid>
      <w:tr w14:paraId="58C4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restart"/>
            <w:tcMar>
              <w:top w:w="15" w:type="dxa"/>
              <w:left w:w="15" w:type="dxa"/>
              <w:right w:w="15" w:type="dxa"/>
            </w:tcMar>
            <w:vAlign w:val="center"/>
          </w:tcPr>
          <w:p w14:paraId="399ECE8F">
            <w:pPr>
              <w:widowControl/>
              <w:spacing w:line="360" w:lineRule="exact"/>
              <w:jc w:val="center"/>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课程目标</w:t>
            </w:r>
          </w:p>
        </w:tc>
        <w:tc>
          <w:tcPr>
            <w:tcW w:w="1170" w:type="dxa"/>
            <w:vMerge w:val="restart"/>
            <w:vAlign w:val="center"/>
          </w:tcPr>
          <w:p w14:paraId="1C67116D">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观测点</w:t>
            </w:r>
          </w:p>
        </w:tc>
        <w:tc>
          <w:tcPr>
            <w:tcW w:w="5898" w:type="dxa"/>
            <w:gridSpan w:val="4"/>
            <w:tcMar>
              <w:top w:w="15" w:type="dxa"/>
              <w:left w:w="15" w:type="dxa"/>
              <w:right w:w="15" w:type="dxa"/>
            </w:tcMar>
            <w:vAlign w:val="center"/>
          </w:tcPr>
          <w:p w14:paraId="39145565">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评价标准</w:t>
            </w:r>
          </w:p>
        </w:tc>
        <w:tc>
          <w:tcPr>
            <w:tcW w:w="709" w:type="dxa"/>
            <w:vMerge w:val="restart"/>
            <w:tcMar>
              <w:top w:w="15" w:type="dxa"/>
              <w:left w:w="15" w:type="dxa"/>
              <w:right w:w="15" w:type="dxa"/>
            </w:tcMar>
            <w:vAlign w:val="center"/>
          </w:tcPr>
          <w:p w14:paraId="5C1CD284">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成绩比例（</w:t>
            </w:r>
            <w:r>
              <w:rPr>
                <w:color w:val="000000" w:themeColor="text1"/>
                <w:szCs w:val="21"/>
                <w14:textFill>
                  <w14:solidFill>
                    <w14:schemeClr w14:val="tx1"/>
                  </w14:solidFill>
                </w14:textFill>
              </w:rPr>
              <w:t>%）</w:t>
            </w:r>
          </w:p>
        </w:tc>
      </w:tr>
      <w:tr w14:paraId="0EDC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continue"/>
            <w:tcMar>
              <w:top w:w="15" w:type="dxa"/>
              <w:left w:w="15" w:type="dxa"/>
              <w:right w:w="15" w:type="dxa"/>
            </w:tcMar>
            <w:vAlign w:val="center"/>
          </w:tcPr>
          <w:p w14:paraId="161516BB">
            <w:pPr>
              <w:spacing w:line="360" w:lineRule="exact"/>
              <w:jc w:val="center"/>
              <w:rPr>
                <w:color w:val="000000" w:themeColor="text1"/>
                <w:szCs w:val="21"/>
                <w14:textFill>
                  <w14:solidFill>
                    <w14:schemeClr w14:val="tx1"/>
                  </w14:solidFill>
                </w14:textFill>
              </w:rPr>
            </w:pPr>
          </w:p>
        </w:tc>
        <w:tc>
          <w:tcPr>
            <w:tcW w:w="1170" w:type="dxa"/>
            <w:vMerge w:val="continue"/>
          </w:tcPr>
          <w:p w14:paraId="4215C173">
            <w:pPr>
              <w:widowControl/>
              <w:spacing w:line="360" w:lineRule="exact"/>
              <w:jc w:val="center"/>
              <w:textAlignment w:val="center"/>
              <w:rPr>
                <w:color w:val="000000" w:themeColor="text1"/>
                <w:kern w:val="0"/>
                <w:szCs w:val="21"/>
                <w14:textFill>
                  <w14:solidFill>
                    <w14:schemeClr w14:val="tx1"/>
                  </w14:solidFill>
                </w14:textFill>
              </w:rPr>
            </w:pPr>
          </w:p>
        </w:tc>
        <w:tc>
          <w:tcPr>
            <w:tcW w:w="1645" w:type="dxa"/>
            <w:tcMar>
              <w:top w:w="15" w:type="dxa"/>
              <w:left w:w="15" w:type="dxa"/>
              <w:right w:w="15" w:type="dxa"/>
            </w:tcMar>
            <w:vAlign w:val="center"/>
          </w:tcPr>
          <w:p w14:paraId="57AB377C">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优秀</w:t>
            </w:r>
          </w:p>
          <w:p w14:paraId="5E7C80AA">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90-100</w:t>
            </w:r>
          </w:p>
        </w:tc>
        <w:tc>
          <w:tcPr>
            <w:tcW w:w="1610" w:type="dxa"/>
            <w:tcMar>
              <w:top w:w="15" w:type="dxa"/>
              <w:left w:w="15" w:type="dxa"/>
              <w:right w:w="15" w:type="dxa"/>
            </w:tcMar>
            <w:vAlign w:val="center"/>
          </w:tcPr>
          <w:p w14:paraId="6960D3D2">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良好</w:t>
            </w:r>
          </w:p>
          <w:p w14:paraId="42AB05DE">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70-89</w:t>
            </w:r>
          </w:p>
        </w:tc>
        <w:tc>
          <w:tcPr>
            <w:tcW w:w="1225" w:type="dxa"/>
            <w:tcMar>
              <w:top w:w="15" w:type="dxa"/>
              <w:left w:w="15" w:type="dxa"/>
              <w:right w:w="15" w:type="dxa"/>
            </w:tcMar>
            <w:vAlign w:val="center"/>
          </w:tcPr>
          <w:p w14:paraId="360CE2AD">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合格</w:t>
            </w:r>
          </w:p>
          <w:p w14:paraId="2760D633">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60-69</w:t>
            </w:r>
          </w:p>
        </w:tc>
        <w:tc>
          <w:tcPr>
            <w:tcW w:w="1418" w:type="dxa"/>
            <w:tcMar>
              <w:top w:w="15" w:type="dxa"/>
              <w:left w:w="15" w:type="dxa"/>
              <w:right w:w="15" w:type="dxa"/>
            </w:tcMar>
            <w:vAlign w:val="center"/>
          </w:tcPr>
          <w:p w14:paraId="490623B7">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不合格</w:t>
            </w:r>
          </w:p>
          <w:p w14:paraId="0B94FE5F">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0-59</w:t>
            </w:r>
          </w:p>
        </w:tc>
        <w:tc>
          <w:tcPr>
            <w:tcW w:w="709" w:type="dxa"/>
            <w:vMerge w:val="continue"/>
            <w:tcMar>
              <w:top w:w="15" w:type="dxa"/>
              <w:left w:w="15" w:type="dxa"/>
              <w:right w:w="15" w:type="dxa"/>
            </w:tcMar>
            <w:vAlign w:val="center"/>
          </w:tcPr>
          <w:p w14:paraId="6DEF42A6">
            <w:pPr>
              <w:spacing w:line="360" w:lineRule="exact"/>
              <w:jc w:val="center"/>
              <w:rPr>
                <w:color w:val="000000" w:themeColor="text1"/>
                <w:szCs w:val="21"/>
                <w14:textFill>
                  <w14:solidFill>
                    <w14:schemeClr w14:val="tx1"/>
                  </w14:solidFill>
                </w14:textFill>
              </w:rPr>
            </w:pPr>
          </w:p>
        </w:tc>
      </w:tr>
      <w:tr w14:paraId="7FC2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149" w:type="dxa"/>
            <w:tcMar>
              <w:top w:w="15" w:type="dxa"/>
              <w:left w:w="15" w:type="dxa"/>
              <w:right w:w="15" w:type="dxa"/>
            </w:tcMar>
            <w:vAlign w:val="center"/>
          </w:tcPr>
          <w:p w14:paraId="46C0A11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1170" w:type="dxa"/>
            <w:vAlign w:val="center"/>
          </w:tcPr>
          <w:p w14:paraId="66F1C3AD">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开发环境实战</w:t>
            </w:r>
            <w:r>
              <w:rPr>
                <w:rFonts w:hint="eastAsia"/>
                <w:color w:val="000000" w:themeColor="text1"/>
                <w:kern w:val="0"/>
                <w:szCs w:val="21"/>
                <w:lang w:eastAsia="zh-CN"/>
                <w14:textFill>
                  <w14:solidFill>
                    <w14:schemeClr w14:val="tx1"/>
                  </w14:solidFill>
                </w14:textFill>
              </w:rPr>
              <w:t>、原生应用开发</w:t>
            </w:r>
          </w:p>
        </w:tc>
        <w:tc>
          <w:tcPr>
            <w:tcW w:w="1645" w:type="dxa"/>
            <w:tcMar>
              <w:top w:w="15" w:type="dxa"/>
              <w:left w:w="15" w:type="dxa"/>
              <w:right w:w="15" w:type="dxa"/>
            </w:tcMar>
            <w:vAlign w:val="center"/>
          </w:tcPr>
          <w:p w14:paraId="63ECC47F">
            <w:pPr>
              <w:widowControl/>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kern w:val="0"/>
                <w:szCs w:val="21"/>
                <w14:textFill>
                  <w14:solidFill>
                    <w14:schemeClr w14:val="tx1"/>
                  </w14:solidFill>
                </w14:textFill>
              </w:rPr>
              <w:t>熟练</w:t>
            </w:r>
            <w:r>
              <w:rPr>
                <w:rFonts w:hint="eastAsia"/>
                <w:color w:val="000000" w:themeColor="text1"/>
                <w:kern w:val="0"/>
                <w:szCs w:val="21"/>
                <w14:textFill>
                  <w14:solidFill>
                    <w14:schemeClr w14:val="tx1"/>
                  </w14:solidFill>
                </w14:textFill>
              </w:rPr>
              <w:t>成功运行各平台HelloWorld项目，掌握环境配置流程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610" w:type="dxa"/>
            <w:tcMar>
              <w:top w:w="15" w:type="dxa"/>
              <w:left w:w="15" w:type="dxa"/>
              <w:right w:w="15" w:type="dxa"/>
            </w:tcMar>
            <w:vAlign w:val="center"/>
          </w:tcPr>
          <w:p w14:paraId="0D3B379F">
            <w:pPr>
              <w:widowControl/>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较好</w:t>
            </w:r>
            <w:r>
              <w:rPr>
                <w:rFonts w:hint="eastAsia"/>
                <w:color w:val="000000" w:themeColor="text1"/>
                <w:kern w:val="0"/>
                <w:szCs w:val="21"/>
                <w14:textFill>
                  <w14:solidFill>
                    <w14:schemeClr w14:val="tx1"/>
                  </w14:solidFill>
                </w14:textFill>
              </w:rPr>
              <w:t>成功运行各平台 HelloWorld 项目，掌握环境配置流程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225" w:type="dxa"/>
            <w:tcMar>
              <w:top w:w="15" w:type="dxa"/>
              <w:left w:w="15" w:type="dxa"/>
              <w:right w:w="15" w:type="dxa"/>
            </w:tcMar>
            <w:vAlign w:val="center"/>
          </w:tcPr>
          <w:p w14:paraId="33D18F6D">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成功运行各平台 HelloWorld 项目，</w:t>
            </w: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418" w:type="dxa"/>
            <w:tcMar>
              <w:top w:w="15" w:type="dxa"/>
              <w:left w:w="15" w:type="dxa"/>
              <w:right w:w="15" w:type="dxa"/>
            </w:tcMar>
            <w:vAlign w:val="center"/>
          </w:tcPr>
          <w:p w14:paraId="09781913">
            <w:pPr>
              <w:widowControl/>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不能够</w:t>
            </w:r>
            <w:r>
              <w:rPr>
                <w:rFonts w:hint="eastAsia"/>
                <w:color w:val="000000" w:themeColor="text1"/>
                <w:kern w:val="0"/>
                <w:szCs w:val="21"/>
                <w14:textFill>
                  <w14:solidFill>
                    <w14:schemeClr w14:val="tx1"/>
                  </w14:solidFill>
                </w14:textFill>
              </w:rPr>
              <w:t>成功运行各平台 HelloWorld 项目</w:t>
            </w:r>
            <w:r>
              <w:rPr>
                <w:rFonts w:hint="eastAsia"/>
                <w:color w:val="000000" w:themeColor="text1"/>
                <w:kern w:val="0"/>
                <w:szCs w:val="21"/>
                <w:lang w:eastAsia="zh-CN"/>
                <w14:textFill>
                  <w14:solidFill>
                    <w14:schemeClr w14:val="tx1"/>
                  </w14:solidFill>
                </w14:textFill>
              </w:rPr>
              <w:t>；掌握 Activity 跳转与数据传递。</w:t>
            </w:r>
          </w:p>
        </w:tc>
        <w:tc>
          <w:tcPr>
            <w:tcW w:w="709" w:type="dxa"/>
            <w:tcMar>
              <w:top w:w="15" w:type="dxa"/>
              <w:left w:w="15" w:type="dxa"/>
              <w:right w:w="15" w:type="dxa"/>
            </w:tcMar>
            <w:vAlign w:val="center"/>
          </w:tcPr>
          <w:p w14:paraId="5F66A486">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10</w:t>
            </w:r>
          </w:p>
        </w:tc>
      </w:tr>
      <w:tr w14:paraId="5BCB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149" w:type="dxa"/>
            <w:tcMar>
              <w:top w:w="15" w:type="dxa"/>
              <w:left w:w="15" w:type="dxa"/>
              <w:right w:w="15" w:type="dxa"/>
            </w:tcMar>
            <w:vAlign w:val="center"/>
          </w:tcPr>
          <w:p w14:paraId="667A3E71">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1170" w:type="dxa"/>
            <w:vAlign w:val="center"/>
          </w:tcPr>
          <w:p w14:paraId="59124B42">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Flutter 混合应用</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Uniapp多端开发</w:t>
            </w:r>
          </w:p>
        </w:tc>
        <w:tc>
          <w:tcPr>
            <w:tcW w:w="1645" w:type="dxa"/>
            <w:tcMar>
              <w:top w:w="15" w:type="dxa"/>
              <w:left w:w="15" w:type="dxa"/>
              <w:right w:w="15" w:type="dxa"/>
            </w:tcMar>
            <w:vAlign w:val="center"/>
          </w:tcPr>
          <w:p w14:paraId="2DDDFBEB">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理解 Dart 异步编程与 UI 状态管理；掌握 Uniapp 多端编译与条件编译；掌握小程序生命周期与本地存储，学会利用 AI 工具提高开发效率。</w:t>
            </w:r>
          </w:p>
        </w:tc>
        <w:tc>
          <w:tcPr>
            <w:tcW w:w="1610" w:type="dxa"/>
            <w:tcMar>
              <w:top w:w="15" w:type="dxa"/>
              <w:left w:w="15" w:type="dxa"/>
              <w:right w:w="15" w:type="dxa"/>
            </w:tcMar>
            <w:vAlign w:val="center"/>
          </w:tcPr>
          <w:p w14:paraId="38163126">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较好理解 Dart 异步编程与 UI 状态管理；较好掌握 Uniapp 多端编译与条件编译；较好掌握小程序生命周期与本地存储，利用 AI 工具。</w:t>
            </w:r>
          </w:p>
        </w:tc>
        <w:tc>
          <w:tcPr>
            <w:tcW w:w="1225" w:type="dxa"/>
            <w:tcMar>
              <w:top w:w="15" w:type="dxa"/>
              <w:left w:w="15" w:type="dxa"/>
              <w:right w:w="15" w:type="dxa"/>
            </w:tcMar>
            <w:vAlign w:val="center"/>
          </w:tcPr>
          <w:p w14:paraId="46686349">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基本理解 Dart 异步编程与 UI 状态管理；基本掌握 Uniapp 多端编译与条件编译；掌握小程序生命周期与本地存储。</w:t>
            </w:r>
          </w:p>
        </w:tc>
        <w:tc>
          <w:tcPr>
            <w:tcW w:w="1418" w:type="dxa"/>
            <w:tcMar>
              <w:top w:w="15" w:type="dxa"/>
              <w:left w:w="15" w:type="dxa"/>
              <w:right w:w="15" w:type="dxa"/>
            </w:tcMar>
            <w:vAlign w:val="center"/>
          </w:tcPr>
          <w:p w14:paraId="2DB5B140">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不理解 Dart 异步编程与 UI 状态管理；没掌握 Uniapp 多端编译与条件编译；没掌握小程序生命周期与本地存储。</w:t>
            </w:r>
          </w:p>
        </w:tc>
        <w:tc>
          <w:tcPr>
            <w:tcW w:w="709" w:type="dxa"/>
            <w:tcMar>
              <w:top w:w="15" w:type="dxa"/>
              <w:left w:w="15" w:type="dxa"/>
              <w:right w:w="15" w:type="dxa"/>
            </w:tcMar>
            <w:vAlign w:val="center"/>
          </w:tcPr>
          <w:p w14:paraId="2E5DB3E6">
            <w:pPr>
              <w:widowControl/>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2</w:t>
            </w:r>
            <w:r>
              <w:rPr>
                <w:color w:val="000000" w:themeColor="text1"/>
                <w:kern w:val="0"/>
                <w:szCs w:val="21"/>
                <w14:textFill>
                  <w14:solidFill>
                    <w14:schemeClr w14:val="tx1"/>
                  </w14:solidFill>
                </w14:textFill>
              </w:rPr>
              <w:t>0</w:t>
            </w:r>
          </w:p>
        </w:tc>
      </w:tr>
      <w:tr w14:paraId="204D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5" w:hRule="atLeast"/>
          <w:jc w:val="center"/>
        </w:trPr>
        <w:tc>
          <w:tcPr>
            <w:tcW w:w="1149" w:type="dxa"/>
            <w:tcMar>
              <w:top w:w="15" w:type="dxa"/>
              <w:left w:w="15" w:type="dxa"/>
              <w:right w:w="15" w:type="dxa"/>
            </w:tcMar>
            <w:vAlign w:val="center"/>
          </w:tcPr>
          <w:p w14:paraId="238686C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1170" w:type="dxa"/>
            <w:vAlign w:val="center"/>
          </w:tcPr>
          <w:p w14:paraId="2345564B">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微信小程序开发</w:t>
            </w:r>
            <w:r>
              <w:rPr>
                <w:rFonts w:hint="eastAsia"/>
                <w:color w:val="000000" w:themeColor="text1"/>
                <w:kern w:val="0"/>
                <w:szCs w:val="21"/>
                <w:lang w:eastAsia="zh-CN"/>
                <w14:textFill>
                  <w14:solidFill>
                    <w14:schemeClr w14:val="tx1"/>
                  </w14:solidFill>
                </w14:textFill>
              </w:rPr>
              <w:t>、华为多端应用开发</w:t>
            </w:r>
          </w:p>
        </w:tc>
        <w:tc>
          <w:tcPr>
            <w:tcW w:w="1645" w:type="dxa"/>
            <w:tcMar>
              <w:top w:w="15" w:type="dxa"/>
              <w:left w:w="15" w:type="dxa"/>
              <w:right w:w="15" w:type="dxa"/>
            </w:tcMar>
            <w:vAlign w:val="center"/>
          </w:tcPr>
          <w:p w14:paraId="360C4919">
            <w:pPr>
              <w:widowControl/>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掌握小程序生命周期与本地存储，学会利用 AI 工具提高开发效率</w:t>
            </w:r>
            <w:r>
              <w:rPr>
                <w:rFonts w:hint="eastAsia"/>
                <w:color w:val="000000" w:themeColor="text1"/>
                <w:kern w:val="0"/>
                <w:szCs w:val="21"/>
                <w:lang w:eastAsia="zh-CN"/>
                <w14:textFill>
                  <w14:solidFill>
                    <w14:schemeClr w14:val="tx1"/>
                  </w14:solidFill>
                </w14:textFill>
              </w:rPr>
              <w:t>；实现跨设备数据同步。</w:t>
            </w:r>
          </w:p>
        </w:tc>
        <w:tc>
          <w:tcPr>
            <w:tcW w:w="1610" w:type="dxa"/>
            <w:tcMar>
              <w:top w:w="15" w:type="dxa"/>
              <w:left w:w="15" w:type="dxa"/>
              <w:right w:w="15" w:type="dxa"/>
            </w:tcMar>
            <w:vAlign w:val="center"/>
          </w:tcPr>
          <w:p w14:paraId="105D135C">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掌握小程序生命周期与本地存储，利用 AI 工具</w:t>
            </w:r>
            <w:r>
              <w:rPr>
                <w:rFonts w:hint="eastAsia"/>
                <w:color w:val="000000" w:themeColor="text1"/>
                <w:kern w:val="0"/>
                <w:szCs w:val="21"/>
                <w:lang w:eastAsia="zh-CN"/>
                <w14:textFill>
                  <w14:solidFill>
                    <w14:schemeClr w14:val="tx1"/>
                  </w14:solidFill>
                </w14:textFill>
              </w:rPr>
              <w:t>；实现跨设备数据同步。</w:t>
            </w:r>
          </w:p>
        </w:tc>
        <w:tc>
          <w:tcPr>
            <w:tcW w:w="1225" w:type="dxa"/>
            <w:tcMar>
              <w:top w:w="15" w:type="dxa"/>
              <w:left w:w="15" w:type="dxa"/>
              <w:right w:w="15" w:type="dxa"/>
            </w:tcMar>
            <w:vAlign w:val="center"/>
          </w:tcPr>
          <w:p w14:paraId="5DBC6AA4">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掌握小程序生命周期与本地存储</w:t>
            </w:r>
            <w:r>
              <w:rPr>
                <w:rFonts w:hint="eastAsia"/>
                <w:color w:val="000000" w:themeColor="text1"/>
                <w:kern w:val="0"/>
                <w:szCs w:val="21"/>
                <w:lang w:eastAsia="zh-CN"/>
                <w14:textFill>
                  <w14:solidFill>
                    <w14:schemeClr w14:val="tx1"/>
                  </w14:solidFill>
                </w14:textFill>
              </w:rPr>
              <w:t>；实现跨设备数据同步。</w:t>
            </w:r>
          </w:p>
        </w:tc>
        <w:tc>
          <w:tcPr>
            <w:tcW w:w="1418" w:type="dxa"/>
            <w:tcMar>
              <w:top w:w="15" w:type="dxa"/>
              <w:left w:w="15" w:type="dxa"/>
              <w:right w:w="15" w:type="dxa"/>
            </w:tcMar>
            <w:vAlign w:val="center"/>
          </w:tcPr>
          <w:p w14:paraId="2053F497">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没</w:t>
            </w:r>
            <w:r>
              <w:rPr>
                <w:rFonts w:hint="eastAsia"/>
                <w:color w:val="000000" w:themeColor="text1"/>
                <w:kern w:val="0"/>
                <w:szCs w:val="21"/>
                <w14:textFill>
                  <w14:solidFill>
                    <w14:schemeClr w14:val="tx1"/>
                  </w14:solidFill>
                </w14:textFill>
              </w:rPr>
              <w:t>掌握小程序生命周期与本地存储</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没</w:t>
            </w:r>
            <w:r>
              <w:rPr>
                <w:rFonts w:hint="eastAsia"/>
                <w:color w:val="000000" w:themeColor="text1"/>
                <w:kern w:val="0"/>
                <w:szCs w:val="21"/>
                <w:lang w:eastAsia="zh-CN"/>
                <w14:textFill>
                  <w14:solidFill>
                    <w14:schemeClr w14:val="tx1"/>
                  </w14:solidFill>
                </w14:textFill>
              </w:rPr>
              <w:t>实现跨设备数据同步。</w:t>
            </w:r>
          </w:p>
        </w:tc>
        <w:tc>
          <w:tcPr>
            <w:tcW w:w="709" w:type="dxa"/>
            <w:tcMar>
              <w:top w:w="15" w:type="dxa"/>
              <w:left w:w="15" w:type="dxa"/>
              <w:right w:w="15" w:type="dxa"/>
            </w:tcMar>
            <w:vAlign w:val="center"/>
          </w:tcPr>
          <w:p w14:paraId="4FDB049E">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30</w:t>
            </w:r>
          </w:p>
        </w:tc>
      </w:tr>
      <w:tr w14:paraId="00B2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5" w:hRule="atLeast"/>
          <w:jc w:val="center"/>
        </w:trPr>
        <w:tc>
          <w:tcPr>
            <w:tcW w:w="1149" w:type="dxa"/>
            <w:tcMar>
              <w:top w:w="15" w:type="dxa"/>
              <w:left w:w="15" w:type="dxa"/>
              <w:right w:w="15" w:type="dxa"/>
            </w:tcMar>
            <w:vAlign w:val="center"/>
          </w:tcPr>
          <w:p w14:paraId="479F1EAE">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1170" w:type="dxa"/>
            <w:vAlign w:val="center"/>
          </w:tcPr>
          <w:p w14:paraId="3E68DE84">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跨平台项目实战</w:t>
            </w:r>
          </w:p>
        </w:tc>
        <w:tc>
          <w:tcPr>
            <w:tcW w:w="1645" w:type="dxa"/>
            <w:tcMar>
              <w:top w:w="15" w:type="dxa"/>
              <w:left w:w="15" w:type="dxa"/>
              <w:right w:w="15" w:type="dxa"/>
            </w:tcMar>
            <w:vAlign w:val="center"/>
          </w:tcPr>
          <w:p w14:paraId="582D379B">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提交可运行的多端应用及报告，说明 Xamarin框架的应用场景与优势</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实验报告内容完整、规范。</w:t>
            </w:r>
          </w:p>
        </w:tc>
        <w:tc>
          <w:tcPr>
            <w:tcW w:w="1610" w:type="dxa"/>
            <w:tcMar>
              <w:top w:w="15" w:type="dxa"/>
              <w:left w:w="15" w:type="dxa"/>
              <w:right w:w="15" w:type="dxa"/>
            </w:tcMar>
            <w:vAlign w:val="center"/>
          </w:tcPr>
          <w:p w14:paraId="59BB245A">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提交可运行的多端应用及技术选型报告，说明 Xamarin 框架的应用场景与优势</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w:t>
            </w:r>
            <w:r>
              <w:rPr>
                <w:rFonts w:hint="eastAsia"/>
                <w:color w:val="000000" w:themeColor="text1"/>
                <w:kern w:val="0"/>
                <w:szCs w:val="21"/>
                <w:lang w:val="en-US" w:eastAsia="zh-CN"/>
                <w14:textFill>
                  <w14:solidFill>
                    <w14:schemeClr w14:val="tx1"/>
                  </w14:solidFill>
                </w14:textFill>
              </w:rPr>
              <w:t>较为</w:t>
            </w:r>
            <w:r>
              <w:rPr>
                <w:color w:val="000000" w:themeColor="text1"/>
                <w:kern w:val="0"/>
                <w:szCs w:val="21"/>
                <w14:textFill>
                  <w14:solidFill>
                    <w14:schemeClr w14:val="tx1"/>
                  </w14:solidFill>
                </w14:textFill>
              </w:rPr>
              <w:t>完整、规范。</w:t>
            </w:r>
          </w:p>
        </w:tc>
        <w:tc>
          <w:tcPr>
            <w:tcW w:w="1225" w:type="dxa"/>
            <w:tcMar>
              <w:top w:w="15" w:type="dxa"/>
              <w:left w:w="15" w:type="dxa"/>
              <w:right w:w="15" w:type="dxa"/>
            </w:tcMar>
            <w:vAlign w:val="center"/>
          </w:tcPr>
          <w:p w14:paraId="7B6E71E0">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提交可运行的多端应用及技术选型报告</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实验报告内容完整、规范。</w:t>
            </w:r>
          </w:p>
        </w:tc>
        <w:tc>
          <w:tcPr>
            <w:tcW w:w="1418" w:type="dxa"/>
            <w:tcMar>
              <w:top w:w="15" w:type="dxa"/>
              <w:left w:w="15" w:type="dxa"/>
              <w:right w:w="15" w:type="dxa"/>
            </w:tcMar>
            <w:vAlign w:val="center"/>
          </w:tcPr>
          <w:p w14:paraId="57138EC4">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14:textFill>
                  <w14:solidFill>
                    <w14:schemeClr w14:val="tx1"/>
                  </w14:solidFill>
                </w14:textFill>
              </w:rPr>
              <w:t>提交可运行的多端应用及技术选型报告</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w:t>
            </w:r>
            <w:r>
              <w:rPr>
                <w:rFonts w:hint="eastAsia"/>
                <w:color w:val="000000" w:themeColor="text1"/>
                <w:kern w:val="0"/>
                <w:szCs w:val="21"/>
                <w14:textFill>
                  <w14:solidFill>
                    <w14:schemeClr w14:val="tx1"/>
                  </w14:solidFill>
                </w14:textFill>
              </w:rPr>
              <w:t>不</w:t>
            </w:r>
            <w:r>
              <w:rPr>
                <w:color w:val="000000" w:themeColor="text1"/>
                <w:kern w:val="0"/>
                <w:szCs w:val="21"/>
                <w14:textFill>
                  <w14:solidFill>
                    <w14:schemeClr w14:val="tx1"/>
                  </w14:solidFill>
                </w14:textFill>
              </w:rPr>
              <w:t>完整、规</w:t>
            </w:r>
            <w:r>
              <w:rPr>
                <w:rFonts w:hint="eastAsia"/>
                <w:color w:val="000000" w:themeColor="text1"/>
                <w:kern w:val="0"/>
                <w:szCs w:val="21"/>
                <w14:textFill>
                  <w14:solidFill>
                    <w14:schemeClr w14:val="tx1"/>
                  </w14:solidFill>
                </w14:textFill>
              </w:rPr>
              <w:t>范。</w:t>
            </w:r>
          </w:p>
        </w:tc>
        <w:tc>
          <w:tcPr>
            <w:tcW w:w="709" w:type="dxa"/>
            <w:tcMar>
              <w:top w:w="15" w:type="dxa"/>
              <w:left w:w="15" w:type="dxa"/>
              <w:right w:w="15" w:type="dxa"/>
            </w:tcMar>
            <w:vAlign w:val="center"/>
          </w:tcPr>
          <w:p w14:paraId="2458E0BA">
            <w:pPr>
              <w:widowControl/>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0</w:t>
            </w:r>
          </w:p>
        </w:tc>
      </w:tr>
    </w:tbl>
    <w:p w14:paraId="4988D9B5">
      <w:pPr>
        <w:spacing w:line="360" w:lineRule="auto"/>
        <w:ind w:firstLine="352" w:firstLineChars="196"/>
        <w:rPr>
          <w:bCs/>
          <w:color w:val="000000" w:themeColor="text1"/>
          <w:sz w:val="18"/>
          <w:szCs w:val="18"/>
          <w14:textFill>
            <w14:solidFill>
              <w14:schemeClr w14:val="tx1"/>
            </w14:solidFill>
          </w14:textFill>
        </w:rPr>
      </w:pPr>
      <w:r>
        <w:rPr>
          <w:bCs/>
          <w:color w:val="000000" w:themeColor="text1"/>
          <w:sz w:val="18"/>
          <w:szCs w:val="18"/>
          <w14:textFill>
            <w14:solidFill>
              <w14:schemeClr w14:val="tx1"/>
            </w14:solidFill>
          </w14:textFill>
        </w:rPr>
        <w:t>注：该表格中比例为实验考核成绩比例。</w:t>
      </w:r>
    </w:p>
    <w:p w14:paraId="2214CEAC">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3期末</w:t>
      </w:r>
      <w:r>
        <w:rPr>
          <w:rFonts w:hint="eastAsia"/>
          <w:bCs/>
          <w:color w:val="000000" w:themeColor="text1"/>
          <w:szCs w:val="21"/>
          <w14:textFill>
            <w14:solidFill>
              <w14:schemeClr w14:val="tx1"/>
            </w14:solidFill>
          </w14:textFill>
        </w:rPr>
        <w:t>考核</w:t>
      </w:r>
      <w:r>
        <w:rPr>
          <w:bCs/>
          <w:color w:val="000000" w:themeColor="text1"/>
          <w:szCs w:val="21"/>
          <w14:textFill>
            <w14:solidFill>
              <w14:schemeClr w14:val="tx1"/>
            </w14:solidFill>
          </w14:textFill>
        </w:rPr>
        <w:t>评价内容</w:t>
      </w:r>
    </w:p>
    <w:tbl>
      <w:tblPr>
        <w:tblStyle w:val="13"/>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4757"/>
        <w:gridCol w:w="850"/>
      </w:tblGrid>
      <w:tr w14:paraId="30AC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3256" w:type="dxa"/>
            <w:vAlign w:val="center"/>
          </w:tcPr>
          <w:p w14:paraId="13495A3A">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基本要求</w:t>
            </w:r>
          </w:p>
        </w:tc>
        <w:tc>
          <w:tcPr>
            <w:tcW w:w="4757" w:type="dxa"/>
            <w:vAlign w:val="center"/>
          </w:tcPr>
          <w:p w14:paraId="00173053">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评价内容</w:t>
            </w:r>
          </w:p>
        </w:tc>
        <w:tc>
          <w:tcPr>
            <w:tcW w:w="850" w:type="dxa"/>
            <w:vAlign w:val="center"/>
          </w:tcPr>
          <w:p w14:paraId="14A59E0C">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比例</w:t>
            </w:r>
          </w:p>
        </w:tc>
      </w:tr>
      <w:tr w14:paraId="7886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742DDFBD">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4757" w:type="dxa"/>
          </w:tcPr>
          <w:p w14:paraId="1EED5258">
            <w:pPr>
              <w:spacing w:line="360" w:lineRule="exact"/>
              <w:rPr>
                <w:bCs/>
                <w:color w:val="000000" w:themeColor="text1"/>
                <w:szCs w:val="21"/>
                <w14:textFill>
                  <w14:solidFill>
                    <w14:schemeClr w14:val="tx1"/>
                  </w14:solidFill>
                </w14:textFill>
              </w:rPr>
            </w:pPr>
            <w:r>
              <w:rPr>
                <w:rFonts w:hint="eastAsia"/>
              </w:rPr>
              <w:t>项目架构设计：主流框架项目结构设计与技术选型</w:t>
            </w:r>
          </w:p>
        </w:tc>
        <w:tc>
          <w:tcPr>
            <w:tcW w:w="850" w:type="dxa"/>
            <w:vAlign w:val="center"/>
          </w:tcPr>
          <w:p w14:paraId="117CB70A">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10</w:t>
            </w:r>
          </w:p>
        </w:tc>
      </w:tr>
      <w:tr w14:paraId="140C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6208D763">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4757" w:type="dxa"/>
          </w:tcPr>
          <w:p w14:paraId="083BC8DC">
            <w:pPr>
              <w:spacing w:line="360" w:lineRule="exact"/>
              <w:rPr>
                <w:bCs/>
                <w:color w:val="000000" w:themeColor="text1"/>
                <w:szCs w:val="21"/>
                <w14:textFill>
                  <w14:solidFill>
                    <w14:schemeClr w14:val="tx1"/>
                  </w14:solidFill>
                </w14:textFill>
              </w:rPr>
            </w:pPr>
            <w:r>
              <w:rPr>
                <w:rFonts w:hint="eastAsia"/>
              </w:rPr>
              <w:t>数据存储方案：主流框架中的数据存储实现</w:t>
            </w:r>
          </w:p>
        </w:tc>
        <w:tc>
          <w:tcPr>
            <w:tcW w:w="850" w:type="dxa"/>
            <w:vAlign w:val="center"/>
          </w:tcPr>
          <w:p w14:paraId="789555DE">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20</w:t>
            </w:r>
          </w:p>
        </w:tc>
      </w:tr>
      <w:tr w14:paraId="16A8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2FD2FC6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4757" w:type="dxa"/>
            <w:vAlign w:val="center"/>
          </w:tcPr>
          <w:p w14:paraId="4C2AC327">
            <w:pPr>
              <w:spacing w:line="360" w:lineRule="exact"/>
              <w:jc w:val="left"/>
              <w:rPr>
                <w:bCs/>
                <w:color w:val="000000" w:themeColor="text1"/>
                <w:szCs w:val="21"/>
                <w14:textFill>
                  <w14:solidFill>
                    <w14:schemeClr w14:val="tx1"/>
                  </w14:solidFill>
                </w14:textFill>
              </w:rPr>
            </w:pPr>
            <w:r>
              <w:rPr>
                <w:rFonts w:hint="eastAsia"/>
              </w:rPr>
              <w:t>性能优化：启动速度优化、UI 渲染效率提升</w:t>
            </w:r>
          </w:p>
        </w:tc>
        <w:tc>
          <w:tcPr>
            <w:tcW w:w="850" w:type="dxa"/>
            <w:vAlign w:val="center"/>
          </w:tcPr>
          <w:p w14:paraId="1F8D9C0B">
            <w:pPr>
              <w:spacing w:line="360" w:lineRule="exact"/>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3</w:t>
            </w:r>
            <w:r>
              <w:rPr>
                <w:bCs/>
                <w:color w:val="000000" w:themeColor="text1"/>
                <w:szCs w:val="21"/>
                <w14:textFill>
                  <w14:solidFill>
                    <w14:schemeClr w14:val="tx1"/>
                  </w14:solidFill>
                </w14:textFill>
              </w:rPr>
              <w:t>0</w:t>
            </w:r>
          </w:p>
        </w:tc>
      </w:tr>
      <w:tr w14:paraId="7AD3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4676A9AC">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4757" w:type="dxa"/>
            <w:vAlign w:val="center"/>
          </w:tcPr>
          <w:p w14:paraId="3668A103">
            <w:pPr>
              <w:spacing w:line="360" w:lineRule="exact"/>
              <w:jc w:val="left"/>
              <w:rPr>
                <w:bCs/>
                <w:color w:val="000000" w:themeColor="text1"/>
                <w:szCs w:val="21"/>
                <w14:textFill>
                  <w14:solidFill>
                    <w14:schemeClr w14:val="tx1"/>
                  </w14:solidFill>
                </w14:textFill>
              </w:rPr>
            </w:pPr>
            <w:r>
              <w:rPr>
                <w:rFonts w:hint="eastAsia"/>
              </w:rPr>
              <w:t>AI 工具深度应用：利用 AI 工具进行代码重构、性能优化建议分析</w:t>
            </w:r>
          </w:p>
        </w:tc>
        <w:tc>
          <w:tcPr>
            <w:tcW w:w="850" w:type="dxa"/>
            <w:vAlign w:val="center"/>
          </w:tcPr>
          <w:p w14:paraId="39D6A70E">
            <w:pPr>
              <w:spacing w:line="360" w:lineRule="exact"/>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4</w:t>
            </w:r>
            <w:r>
              <w:rPr>
                <w:bCs/>
                <w:color w:val="000000" w:themeColor="text1"/>
                <w:szCs w:val="21"/>
                <w14:textFill>
                  <w14:solidFill>
                    <w14:schemeClr w14:val="tx1"/>
                  </w14:solidFill>
                </w14:textFill>
              </w:rPr>
              <w:t>0</w:t>
            </w:r>
          </w:p>
        </w:tc>
      </w:tr>
    </w:tbl>
    <w:p w14:paraId="699CA416">
      <w:pPr>
        <w:widowControl/>
        <w:jc w:val="left"/>
        <w:rPr>
          <w:rFonts w:ascii="Times New Roman" w:hAnsi="Times New Roman"/>
          <w:b/>
          <w:sz w:val="24"/>
        </w:rPr>
      </w:pPr>
    </w:p>
    <w:p w14:paraId="57048409">
      <w:pPr>
        <w:widowControl/>
        <w:jc w:val="left"/>
        <w:rPr>
          <w:rFonts w:ascii="Times New Roman" w:hAnsi="Times New Roman"/>
          <w:b/>
          <w:bCs/>
          <w:sz w:val="13"/>
          <w:szCs w:val="13"/>
        </w:rPr>
      </w:pPr>
      <w:r>
        <w:rPr>
          <w:rFonts w:ascii="Times New Roman" w:hAnsi="Times New Roman"/>
          <w:b/>
          <w:sz w:val="24"/>
        </w:rPr>
        <w:t>三、课程目标和支撑毕业要求指标点达成情况计算（定量评价）</w:t>
      </w:r>
    </w:p>
    <w:tbl>
      <w:tblPr>
        <w:tblStyle w:val="13"/>
        <w:tblpPr w:leftFromText="180" w:rightFromText="180" w:vertAnchor="text" w:horzAnchor="page" w:tblpX="1206" w:tblpY="721"/>
        <w:tblOverlap w:val="never"/>
        <w:tblW w:w="9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11"/>
        <w:gridCol w:w="709"/>
        <w:gridCol w:w="1370"/>
        <w:gridCol w:w="879"/>
        <w:gridCol w:w="910"/>
        <w:gridCol w:w="1102"/>
        <w:gridCol w:w="992"/>
        <w:gridCol w:w="737"/>
        <w:gridCol w:w="936"/>
        <w:gridCol w:w="434"/>
      </w:tblGrid>
      <w:tr w14:paraId="7646A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 w:hRule="atLeast"/>
        </w:trPr>
        <w:tc>
          <w:tcPr>
            <w:tcW w:w="172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A517A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课程目标及权重</w:t>
            </w:r>
          </w:p>
        </w:tc>
        <w:tc>
          <w:tcPr>
            <w:tcW w:w="52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FE3FD7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评价方式</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3D4E3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课成目标达成度</w:t>
            </w:r>
          </w:p>
        </w:tc>
        <w:tc>
          <w:tcPr>
            <w:tcW w:w="137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6295CC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毕业要求指标点达成度</w:t>
            </w:r>
          </w:p>
        </w:tc>
      </w:tr>
      <w:tr w14:paraId="74933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7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792243">
            <w:pPr>
              <w:jc w:val="center"/>
              <w:rPr>
                <w:rFonts w:hint="eastAsia" w:ascii="宋体" w:hAnsi="宋体" w:eastAsia="宋体" w:cs="宋体"/>
                <w:i w:val="0"/>
                <w:iCs w:val="0"/>
                <w:color w:val="000000"/>
                <w:sz w:val="21"/>
                <w:szCs w:val="21"/>
                <w:u w:val="none"/>
              </w:rPr>
            </w:pPr>
          </w:p>
        </w:tc>
        <w:tc>
          <w:tcPr>
            <w:tcW w:w="52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52AC49">
            <w:pPr>
              <w:jc w:val="center"/>
              <w:rPr>
                <w:rFonts w:hint="eastAsia" w:ascii="宋体" w:hAnsi="宋体" w:eastAsia="宋体" w:cs="宋体"/>
                <w:i w:val="0"/>
                <w:iCs w:val="0"/>
                <w:color w:val="000000"/>
                <w:sz w:val="21"/>
                <w:szCs w:val="21"/>
                <w:u w:val="none"/>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453A76">
            <w:pPr>
              <w:jc w:val="center"/>
              <w:rPr>
                <w:rFonts w:hint="eastAsia" w:ascii="宋体" w:hAnsi="宋体" w:eastAsia="宋体" w:cs="宋体"/>
                <w:i w:val="0"/>
                <w:iCs w:val="0"/>
                <w:color w:val="000000"/>
                <w:sz w:val="21"/>
                <w:szCs w:val="21"/>
                <w:u w:val="none"/>
              </w:rPr>
            </w:pPr>
          </w:p>
        </w:tc>
        <w:tc>
          <w:tcPr>
            <w:tcW w:w="137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18E7D9">
            <w:pPr>
              <w:jc w:val="center"/>
              <w:rPr>
                <w:rFonts w:hint="eastAsia" w:ascii="宋体" w:hAnsi="宋体" w:eastAsia="宋体" w:cs="宋体"/>
                <w:i w:val="0"/>
                <w:iCs w:val="0"/>
                <w:color w:val="000000"/>
                <w:sz w:val="21"/>
                <w:szCs w:val="21"/>
                <w:u w:val="none"/>
              </w:rPr>
            </w:pPr>
          </w:p>
        </w:tc>
      </w:tr>
      <w:tr w14:paraId="62273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 w:hRule="atLeast"/>
        </w:trPr>
        <w:tc>
          <w:tcPr>
            <w:tcW w:w="10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13079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课程目标</w:t>
            </w:r>
            <w:r>
              <w:rPr>
                <w:rFonts w:hint="default" w:ascii="Times New Roman" w:hAnsi="Times New Roman" w:eastAsia="宋体"/>
                <w:i/>
                <w:iCs/>
                <w:color w:val="000000"/>
                <w:szCs w:val="21"/>
                <w:u w:val="none"/>
                <w:lang w:val="en-US" w:eastAsia="zh-CN" w:bidi="ar"/>
              </w:rPr>
              <w:t>i</w:t>
            </w:r>
          </w:p>
        </w:tc>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203D17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权重</w:t>
            </w:r>
          </w:p>
        </w:tc>
        <w:tc>
          <w:tcPr>
            <w:tcW w:w="13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BBB3F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评价环节</w:t>
            </w:r>
            <w:r>
              <w:rPr>
                <w:rFonts w:hint="default" w:ascii="Times New Roman" w:hAnsi="Times New Roman" w:eastAsia="宋体"/>
                <w:i/>
                <w:iCs/>
                <w:color w:val="000000"/>
                <w:szCs w:val="21"/>
                <w:u w:val="none"/>
                <w:lang w:val="en-US" w:eastAsia="zh-CN" w:bidi="ar"/>
              </w:rPr>
              <w:t>j</w:t>
            </w:r>
          </w:p>
        </w:tc>
        <w:tc>
          <w:tcPr>
            <w:tcW w:w="8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F4A5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满分</w:t>
            </w:r>
          </w:p>
        </w:tc>
        <w:tc>
          <w:tcPr>
            <w:tcW w:w="9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2EE75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平均分</w:t>
            </w:r>
          </w:p>
        </w:tc>
        <w:tc>
          <w:tcPr>
            <w:tcW w:w="11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1A82D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达成度</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32D8F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权重</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BDCEEC">
            <w:pPr>
              <w:jc w:val="center"/>
              <w:rPr>
                <w:rFonts w:hint="eastAsia" w:ascii="宋体" w:hAnsi="宋体" w:eastAsia="宋体" w:cs="宋体"/>
                <w:i w:val="0"/>
                <w:iCs w:val="0"/>
                <w:color w:val="000000"/>
                <w:sz w:val="21"/>
                <w:szCs w:val="21"/>
                <w:u w:val="none"/>
              </w:rPr>
            </w:pPr>
          </w:p>
        </w:tc>
        <w:tc>
          <w:tcPr>
            <w:tcW w:w="9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7ECB8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指标点</w:t>
            </w:r>
          </w:p>
        </w:tc>
        <w:tc>
          <w:tcPr>
            <w:tcW w:w="4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FA21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达成度</w:t>
            </w:r>
          </w:p>
        </w:tc>
      </w:tr>
      <w:tr w14:paraId="4BA5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2"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CF1006">
            <w:pPr>
              <w:jc w:val="center"/>
              <w:rPr>
                <w:rFonts w:hint="eastAsia" w:ascii="宋体" w:hAnsi="宋体" w:eastAsia="宋体" w:cs="宋体"/>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53FA8">
            <w:pPr>
              <w:jc w:val="center"/>
              <w:rPr>
                <w:rFonts w:hint="eastAsia" w:ascii="宋体" w:hAnsi="宋体" w:eastAsia="宋体" w:cs="宋体"/>
                <w:i w:val="0"/>
                <w:iCs w:val="0"/>
                <w:color w:val="000000"/>
                <w:sz w:val="21"/>
                <w:szCs w:val="21"/>
                <w:u w:val="none"/>
              </w:rPr>
            </w:pPr>
          </w:p>
        </w:tc>
        <w:tc>
          <w:tcPr>
            <w:tcW w:w="13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90570D">
            <w:pPr>
              <w:jc w:val="center"/>
              <w:rPr>
                <w:rFonts w:hint="eastAsia" w:ascii="宋体" w:hAnsi="宋体" w:eastAsia="宋体" w:cs="宋体"/>
                <w:i w:val="0"/>
                <w:iCs w:val="0"/>
                <w:color w:val="000000"/>
                <w:sz w:val="21"/>
                <w:szCs w:val="21"/>
                <w:u w:val="none"/>
              </w:rPr>
            </w:pPr>
          </w:p>
        </w:tc>
        <w:tc>
          <w:tcPr>
            <w:tcW w:w="8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92262E">
            <w:pPr>
              <w:jc w:val="center"/>
              <w:rPr>
                <w:rFonts w:hint="eastAsia" w:ascii="宋体" w:hAnsi="宋体" w:eastAsia="宋体" w:cs="宋体"/>
                <w:i w:val="0"/>
                <w:iCs w:val="0"/>
                <w:color w:val="000000"/>
                <w:sz w:val="21"/>
                <w:szCs w:val="21"/>
                <w:u w:val="none"/>
              </w:rPr>
            </w:pPr>
          </w:p>
        </w:tc>
        <w:tc>
          <w:tcPr>
            <w:tcW w:w="9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13457C">
            <w:pPr>
              <w:jc w:val="center"/>
              <w:rPr>
                <w:rFonts w:hint="eastAsia" w:ascii="宋体" w:hAnsi="宋体" w:eastAsia="宋体" w:cs="宋体"/>
                <w:i w:val="0"/>
                <w:iCs w:val="0"/>
                <w:color w:val="000000"/>
                <w:sz w:val="21"/>
                <w:szCs w:val="21"/>
                <w:u w:val="none"/>
              </w:rPr>
            </w:pPr>
          </w:p>
        </w:tc>
        <w:tc>
          <w:tcPr>
            <w:tcW w:w="11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03F16F">
            <w:pPr>
              <w:jc w:val="center"/>
              <w:rPr>
                <w:rFonts w:hint="eastAsia" w:ascii="宋体" w:hAnsi="宋体" w:eastAsia="宋体" w:cs="宋体"/>
                <w:i w:val="0"/>
                <w:iCs w:val="0"/>
                <w:color w:val="000000"/>
                <w:sz w:val="21"/>
                <w:szCs w:val="21"/>
                <w:u w: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5EDFF1">
            <w:pPr>
              <w:jc w:val="center"/>
              <w:rPr>
                <w:rFonts w:hint="eastAsia" w:ascii="宋体" w:hAnsi="宋体" w:eastAsia="宋体" w:cs="宋体"/>
                <w:i w:val="0"/>
                <w:iCs w:val="0"/>
                <w:color w:val="000000"/>
                <w:sz w:val="21"/>
                <w:szCs w:val="21"/>
                <w:u w:val="none"/>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325314">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CCD425">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63878B">
            <w:pPr>
              <w:jc w:val="center"/>
              <w:rPr>
                <w:rFonts w:hint="eastAsia" w:ascii="宋体" w:hAnsi="宋体" w:eastAsia="宋体" w:cs="宋体"/>
                <w:i w:val="0"/>
                <w:iCs w:val="0"/>
                <w:color w:val="000000"/>
                <w:sz w:val="21"/>
                <w:szCs w:val="21"/>
                <w:u w:val="none"/>
              </w:rPr>
            </w:pPr>
          </w:p>
        </w:tc>
      </w:tr>
      <w:tr w14:paraId="62376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48B01E">
            <w:pPr>
              <w:jc w:val="center"/>
              <w:rPr>
                <w:rFonts w:hint="eastAsia" w:ascii="宋体" w:hAnsi="宋体" w:eastAsia="宋体" w:cs="宋体"/>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7CC6B1">
            <w:pPr>
              <w:jc w:val="center"/>
              <w:rPr>
                <w:rFonts w:hint="eastAsia" w:ascii="宋体" w:hAnsi="宋体" w:eastAsia="宋体" w:cs="宋体"/>
                <w:i w:val="0"/>
                <w:iCs w:val="0"/>
                <w:color w:val="000000"/>
                <w:sz w:val="21"/>
                <w:szCs w:val="21"/>
                <w:u w:val="none"/>
              </w:rPr>
            </w:pPr>
          </w:p>
        </w:tc>
        <w:tc>
          <w:tcPr>
            <w:tcW w:w="13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641336">
            <w:pPr>
              <w:jc w:val="center"/>
              <w:rPr>
                <w:rFonts w:hint="eastAsia" w:ascii="宋体" w:hAnsi="宋体" w:eastAsia="宋体" w:cs="宋体"/>
                <w:i w:val="0"/>
                <w:iCs w:val="0"/>
                <w:color w:val="000000"/>
                <w:sz w:val="21"/>
                <w:szCs w:val="21"/>
                <w:u w:val="none"/>
              </w:rPr>
            </w:pPr>
          </w:p>
        </w:tc>
        <w:tc>
          <w:tcPr>
            <w:tcW w:w="8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6B9864">
            <w:pPr>
              <w:jc w:val="center"/>
              <w:rPr>
                <w:rFonts w:hint="eastAsia" w:ascii="宋体" w:hAnsi="宋体" w:eastAsia="宋体" w:cs="宋体"/>
                <w:i w:val="0"/>
                <w:iCs w:val="0"/>
                <w:color w:val="000000"/>
                <w:sz w:val="21"/>
                <w:szCs w:val="21"/>
                <w:u w:val="none"/>
              </w:rPr>
            </w:pPr>
          </w:p>
        </w:tc>
        <w:tc>
          <w:tcPr>
            <w:tcW w:w="9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B1D468">
            <w:pPr>
              <w:jc w:val="center"/>
              <w:rPr>
                <w:rFonts w:hint="eastAsia" w:ascii="宋体" w:hAnsi="宋体" w:eastAsia="宋体" w:cs="宋体"/>
                <w:i w:val="0"/>
                <w:iCs w:val="0"/>
                <w:color w:val="000000"/>
                <w:sz w:val="21"/>
                <w:szCs w:val="21"/>
                <w:u w:val="none"/>
              </w:rPr>
            </w:pPr>
          </w:p>
        </w:tc>
        <w:tc>
          <w:tcPr>
            <w:tcW w:w="11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207ACD">
            <w:pPr>
              <w:jc w:val="center"/>
              <w:rPr>
                <w:rFonts w:hint="eastAsia" w:ascii="宋体" w:hAnsi="宋体" w:eastAsia="宋体" w:cs="宋体"/>
                <w:i w:val="0"/>
                <w:iCs w:val="0"/>
                <w:color w:val="000000"/>
                <w:sz w:val="21"/>
                <w:szCs w:val="21"/>
                <w:u w: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5D5A32">
            <w:pPr>
              <w:jc w:val="center"/>
              <w:rPr>
                <w:rFonts w:hint="eastAsia" w:ascii="宋体" w:hAnsi="宋体" w:eastAsia="宋体" w:cs="宋体"/>
                <w:i w:val="0"/>
                <w:iCs w:val="0"/>
                <w:color w:val="000000"/>
                <w:sz w:val="21"/>
                <w:szCs w:val="21"/>
                <w:u w:val="none"/>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57E39B">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F51D13">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C85A79">
            <w:pPr>
              <w:jc w:val="center"/>
              <w:rPr>
                <w:rFonts w:hint="eastAsia" w:ascii="宋体" w:hAnsi="宋体" w:eastAsia="宋体" w:cs="宋体"/>
                <w:i w:val="0"/>
                <w:iCs w:val="0"/>
                <w:color w:val="000000"/>
                <w:sz w:val="21"/>
                <w:szCs w:val="21"/>
                <w:u w:val="none"/>
              </w:rPr>
            </w:pPr>
          </w:p>
        </w:tc>
      </w:tr>
      <w:tr w14:paraId="5DF2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739E6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目标1</w:t>
            </w:r>
          </w:p>
        </w:tc>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433B4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0.1</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188B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平时</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B1A3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1F25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15.20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18BB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0.79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C69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1F384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0.82 </w:t>
            </w:r>
          </w:p>
        </w:tc>
        <w:tc>
          <w:tcPr>
            <w:tcW w:w="9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7AF42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4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D2FBC1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0.82 </w:t>
            </w:r>
          </w:p>
        </w:tc>
      </w:tr>
      <w:tr w14:paraId="043F5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EC58A3">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A7284F">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6934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实验</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B8FC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9EDE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26.40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7F52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0.88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7935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DD24D6">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C23971">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068343">
            <w:pPr>
              <w:jc w:val="center"/>
              <w:rPr>
                <w:rFonts w:hint="eastAsia" w:ascii="宋体" w:hAnsi="宋体" w:eastAsia="宋体" w:cs="宋体"/>
                <w:i w:val="0"/>
                <w:iCs w:val="0"/>
                <w:color w:val="000000"/>
                <w:sz w:val="21"/>
                <w:szCs w:val="21"/>
                <w:u w:val="none"/>
              </w:rPr>
            </w:pPr>
          </w:p>
        </w:tc>
      </w:tr>
      <w:tr w14:paraId="67E38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9F3CB3">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592A18">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1734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期末考试</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A4D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354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40.00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9A44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0.80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9D34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7E7D55">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FFA336">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612390">
            <w:pPr>
              <w:jc w:val="center"/>
              <w:rPr>
                <w:rFonts w:hint="eastAsia" w:ascii="宋体" w:hAnsi="宋体" w:eastAsia="宋体" w:cs="宋体"/>
                <w:i w:val="0"/>
                <w:iCs w:val="0"/>
                <w:color w:val="000000"/>
                <w:sz w:val="21"/>
                <w:szCs w:val="21"/>
                <w:u w:val="none"/>
              </w:rPr>
            </w:pPr>
          </w:p>
        </w:tc>
      </w:tr>
      <w:tr w14:paraId="3EB85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4415C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目标2</w:t>
            </w:r>
          </w:p>
        </w:tc>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EA56A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4C7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平时</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E3D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F722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19.80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4D9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0.91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90DD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33397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0.82 </w:t>
            </w:r>
          </w:p>
        </w:tc>
        <w:tc>
          <w:tcPr>
            <w:tcW w:w="9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F0B27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4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97D9D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0.82 </w:t>
            </w:r>
          </w:p>
        </w:tc>
      </w:tr>
      <w:tr w14:paraId="38AF5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F4FD98">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E57489">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0362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实验</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DB58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2D1F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26.10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E839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0.87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22FD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74F1C7">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44C6C2">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B6E0D4">
            <w:pPr>
              <w:jc w:val="center"/>
              <w:rPr>
                <w:rFonts w:hint="eastAsia" w:ascii="宋体" w:hAnsi="宋体" w:eastAsia="宋体" w:cs="宋体"/>
                <w:i w:val="0"/>
                <w:iCs w:val="0"/>
                <w:color w:val="000000"/>
                <w:sz w:val="21"/>
                <w:szCs w:val="21"/>
                <w:u w:val="none"/>
              </w:rPr>
            </w:pPr>
          </w:p>
        </w:tc>
      </w:tr>
      <w:tr w14:paraId="667A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FE3F64">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EDFE90">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418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期末考试</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0628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76FD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38.00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864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0.76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2AF1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C7FE53">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A78F80">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BC9CDD">
            <w:pPr>
              <w:jc w:val="center"/>
              <w:rPr>
                <w:rFonts w:hint="eastAsia" w:ascii="宋体" w:hAnsi="宋体" w:eastAsia="宋体" w:cs="宋体"/>
                <w:i w:val="0"/>
                <w:iCs w:val="0"/>
                <w:color w:val="000000"/>
                <w:sz w:val="21"/>
                <w:szCs w:val="21"/>
                <w:u w:val="none"/>
              </w:rPr>
            </w:pPr>
          </w:p>
        </w:tc>
      </w:tr>
      <w:tr w14:paraId="50035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0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ADCE9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目标</w:t>
            </w:r>
            <w:r>
              <w:rPr>
                <w:rFonts w:hint="default" w:ascii="Times New Roman" w:hAnsi="Times New Roman" w:eastAsia="宋体" w:cs="Times New Roman"/>
                <w:i w:val="0"/>
                <w:iCs w:val="0"/>
                <w:color w:val="000000"/>
                <w:kern w:val="0"/>
                <w:sz w:val="21"/>
                <w:szCs w:val="21"/>
                <w:u w:val="none"/>
                <w:lang w:val="en-US" w:eastAsia="zh-CN" w:bidi="ar"/>
              </w:rPr>
              <w:t>3</w:t>
            </w:r>
          </w:p>
        </w:tc>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7C2AB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AB7FC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平时</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456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5B5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3EA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0.00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E03F8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1E7A5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0.61 </w:t>
            </w:r>
          </w:p>
        </w:tc>
        <w:tc>
          <w:tcPr>
            <w:tcW w:w="9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F0D8F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4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5B82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0.61 </w:t>
            </w:r>
          </w:p>
        </w:tc>
      </w:tr>
      <w:tr w14:paraId="2E1CE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4CE427">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9DBFB4">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E9CD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实验</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289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95B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22.20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7D5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0.74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FFD1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25B541">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DE4420">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75FD43">
            <w:pPr>
              <w:jc w:val="center"/>
              <w:rPr>
                <w:rFonts w:hint="eastAsia" w:ascii="宋体" w:hAnsi="宋体" w:eastAsia="宋体" w:cs="宋体"/>
                <w:i w:val="0"/>
                <w:iCs w:val="0"/>
                <w:color w:val="000000"/>
                <w:sz w:val="21"/>
                <w:szCs w:val="21"/>
                <w:u w:val="none"/>
              </w:rPr>
            </w:pPr>
          </w:p>
        </w:tc>
      </w:tr>
      <w:tr w14:paraId="1199A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A91077">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F27A09">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3875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期末考试</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2644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21B6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39.00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D1E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0.78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8AE7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798D99">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F0BD1F">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7A31FD">
            <w:pPr>
              <w:jc w:val="center"/>
              <w:rPr>
                <w:rFonts w:hint="eastAsia" w:ascii="宋体" w:hAnsi="宋体" w:eastAsia="宋体" w:cs="宋体"/>
                <w:i w:val="0"/>
                <w:iCs w:val="0"/>
                <w:color w:val="000000"/>
                <w:sz w:val="21"/>
                <w:szCs w:val="21"/>
                <w:u w:val="none"/>
              </w:rPr>
            </w:pPr>
          </w:p>
        </w:tc>
      </w:tr>
      <w:tr w14:paraId="07803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B27B4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目标</w:t>
            </w:r>
            <w:r>
              <w:rPr>
                <w:rFonts w:hint="default" w:ascii="Times New Roman" w:hAnsi="Times New Roman" w:eastAsia="宋体" w:cs="Times New Roman"/>
                <w:i w:val="0"/>
                <w:iCs w:val="0"/>
                <w:color w:val="000000"/>
                <w:kern w:val="0"/>
                <w:sz w:val="21"/>
                <w:szCs w:val="21"/>
                <w:u w:val="none"/>
                <w:lang w:val="en-US" w:eastAsia="zh-CN" w:bidi="ar"/>
              </w:rPr>
              <w:t>4</w:t>
            </w:r>
          </w:p>
        </w:tc>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0F181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0.4</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12A5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平时</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B22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874B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15.00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B17C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0.79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5794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FBF4E6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0.75 </w:t>
            </w:r>
          </w:p>
        </w:tc>
        <w:tc>
          <w:tcPr>
            <w:tcW w:w="9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E31E2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w:t>
            </w:r>
          </w:p>
        </w:tc>
        <w:tc>
          <w:tcPr>
            <w:tcW w:w="43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E0C04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0.75 </w:t>
            </w:r>
          </w:p>
        </w:tc>
      </w:tr>
      <w:tr w14:paraId="2E955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B20A65">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D4E7A2">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914D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实验</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A2FB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D03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18.40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B02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0.68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42DF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9C65FA">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1A499E">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F6407E">
            <w:pPr>
              <w:jc w:val="center"/>
              <w:rPr>
                <w:rFonts w:hint="eastAsia" w:ascii="宋体" w:hAnsi="宋体" w:eastAsia="宋体" w:cs="宋体"/>
                <w:i w:val="0"/>
                <w:iCs w:val="0"/>
                <w:color w:val="000000"/>
                <w:sz w:val="21"/>
                <w:szCs w:val="21"/>
                <w:u w:val="none"/>
              </w:rPr>
            </w:pPr>
          </w:p>
        </w:tc>
      </w:tr>
      <w:tr w14:paraId="4824B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6E41C5">
            <w:pPr>
              <w:jc w:val="center"/>
              <w:rPr>
                <w:rFonts w:hint="default" w:ascii="Times New Roman" w:hAnsi="Times New Roman" w:eastAsia="宋体" w:cs="Times New Roman"/>
                <w:i w:val="0"/>
                <w:iCs w:val="0"/>
                <w:color w:val="000000"/>
                <w:sz w:val="21"/>
                <w:szCs w:val="21"/>
                <w:u w:val="none"/>
              </w:rPr>
            </w:pPr>
          </w:p>
        </w:tc>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39DC4C">
            <w:pPr>
              <w:jc w:val="center"/>
              <w:rPr>
                <w:rFonts w:hint="eastAsia" w:ascii="宋体" w:hAnsi="宋体" w:eastAsia="宋体" w:cs="宋体"/>
                <w:i w:val="0"/>
                <w:iCs w:val="0"/>
                <w:color w:val="000000"/>
                <w:sz w:val="21"/>
                <w:szCs w:val="21"/>
                <w:u w:val="none"/>
              </w:rPr>
            </w:pP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957E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期末考试</w:t>
            </w:r>
          </w:p>
        </w:tc>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0B73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w:t>
            </w:r>
          </w:p>
        </w:tc>
        <w:tc>
          <w:tcPr>
            <w:tcW w:w="9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5FCD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39.00 </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529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0.78 </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368E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005AD3">
            <w:pPr>
              <w:jc w:val="center"/>
              <w:rPr>
                <w:rFonts w:hint="eastAsia" w:ascii="宋体" w:hAnsi="宋体" w:eastAsia="宋体" w:cs="宋体"/>
                <w:i w:val="0"/>
                <w:iCs w:val="0"/>
                <w:color w:val="000000"/>
                <w:sz w:val="21"/>
                <w:szCs w:val="21"/>
                <w:u w:val="none"/>
              </w:rPr>
            </w:pPr>
          </w:p>
        </w:tc>
        <w:tc>
          <w:tcPr>
            <w:tcW w:w="9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88782">
            <w:pPr>
              <w:jc w:val="center"/>
              <w:rPr>
                <w:rFonts w:hint="eastAsia" w:ascii="宋体" w:hAnsi="宋体" w:eastAsia="宋体" w:cs="宋体"/>
                <w:i w:val="0"/>
                <w:iCs w:val="0"/>
                <w:color w:val="000000"/>
                <w:sz w:val="21"/>
                <w:szCs w:val="21"/>
                <w:u w:val="none"/>
              </w:rPr>
            </w:pPr>
          </w:p>
        </w:tc>
        <w:tc>
          <w:tcPr>
            <w:tcW w:w="43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FC0DFE">
            <w:pPr>
              <w:jc w:val="center"/>
              <w:rPr>
                <w:rFonts w:hint="eastAsia" w:ascii="宋体" w:hAnsi="宋体" w:eastAsia="宋体" w:cs="宋体"/>
                <w:i w:val="0"/>
                <w:iCs w:val="0"/>
                <w:color w:val="000000"/>
                <w:sz w:val="21"/>
                <w:szCs w:val="21"/>
                <w:u w:val="none"/>
              </w:rPr>
            </w:pPr>
          </w:p>
        </w:tc>
      </w:tr>
      <w:tr w14:paraId="164C8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C06F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课程总体目标期望值</w:t>
            </w:r>
          </w:p>
        </w:tc>
        <w:tc>
          <w:tcPr>
            <w:tcW w:w="3868"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BAD3E4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1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047F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课程总体目标达成度(</w:t>
            </w:r>
            <w:r>
              <w:rPr>
                <w:rFonts w:hint="default" w:ascii="Times New Roman" w:hAnsi="Times New Roman" w:eastAsia="宋体"/>
                <w:i/>
                <w:iCs/>
                <w:color w:val="000000"/>
                <w:szCs w:val="21"/>
                <w:u w:val="none"/>
                <w:lang w:val="en-US" w:eastAsia="zh-CN" w:bidi="ar"/>
              </w:rPr>
              <w:t>cc</w:t>
            </w:r>
            <w:r>
              <w:rPr>
                <w:rFonts w:hint="eastAsia" w:ascii="宋体" w:hAnsi="宋体" w:eastAsia="宋体" w:cs="宋体"/>
                <w:i w:val="0"/>
                <w:iCs w:val="0"/>
                <w:color w:val="000000"/>
                <w:kern w:val="0"/>
                <w:sz w:val="21"/>
                <w:szCs w:val="21"/>
                <w:u w:val="none"/>
                <w:lang w:val="en-US" w:eastAsia="zh-CN" w:bidi="ar"/>
              </w:rPr>
              <w:t>)</w:t>
            </w:r>
          </w:p>
        </w:tc>
        <w:tc>
          <w:tcPr>
            <w:tcW w:w="309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92C890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0.73 </w:t>
            </w:r>
          </w:p>
        </w:tc>
      </w:tr>
    </w:tbl>
    <w:p w14:paraId="46EB796D">
      <w:pPr>
        <w:widowControl/>
        <w:jc w:val="left"/>
        <w:rPr>
          <w:rFonts w:ascii="Times New Roman" w:hAnsi="Times New Roman"/>
          <w:b/>
          <w:bCs/>
          <w:sz w:val="13"/>
          <w:szCs w:val="13"/>
        </w:rPr>
      </w:pPr>
    </w:p>
    <w:tbl>
      <w:tblPr>
        <w:tblStyle w:val="13"/>
        <w:tblpPr w:leftFromText="180" w:rightFromText="180" w:vertAnchor="text" w:horzAnchor="page" w:tblpX="1338" w:tblpY="208"/>
        <w:tblOverlap w:val="never"/>
        <w:tblW w:w="8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2186"/>
        <w:gridCol w:w="2475"/>
        <w:gridCol w:w="1634"/>
        <w:gridCol w:w="2061"/>
      </w:tblGrid>
      <w:tr w14:paraId="2C3E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958" w:type="dxa"/>
            <w:gridSpan w:val="5"/>
            <w:vAlign w:val="center"/>
          </w:tcPr>
          <w:p w14:paraId="329498CE">
            <w:pPr>
              <w:rPr>
                <w:rFonts w:ascii="Times New Roman" w:hAnsi="Times New Roman"/>
                <w:bCs/>
              </w:rPr>
            </w:pPr>
            <w:r>
              <w:rPr>
                <w:rFonts w:ascii="Times New Roman" w:hAnsi="Times New Roman"/>
                <w:b/>
                <w:sz w:val="24"/>
              </w:rPr>
              <w:t>四、达成结果分析</w:t>
            </w:r>
          </w:p>
        </w:tc>
      </w:tr>
      <w:tr w14:paraId="428A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02" w:type="dxa"/>
            <w:vAlign w:val="center"/>
          </w:tcPr>
          <w:p w14:paraId="308FC889">
            <w:pPr>
              <w:jc w:val="center"/>
              <w:rPr>
                <w:rFonts w:ascii="Times New Roman" w:hAnsi="Times New Roman"/>
                <w:bCs/>
                <w:szCs w:val="21"/>
              </w:rPr>
            </w:pPr>
            <w:r>
              <w:rPr>
                <w:rFonts w:ascii="Times New Roman" w:hAnsi="Times New Roman"/>
                <w:bCs/>
                <w:szCs w:val="21"/>
              </w:rPr>
              <w:t>课</w:t>
            </w:r>
          </w:p>
          <w:p w14:paraId="090CE25C">
            <w:pPr>
              <w:jc w:val="center"/>
              <w:rPr>
                <w:rFonts w:ascii="Times New Roman" w:hAnsi="Times New Roman"/>
                <w:bCs/>
                <w:szCs w:val="21"/>
              </w:rPr>
            </w:pPr>
            <w:r>
              <w:rPr>
                <w:rFonts w:ascii="Times New Roman" w:hAnsi="Times New Roman"/>
                <w:bCs/>
                <w:szCs w:val="21"/>
              </w:rPr>
              <w:t>程</w:t>
            </w:r>
          </w:p>
          <w:p w14:paraId="024B9ACA">
            <w:pPr>
              <w:jc w:val="center"/>
              <w:rPr>
                <w:rFonts w:ascii="Times New Roman" w:hAnsi="Times New Roman"/>
                <w:bCs/>
                <w:szCs w:val="21"/>
              </w:rPr>
            </w:pPr>
            <w:r>
              <w:rPr>
                <w:rFonts w:ascii="Times New Roman" w:hAnsi="Times New Roman"/>
                <w:bCs/>
                <w:szCs w:val="21"/>
              </w:rPr>
              <w:t>目</w:t>
            </w:r>
          </w:p>
          <w:p w14:paraId="2E4A9DC2">
            <w:pPr>
              <w:jc w:val="center"/>
              <w:rPr>
                <w:rFonts w:ascii="Times New Roman" w:hAnsi="Times New Roman"/>
                <w:bCs/>
                <w:szCs w:val="21"/>
              </w:rPr>
            </w:pPr>
            <w:r>
              <w:rPr>
                <w:rFonts w:ascii="Times New Roman" w:hAnsi="Times New Roman"/>
                <w:bCs/>
                <w:szCs w:val="21"/>
              </w:rPr>
              <w:t>标</w:t>
            </w:r>
          </w:p>
          <w:p w14:paraId="09BF3CDE">
            <w:pPr>
              <w:jc w:val="center"/>
              <w:rPr>
                <w:rFonts w:ascii="Times New Roman" w:hAnsi="Times New Roman"/>
                <w:bCs/>
                <w:szCs w:val="21"/>
              </w:rPr>
            </w:pPr>
            <w:r>
              <w:rPr>
                <w:rFonts w:ascii="Times New Roman" w:hAnsi="Times New Roman"/>
                <w:bCs/>
                <w:szCs w:val="21"/>
              </w:rPr>
              <w:t>达</w:t>
            </w:r>
          </w:p>
          <w:p w14:paraId="267978F9">
            <w:pPr>
              <w:jc w:val="center"/>
              <w:rPr>
                <w:rFonts w:ascii="Times New Roman" w:hAnsi="Times New Roman"/>
                <w:bCs/>
                <w:szCs w:val="21"/>
              </w:rPr>
            </w:pPr>
            <w:r>
              <w:rPr>
                <w:rFonts w:ascii="Times New Roman" w:hAnsi="Times New Roman"/>
                <w:bCs/>
                <w:szCs w:val="21"/>
              </w:rPr>
              <w:t>成</w:t>
            </w:r>
          </w:p>
          <w:p w14:paraId="5BA900DD">
            <w:pPr>
              <w:jc w:val="center"/>
              <w:rPr>
                <w:rFonts w:ascii="Times New Roman" w:hAnsi="Times New Roman"/>
                <w:bCs/>
                <w:szCs w:val="21"/>
              </w:rPr>
            </w:pPr>
            <w:r>
              <w:rPr>
                <w:rFonts w:ascii="Times New Roman" w:hAnsi="Times New Roman"/>
                <w:bCs/>
                <w:szCs w:val="21"/>
              </w:rPr>
              <w:t>情</w:t>
            </w:r>
          </w:p>
          <w:p w14:paraId="6C4BECDB">
            <w:pPr>
              <w:jc w:val="center"/>
              <w:rPr>
                <w:rFonts w:ascii="Times New Roman" w:hAnsi="Times New Roman"/>
                <w:b/>
                <w:sz w:val="28"/>
                <w:szCs w:val="28"/>
              </w:rPr>
            </w:pPr>
            <w:r>
              <w:rPr>
                <w:rFonts w:ascii="Times New Roman" w:hAnsi="Times New Roman"/>
                <w:bCs/>
                <w:szCs w:val="21"/>
              </w:rPr>
              <w:t>况</w:t>
            </w:r>
          </w:p>
          <w:p w14:paraId="4D168E4E">
            <w:pPr>
              <w:jc w:val="center"/>
              <w:rPr>
                <w:rFonts w:ascii="Times New Roman" w:hAnsi="Times New Roman"/>
                <w:b/>
                <w:sz w:val="24"/>
              </w:rPr>
            </w:pPr>
            <w:r>
              <w:rPr>
                <w:rFonts w:ascii="Times New Roman" w:hAnsi="Times New Roman"/>
                <w:bCs/>
                <w:szCs w:val="21"/>
              </w:rPr>
              <w:t>(定量)</w:t>
            </w:r>
          </w:p>
        </w:tc>
        <w:tc>
          <w:tcPr>
            <w:tcW w:w="8356" w:type="dxa"/>
            <w:gridSpan w:val="4"/>
            <w:vAlign w:val="center"/>
          </w:tcPr>
          <w:p w14:paraId="0602F394">
            <w:pPr>
              <w:jc w:val="center"/>
              <w:rPr>
                <w:rFonts w:ascii="Times New Roman" w:hAnsi="Times New Roman"/>
              </w:rPr>
            </w:pPr>
            <w:bookmarkStart w:id="0" w:name="_GoBack"/>
            <w:r>
              <w:drawing>
                <wp:inline distT="0" distB="0" distL="114300" distR="114300">
                  <wp:extent cx="4663440" cy="2317115"/>
                  <wp:effectExtent l="4445" t="4445" r="10795" b="1016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bookmarkEnd w:id="0"/>
          </w:p>
          <w:p w14:paraId="43269538">
            <w:pPr>
              <w:jc w:val="center"/>
              <w:rPr>
                <w:rFonts w:ascii="Times New Roman" w:hAnsi="Times New Roman"/>
              </w:rPr>
            </w:pPr>
            <w:r>
              <w:drawing>
                <wp:inline distT="0" distB="0" distL="114300" distR="114300">
                  <wp:extent cx="5168900" cy="3167380"/>
                  <wp:effectExtent l="4445" t="4445" r="8255" b="1333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66F459D">
            <w:pPr>
              <w:jc w:val="center"/>
              <w:rPr>
                <w:rFonts w:ascii="Times New Roman" w:hAnsi="Times New Roman"/>
              </w:rPr>
            </w:pPr>
            <w:r>
              <w:rPr>
                <w:rFonts w:ascii="Times New Roman" w:hAnsi="Times New Roman"/>
              </w:rPr>
              <w:t>图</w:t>
            </w:r>
            <w:r>
              <w:rPr>
                <w:rFonts w:hint="eastAsia" w:ascii="Times New Roman" w:hAnsi="Times New Roman"/>
                <w:lang w:val="en-US" w:eastAsia="zh-CN"/>
              </w:rPr>
              <w:t>1</w:t>
            </w:r>
            <w:r>
              <w:rPr>
                <w:rFonts w:ascii="Times New Roman" w:hAnsi="Times New Roman"/>
              </w:rPr>
              <w:t xml:space="preserve"> 学生个体课程目标1达成情况评价结果</w:t>
            </w:r>
          </w:p>
          <w:p w14:paraId="131F8653">
            <w:pPr>
              <w:jc w:val="center"/>
              <w:rPr>
                <w:rFonts w:ascii="Times New Roman" w:hAnsi="Times New Roman"/>
              </w:rPr>
            </w:pPr>
            <w:r>
              <w:drawing>
                <wp:inline distT="0" distB="0" distL="114300" distR="114300">
                  <wp:extent cx="5167630" cy="2736215"/>
                  <wp:effectExtent l="5080" t="4445" r="8890" b="17780"/>
                  <wp:docPr id="1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161565">
            <w:pPr>
              <w:jc w:val="center"/>
              <w:rPr>
                <w:rFonts w:ascii="Times New Roman" w:hAnsi="Times New Roman"/>
                <w:b/>
                <w:sz w:val="24"/>
              </w:rPr>
            </w:pPr>
          </w:p>
          <w:p w14:paraId="4F685246">
            <w:pPr>
              <w:jc w:val="center"/>
              <w:rPr>
                <w:rFonts w:ascii="Times New Roman" w:hAnsi="Times New Roman"/>
              </w:rPr>
            </w:pPr>
            <w:r>
              <w:rPr>
                <w:rFonts w:ascii="Times New Roman" w:hAnsi="Times New Roman"/>
              </w:rPr>
              <w:t>图</w:t>
            </w:r>
            <w:r>
              <w:rPr>
                <w:rFonts w:hint="eastAsia" w:ascii="Times New Roman" w:hAnsi="Times New Roman"/>
                <w:lang w:val="en-US" w:eastAsia="zh-CN"/>
              </w:rPr>
              <w:t>2</w:t>
            </w:r>
            <w:r>
              <w:rPr>
                <w:rFonts w:ascii="Times New Roman" w:hAnsi="Times New Roman"/>
              </w:rPr>
              <w:t xml:space="preserve"> 学生个体课程目标2达成情况评价结果</w:t>
            </w:r>
          </w:p>
          <w:p w14:paraId="1B7C2979">
            <w:pPr>
              <w:jc w:val="center"/>
              <w:rPr>
                <w:rFonts w:ascii="Times New Roman" w:hAnsi="Times New Roman"/>
                <w:b/>
                <w:sz w:val="24"/>
              </w:rPr>
            </w:pPr>
            <w:r>
              <w:drawing>
                <wp:inline distT="0" distB="0" distL="114300" distR="114300">
                  <wp:extent cx="5167630" cy="2562860"/>
                  <wp:effectExtent l="4445" t="4445" r="9525" b="825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CE54EA6">
            <w:pPr>
              <w:jc w:val="center"/>
              <w:rPr>
                <w:rFonts w:ascii="Times New Roman" w:hAnsi="Times New Roman"/>
              </w:rPr>
            </w:pPr>
            <w:r>
              <w:rPr>
                <w:rFonts w:ascii="Times New Roman" w:hAnsi="Times New Roman"/>
              </w:rPr>
              <w:t>图</w:t>
            </w:r>
            <w:r>
              <w:rPr>
                <w:rFonts w:hint="eastAsia" w:ascii="Times New Roman" w:hAnsi="Times New Roman"/>
                <w:lang w:val="en-US" w:eastAsia="zh-CN"/>
              </w:rPr>
              <w:t>3</w:t>
            </w:r>
            <w:r>
              <w:rPr>
                <w:rFonts w:ascii="Times New Roman" w:hAnsi="Times New Roman"/>
              </w:rPr>
              <w:t xml:space="preserve"> 学生个体课程目标3达成情况评价结果</w:t>
            </w:r>
          </w:p>
          <w:p w14:paraId="268F82CF">
            <w:pPr>
              <w:jc w:val="center"/>
            </w:pPr>
            <w:r>
              <w:drawing>
                <wp:inline distT="0" distB="0" distL="114300" distR="114300">
                  <wp:extent cx="5167630" cy="2466975"/>
                  <wp:effectExtent l="4445" t="4445" r="9525" b="12700"/>
                  <wp:docPr id="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CA3F9D9">
            <w:pPr>
              <w:jc w:val="center"/>
              <w:rPr>
                <w:rFonts w:ascii="Times New Roman" w:hAnsi="Times New Roman"/>
              </w:rPr>
            </w:pPr>
            <w:r>
              <w:rPr>
                <w:rFonts w:hint="eastAsia" w:ascii="Times New Roman" w:hAnsi="Times New Roman"/>
              </w:rPr>
              <w:t>图</w:t>
            </w:r>
            <w:r>
              <w:rPr>
                <w:rFonts w:hint="eastAsia" w:ascii="Times New Roman" w:hAnsi="Times New Roman"/>
                <w:lang w:val="en-US" w:eastAsia="zh-CN"/>
              </w:rPr>
              <w:t>4</w:t>
            </w:r>
            <w:r>
              <w:rPr>
                <w:rFonts w:hint="eastAsia" w:ascii="Times New Roman" w:hAnsi="Times New Roman"/>
              </w:rPr>
              <w:t xml:space="preserve"> 各课程目标的达成情况评价结果</w:t>
            </w:r>
          </w:p>
          <w:p w14:paraId="1141C8BA">
            <w:pPr>
              <w:jc w:val="both"/>
              <w:rPr>
                <w:rFonts w:hint="default" w:eastAsia="宋体"/>
                <w:lang w:val="en-US" w:eastAsia="zh-CN"/>
              </w:rPr>
            </w:pPr>
            <w:r>
              <w:rPr>
                <w:rFonts w:hint="eastAsia"/>
                <w:lang w:val="en-US" w:eastAsia="zh-CN"/>
              </w:rPr>
              <w:t>说明：第17号</w:t>
            </w:r>
            <w:r>
              <w:rPr>
                <w:rFonts w:hint="eastAsia"/>
              </w:rPr>
              <w:t>李宝航</w:t>
            </w:r>
            <w:r>
              <w:rPr>
                <w:rFonts w:hint="eastAsia"/>
                <w:lang w:eastAsia="zh-CN"/>
              </w:rPr>
              <w:t>（</w:t>
            </w:r>
            <w:r>
              <w:rPr>
                <w:rFonts w:hint="eastAsia"/>
                <w:lang w:val="en-US" w:eastAsia="zh-CN"/>
              </w:rPr>
              <w:t>学号</w:t>
            </w:r>
            <w:r>
              <w:rPr>
                <w:rFonts w:hint="eastAsia"/>
              </w:rPr>
              <w:t>2022210359</w:t>
            </w:r>
            <w:r>
              <w:rPr>
                <w:rFonts w:hint="eastAsia"/>
                <w:lang w:eastAsia="zh-CN"/>
              </w:rPr>
              <w:t>）</w:t>
            </w:r>
            <w:r>
              <w:rPr>
                <w:rFonts w:hint="eastAsia"/>
                <w:lang w:val="en-US" w:eastAsia="zh-CN"/>
              </w:rPr>
              <w:t>同学参加顶岗实习，按照学校规定需要完成作业和实验，但他没有提交，导致0分，影响班级的达成度。另外，该生也是唯一课程没有通过的学生。</w:t>
            </w:r>
            <w:r>
              <w:rPr>
                <w:rFonts w:hint="eastAsia"/>
                <w:lang w:val="en-US" w:eastAsia="zh-CN"/>
              </w:rPr>
              <w:br w:type="textWrapping"/>
            </w:r>
            <w:r>
              <w:rPr>
                <w:rFonts w:hint="eastAsia"/>
                <w:lang w:val="en-US" w:eastAsia="zh-CN"/>
              </w:rPr>
              <w:t>另外，还有2022210338 丁玉耀、2022210407 张克二位同学，没完成实验和作业，无故旷缺课程大作业考核，实际考核的人数为48位。</w:t>
            </w:r>
          </w:p>
        </w:tc>
      </w:tr>
      <w:tr w14:paraId="7E2A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602" w:type="dxa"/>
            <w:vAlign w:val="center"/>
          </w:tcPr>
          <w:p w14:paraId="1DBB4FA4">
            <w:pPr>
              <w:jc w:val="center"/>
              <w:rPr>
                <w:rFonts w:ascii="Times New Roman" w:hAnsi="Times New Roman"/>
                <w:bCs/>
                <w:color w:val="000000"/>
                <w:szCs w:val="21"/>
              </w:rPr>
            </w:pPr>
            <w:r>
              <w:rPr>
                <w:rFonts w:ascii="Times New Roman" w:hAnsi="Times New Roman"/>
                <w:bCs/>
                <w:color w:val="000000"/>
                <w:szCs w:val="21"/>
              </w:rPr>
              <w:t>调</w:t>
            </w:r>
          </w:p>
          <w:p w14:paraId="1D1249EA">
            <w:pPr>
              <w:jc w:val="center"/>
              <w:rPr>
                <w:rFonts w:ascii="Times New Roman" w:hAnsi="Times New Roman"/>
                <w:bCs/>
                <w:color w:val="000000"/>
                <w:szCs w:val="21"/>
              </w:rPr>
            </w:pPr>
            <w:r>
              <w:rPr>
                <w:rFonts w:ascii="Times New Roman" w:hAnsi="Times New Roman"/>
                <w:bCs/>
                <w:color w:val="000000"/>
                <w:szCs w:val="21"/>
              </w:rPr>
              <w:t>查</w:t>
            </w:r>
          </w:p>
          <w:p w14:paraId="205B7DB9">
            <w:pPr>
              <w:jc w:val="center"/>
              <w:rPr>
                <w:rFonts w:ascii="Times New Roman" w:hAnsi="Times New Roman"/>
                <w:bCs/>
                <w:color w:val="000000"/>
                <w:szCs w:val="21"/>
              </w:rPr>
            </w:pPr>
            <w:r>
              <w:rPr>
                <w:rFonts w:ascii="Times New Roman" w:hAnsi="Times New Roman"/>
                <w:bCs/>
                <w:color w:val="000000"/>
                <w:szCs w:val="21"/>
              </w:rPr>
              <w:t>问</w:t>
            </w:r>
          </w:p>
          <w:p w14:paraId="6B0EFDBD">
            <w:pPr>
              <w:jc w:val="center"/>
              <w:rPr>
                <w:rFonts w:ascii="Times New Roman" w:hAnsi="Times New Roman"/>
                <w:bCs/>
                <w:color w:val="000000"/>
                <w:szCs w:val="21"/>
              </w:rPr>
            </w:pPr>
            <w:r>
              <w:rPr>
                <w:rFonts w:ascii="Times New Roman" w:hAnsi="Times New Roman"/>
                <w:bCs/>
                <w:color w:val="000000"/>
                <w:szCs w:val="21"/>
              </w:rPr>
              <w:t>卷</w:t>
            </w:r>
          </w:p>
          <w:p w14:paraId="6D35B48E">
            <w:pPr>
              <w:jc w:val="center"/>
              <w:rPr>
                <w:rFonts w:ascii="Times New Roman" w:hAnsi="Times New Roman"/>
                <w:bCs/>
                <w:color w:val="000000"/>
                <w:szCs w:val="21"/>
              </w:rPr>
            </w:pPr>
            <w:r>
              <w:rPr>
                <w:rFonts w:ascii="Times New Roman" w:hAnsi="Times New Roman"/>
                <w:bCs/>
                <w:color w:val="000000"/>
                <w:szCs w:val="21"/>
              </w:rPr>
              <w:t>评</w:t>
            </w:r>
          </w:p>
          <w:p w14:paraId="435B6640">
            <w:pPr>
              <w:jc w:val="center"/>
              <w:rPr>
                <w:rFonts w:ascii="Times New Roman" w:hAnsi="Times New Roman"/>
                <w:bCs/>
                <w:color w:val="000000"/>
                <w:szCs w:val="21"/>
              </w:rPr>
            </w:pPr>
            <w:r>
              <w:rPr>
                <w:rFonts w:ascii="Times New Roman" w:hAnsi="Times New Roman"/>
                <w:bCs/>
                <w:color w:val="000000"/>
                <w:szCs w:val="21"/>
              </w:rPr>
              <w:t>价</w:t>
            </w:r>
          </w:p>
          <w:p w14:paraId="2E1B2A41">
            <w:pPr>
              <w:jc w:val="center"/>
              <w:rPr>
                <w:rFonts w:ascii="Times New Roman" w:hAnsi="Times New Roman"/>
                <w:bCs/>
                <w:color w:val="000000"/>
                <w:szCs w:val="21"/>
              </w:rPr>
            </w:pPr>
            <w:r>
              <w:rPr>
                <w:rFonts w:ascii="Times New Roman" w:hAnsi="Times New Roman"/>
                <w:bCs/>
                <w:color w:val="000000"/>
                <w:szCs w:val="21"/>
              </w:rPr>
              <w:t>情</w:t>
            </w:r>
          </w:p>
          <w:p w14:paraId="4CBDB706">
            <w:pPr>
              <w:jc w:val="center"/>
              <w:rPr>
                <w:rFonts w:ascii="Times New Roman" w:hAnsi="Times New Roman"/>
                <w:bCs/>
                <w:color w:val="000000"/>
                <w:szCs w:val="21"/>
              </w:rPr>
            </w:pPr>
            <w:r>
              <w:rPr>
                <w:rFonts w:ascii="Times New Roman" w:hAnsi="Times New Roman"/>
                <w:bCs/>
                <w:color w:val="000000"/>
                <w:szCs w:val="21"/>
              </w:rPr>
              <w:t>况</w:t>
            </w:r>
          </w:p>
          <w:p w14:paraId="199D5FF6">
            <w:pPr>
              <w:jc w:val="center"/>
              <w:rPr>
                <w:rFonts w:ascii="Times New Roman" w:hAnsi="Times New Roman"/>
                <w:bCs/>
                <w:color w:val="000000"/>
                <w:szCs w:val="21"/>
              </w:rPr>
            </w:pPr>
            <w:r>
              <w:rPr>
                <w:rFonts w:ascii="Times New Roman" w:hAnsi="Times New Roman"/>
                <w:bCs/>
                <w:color w:val="000000"/>
                <w:szCs w:val="21"/>
              </w:rPr>
              <w:t>(定性)</w:t>
            </w:r>
          </w:p>
        </w:tc>
        <w:tc>
          <w:tcPr>
            <w:tcW w:w="8356" w:type="dxa"/>
            <w:gridSpan w:val="4"/>
            <w:vAlign w:val="center"/>
          </w:tcPr>
          <w:p w14:paraId="66104F66">
            <w:pPr>
              <w:tabs>
                <w:tab w:val="left" w:pos="0"/>
                <w:tab w:val="left" w:pos="1260"/>
              </w:tabs>
              <w:spacing w:line="360" w:lineRule="exact"/>
              <w:rPr>
                <w:rFonts w:ascii="Times New Roman" w:hAnsi="Times New Roman"/>
              </w:rPr>
            </w:pPr>
            <w:r>
              <w:rPr>
                <w:rFonts w:ascii="Times New Roman" w:hAnsi="Times New Roman"/>
              </w:rPr>
              <w:t>1. 调查问卷内容</w:t>
            </w:r>
          </w:p>
          <w:p w14:paraId="72C4FA1C">
            <w:pPr>
              <w:tabs>
                <w:tab w:val="left" w:pos="0"/>
                <w:tab w:val="left" w:pos="1260"/>
              </w:tabs>
              <w:spacing w:line="360" w:lineRule="exact"/>
              <w:rPr>
                <w:rFonts w:hint="eastAsia" w:ascii="Times New Roman" w:hAnsi="Times New Roman"/>
              </w:rPr>
            </w:pPr>
            <w:r>
              <w:rPr>
                <w:rFonts w:hint="eastAsia" w:ascii="Times New Roman" w:hAnsi="Times New Roman"/>
              </w:rPr>
              <w:t>调查说明：本次问卷旨在评估本课程目标对毕业要求的支撑效果，请根据你在课程学习中的实际收获，选择最符合自身情况的选项。所有选项无对错之分，感谢你的配合！</w:t>
            </w:r>
            <w:r>
              <w:rPr>
                <w:rFonts w:hint="eastAsia" w:ascii="Times New Roman" w:hAnsi="Times New Roman"/>
              </w:rPr>
              <w:br w:type="textWrapping"/>
            </w:r>
            <w:r>
              <w:rPr>
                <w:rFonts w:hint="eastAsia" w:ascii="Times New Roman" w:hAnsi="Times New Roman"/>
              </w:rPr>
              <w:t xml:space="preserve">  A.1 - 完全不符合B.2 - 不太符合C.3 - 一般符合D.4 - 比较符合E.5 - 完全符合</w:t>
            </w:r>
          </w:p>
          <w:p w14:paraId="53F4EA81">
            <w:pPr>
              <w:tabs>
                <w:tab w:val="left" w:pos="0"/>
                <w:tab w:val="left" w:pos="1260"/>
              </w:tabs>
              <w:spacing w:line="360" w:lineRule="exact"/>
              <w:rPr>
                <w:rFonts w:hint="eastAsia" w:ascii="Times New Roman" w:hAnsi="Times New Roman"/>
              </w:rPr>
            </w:pPr>
            <w:r>
              <w:rPr>
                <w:rFonts w:hint="eastAsia" w:ascii="Times New Roman" w:hAnsi="Times New Roman"/>
              </w:rPr>
              <w:t>[单选题]1、通过课程学习，我能够掌握原生、混合、跨平台等移动应用开发技术体系，并结合主流平台特性完成技术选型，可将所学知识用于判别移动应用系统的复杂性。</w:t>
            </w:r>
          </w:p>
          <w:p w14:paraId="7FDDE18C">
            <w:pPr>
              <w:tabs>
                <w:tab w:val="left" w:pos="0"/>
                <w:tab w:val="left" w:pos="1260"/>
              </w:tabs>
              <w:spacing w:line="360" w:lineRule="exact"/>
              <w:rPr>
                <w:rFonts w:hint="eastAsia" w:ascii="Times New Roman" w:hAnsi="Times New Roman"/>
              </w:rPr>
            </w:pPr>
            <w:r>
              <w:rPr>
                <w:rFonts w:hint="eastAsia" w:ascii="Times New Roman" w:hAnsi="Times New Roman"/>
              </w:rPr>
              <w:t>[单选题]2、我能够运用混合开发框架、小程序技术及 AI 编程工具，针对特定需求设计并实现跨平台应用，且在设计过程中能体现创新意识。</w:t>
            </w:r>
          </w:p>
          <w:p w14:paraId="26262A5E">
            <w:pPr>
              <w:tabs>
                <w:tab w:val="left" w:pos="0"/>
                <w:tab w:val="left" w:pos="1260"/>
              </w:tabs>
              <w:spacing w:line="360" w:lineRule="exact"/>
              <w:rPr>
                <w:rFonts w:hint="eastAsia" w:ascii="Times New Roman" w:hAnsi="Times New Roman"/>
              </w:rPr>
            </w:pPr>
            <w:r>
              <w:rPr>
                <w:rFonts w:hint="eastAsia" w:ascii="Times New Roman" w:hAnsi="Times New Roman"/>
              </w:rPr>
              <w:t>[单选题]3、借助课程所学的华为多端技术，我具备了跨设备应用适配能力，能够收集和分析相关产品、开源方案等资料，并形成合理有效的开发结论。</w:t>
            </w:r>
          </w:p>
          <w:p w14:paraId="17FC29AF">
            <w:pPr>
              <w:tabs>
                <w:tab w:val="left" w:pos="0"/>
                <w:tab w:val="left" w:pos="1260"/>
              </w:tabs>
              <w:spacing w:line="360" w:lineRule="exact"/>
              <w:rPr>
                <w:rFonts w:hint="eastAsia" w:ascii="Times New Roman" w:hAnsi="Times New Roman"/>
              </w:rPr>
            </w:pPr>
            <w:r>
              <w:rPr>
                <w:rFonts w:hint="eastAsia" w:ascii="Times New Roman" w:hAnsi="Times New Roman"/>
              </w:rPr>
              <w:t>[单选题]4、我能够遵循软件工程规范，使用现代开发工具（含 AI 编程工具）完成移动应用的测试与优化工作，且能熟练运用信息技术获取专业开发资料。</w:t>
            </w:r>
          </w:p>
          <w:p w14:paraId="2077A51F">
            <w:pPr>
              <w:tabs>
                <w:tab w:val="left" w:pos="0"/>
                <w:tab w:val="left" w:pos="1260"/>
              </w:tabs>
              <w:spacing w:line="360" w:lineRule="exact"/>
              <w:rPr>
                <w:rFonts w:hint="eastAsia" w:ascii="Times New Roman" w:hAnsi="Times New Roman"/>
              </w:rPr>
            </w:pPr>
            <w:r>
              <w:rPr>
                <w:rFonts w:hint="eastAsia" w:ascii="Times New Roman" w:hAnsi="Times New Roman"/>
              </w:rPr>
              <w:t>[单选题]5、课程内容帮助我建立了移动应用开发的知识体系，能够将数学、工程基础等知识综合应用于解决移动开发中的复杂工程问题。</w:t>
            </w:r>
          </w:p>
          <w:p w14:paraId="75DACF1B">
            <w:pPr>
              <w:tabs>
                <w:tab w:val="left" w:pos="0"/>
                <w:tab w:val="left" w:pos="1260"/>
              </w:tabs>
              <w:spacing w:line="360" w:lineRule="exact"/>
              <w:rPr>
                <w:rFonts w:hint="eastAsia" w:ascii="Times New Roman" w:hAnsi="Times New Roman"/>
              </w:rPr>
            </w:pPr>
            <w:r>
              <w:rPr>
                <w:rFonts w:hint="eastAsia" w:ascii="Times New Roman" w:hAnsi="Times New Roman"/>
              </w:rPr>
              <w:t>[单选题]6、整体来看，本课程的学习让我具备了跨平台应用系统分析、设计与开发的核心能力，为后续专业工作和毕业设计奠定了扎实基础。</w:t>
            </w:r>
          </w:p>
          <w:p w14:paraId="6B1AF7B7">
            <w:pPr>
              <w:tabs>
                <w:tab w:val="left" w:pos="0"/>
                <w:tab w:val="left" w:pos="1260"/>
              </w:tabs>
              <w:spacing w:line="360" w:lineRule="exact"/>
              <w:rPr>
                <w:rFonts w:ascii="Times New Roman" w:hAnsi="Times New Roman"/>
              </w:rPr>
            </w:pPr>
            <w:r>
              <w:rPr>
                <w:rFonts w:ascii="Times New Roman" w:hAnsi="Times New Roman"/>
              </w:rPr>
              <w:t>2. 调查问卷结果统计</w:t>
            </w:r>
          </w:p>
          <w:p w14:paraId="627BEA93">
            <w:pPr>
              <w:rPr>
                <w:rFonts w:ascii="Times New Roman" w:hAnsi="Times New Roman"/>
              </w:rPr>
            </w:pPr>
            <w:r>
              <w:drawing>
                <wp:inline distT="0" distB="0" distL="114300" distR="114300">
                  <wp:extent cx="5050790" cy="1694180"/>
                  <wp:effectExtent l="0" t="0" r="8890" b="1270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0"/>
                          <a:srcRect t="10230" b="27413"/>
                          <a:stretch>
                            <a:fillRect/>
                          </a:stretch>
                        </pic:blipFill>
                        <pic:spPr>
                          <a:xfrm>
                            <a:off x="0" y="0"/>
                            <a:ext cx="5050790" cy="1694180"/>
                          </a:xfrm>
                          <a:prstGeom prst="rect">
                            <a:avLst/>
                          </a:prstGeom>
                          <a:noFill/>
                          <a:ln>
                            <a:noFill/>
                          </a:ln>
                        </pic:spPr>
                      </pic:pic>
                    </a:graphicData>
                  </a:graphic>
                </wp:inline>
              </w:drawing>
            </w:r>
          </w:p>
          <w:p w14:paraId="0A3DA3FC">
            <w:pPr>
              <w:rPr>
                <w:rFonts w:hint="eastAsia" w:ascii="Times New Roman" w:hAnsi="Times New Roman"/>
              </w:rPr>
            </w:pPr>
            <w:r>
              <w:rPr>
                <w:rFonts w:hint="eastAsia" w:ascii="Times New Roman" w:hAnsi="Times New Roman"/>
              </w:rPr>
              <w:t>问题4得分最高（4.55分）：学生普遍认为能够遵循软件工程规范，使用现代开发工具完成移动应用的测试与优化工作</w:t>
            </w:r>
          </w:p>
          <w:p w14:paraId="19FAE2AF">
            <w:pPr>
              <w:rPr>
                <w:rFonts w:hint="eastAsia" w:ascii="Times New Roman" w:hAnsi="Times New Roman"/>
              </w:rPr>
            </w:pPr>
            <w:r>
              <w:rPr>
                <w:rFonts w:hint="eastAsia" w:ascii="Times New Roman" w:hAnsi="Times New Roman"/>
              </w:rPr>
              <w:t>问题2和问题5并列第二（4.52分）：学生在运用混合开发框架、小程序技术及AI编程工具方面，以及将数学、工程基础等知识综合应用方面表现良好</w:t>
            </w:r>
          </w:p>
          <w:p w14:paraId="716BEAF3">
            <w:pPr>
              <w:rPr>
                <w:rFonts w:hint="eastAsia" w:ascii="Times New Roman" w:hAnsi="Times New Roman"/>
              </w:rPr>
            </w:pPr>
            <w:r>
              <w:rPr>
                <w:rFonts w:hint="eastAsia" w:ascii="Times New Roman" w:hAnsi="Times New Roman"/>
              </w:rPr>
              <w:t>问题6得分4.50分：学生对课程整体效果评价较高</w:t>
            </w:r>
          </w:p>
          <w:p w14:paraId="47793359">
            <w:pPr>
              <w:rPr>
                <w:rFonts w:hint="eastAsia" w:ascii="Times New Roman" w:hAnsi="Times New Roman"/>
              </w:rPr>
            </w:pPr>
            <w:r>
              <w:rPr>
                <w:rFonts w:hint="eastAsia" w:ascii="Times New Roman" w:hAnsi="Times New Roman"/>
              </w:rPr>
              <w:t>问题1得分4.41分：学生对掌握移动应用开发技术体系的评价相对较低</w:t>
            </w:r>
          </w:p>
          <w:p w14:paraId="18A742B5">
            <w:pPr>
              <w:rPr>
                <w:rFonts w:hint="eastAsia" w:ascii="Times New Roman" w:hAnsi="Times New Roman"/>
              </w:rPr>
            </w:pPr>
            <w:r>
              <w:rPr>
                <w:rFonts w:hint="eastAsia" w:ascii="Times New Roman" w:hAnsi="Times New Roman"/>
              </w:rPr>
              <w:t>问题3得分最低（4.32分）：学生在跨设备应用适配能力和资料分析能力方面相对较弱</w:t>
            </w:r>
          </w:p>
          <w:p w14:paraId="0E290273">
            <w:pPr>
              <w:rPr>
                <w:rFonts w:ascii="Times New Roman" w:hAnsi="Times New Roman"/>
              </w:rPr>
            </w:pPr>
            <w:r>
              <w:rPr>
                <w:rFonts w:hint="eastAsia" w:ascii="Times New Roman" w:hAnsi="Times New Roman"/>
              </w:rPr>
              <w:t>整体评价：删除异常低分后，所有问题的平均分都在4.3分以上（满分5分），表明学生对课程的总体评价很高，课程目标对毕业要求的支撑效果良好。建议重点关注问题3（跨设备适配能力）和问题1（技术体系掌握）的教学改进。</w:t>
            </w:r>
          </w:p>
        </w:tc>
      </w:tr>
      <w:tr w14:paraId="7CD8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1" w:hRule="atLeast"/>
        </w:trPr>
        <w:tc>
          <w:tcPr>
            <w:tcW w:w="602" w:type="dxa"/>
            <w:vAlign w:val="center"/>
          </w:tcPr>
          <w:p w14:paraId="63607F6D">
            <w:pPr>
              <w:jc w:val="center"/>
              <w:rPr>
                <w:rFonts w:ascii="Times New Roman" w:hAnsi="Times New Roman"/>
                <w:bCs/>
                <w:szCs w:val="21"/>
              </w:rPr>
            </w:pPr>
          </w:p>
          <w:p w14:paraId="06F7641B">
            <w:pPr>
              <w:jc w:val="center"/>
              <w:rPr>
                <w:rFonts w:ascii="Times New Roman" w:hAnsi="Times New Roman"/>
                <w:bCs/>
                <w:szCs w:val="21"/>
              </w:rPr>
            </w:pPr>
            <w:r>
              <w:rPr>
                <w:rFonts w:ascii="Times New Roman" w:hAnsi="Times New Roman"/>
                <w:bCs/>
                <w:szCs w:val="21"/>
              </w:rPr>
              <w:t>达</w:t>
            </w:r>
          </w:p>
          <w:p w14:paraId="105BF777">
            <w:pPr>
              <w:jc w:val="center"/>
              <w:rPr>
                <w:rFonts w:ascii="Times New Roman" w:hAnsi="Times New Roman"/>
                <w:bCs/>
                <w:szCs w:val="21"/>
              </w:rPr>
            </w:pPr>
            <w:r>
              <w:rPr>
                <w:rFonts w:ascii="Times New Roman" w:hAnsi="Times New Roman"/>
                <w:bCs/>
                <w:szCs w:val="21"/>
              </w:rPr>
              <w:t>成</w:t>
            </w:r>
          </w:p>
          <w:p w14:paraId="2F2DBBF1">
            <w:pPr>
              <w:jc w:val="center"/>
              <w:rPr>
                <w:rFonts w:ascii="Times New Roman" w:hAnsi="Times New Roman"/>
                <w:bCs/>
                <w:szCs w:val="21"/>
              </w:rPr>
            </w:pPr>
            <w:r>
              <w:rPr>
                <w:rFonts w:ascii="Times New Roman" w:hAnsi="Times New Roman"/>
                <w:bCs/>
                <w:szCs w:val="21"/>
              </w:rPr>
              <w:t>情</w:t>
            </w:r>
          </w:p>
          <w:p w14:paraId="26CE608D">
            <w:pPr>
              <w:jc w:val="center"/>
              <w:rPr>
                <w:rFonts w:ascii="Times New Roman" w:hAnsi="Times New Roman"/>
                <w:bCs/>
                <w:szCs w:val="21"/>
              </w:rPr>
            </w:pPr>
            <w:r>
              <w:rPr>
                <w:rFonts w:ascii="Times New Roman" w:hAnsi="Times New Roman"/>
                <w:bCs/>
                <w:szCs w:val="21"/>
              </w:rPr>
              <w:t>况</w:t>
            </w:r>
          </w:p>
          <w:p w14:paraId="7C9C8D44">
            <w:pPr>
              <w:jc w:val="center"/>
              <w:rPr>
                <w:rFonts w:ascii="Times New Roman" w:hAnsi="Times New Roman"/>
                <w:bCs/>
                <w:szCs w:val="21"/>
              </w:rPr>
            </w:pPr>
            <w:r>
              <w:rPr>
                <w:rFonts w:ascii="Times New Roman" w:hAnsi="Times New Roman"/>
                <w:bCs/>
                <w:szCs w:val="21"/>
              </w:rPr>
              <w:t>分</w:t>
            </w:r>
          </w:p>
          <w:p w14:paraId="40168EE9">
            <w:pPr>
              <w:jc w:val="center"/>
              <w:rPr>
                <w:rFonts w:ascii="Times New Roman" w:hAnsi="Times New Roman"/>
                <w:bCs/>
                <w:szCs w:val="21"/>
              </w:rPr>
            </w:pPr>
            <w:r>
              <w:rPr>
                <w:rFonts w:ascii="Times New Roman" w:hAnsi="Times New Roman"/>
                <w:bCs/>
                <w:szCs w:val="21"/>
              </w:rPr>
              <w:t>析</w:t>
            </w:r>
          </w:p>
          <w:p w14:paraId="74FE1FAA">
            <w:pPr>
              <w:jc w:val="center"/>
              <w:rPr>
                <w:rFonts w:ascii="Times New Roman" w:hAnsi="Times New Roman"/>
                <w:bCs/>
                <w:szCs w:val="21"/>
              </w:rPr>
            </w:pPr>
            <w:r>
              <w:rPr>
                <w:rFonts w:ascii="Times New Roman" w:hAnsi="Times New Roman"/>
                <w:bCs/>
                <w:szCs w:val="21"/>
              </w:rPr>
              <w:t>及</w:t>
            </w:r>
          </w:p>
          <w:p w14:paraId="4F37E019">
            <w:pPr>
              <w:jc w:val="center"/>
              <w:rPr>
                <w:rFonts w:ascii="Times New Roman" w:hAnsi="Times New Roman"/>
                <w:bCs/>
                <w:szCs w:val="21"/>
              </w:rPr>
            </w:pPr>
            <w:r>
              <w:rPr>
                <w:rFonts w:ascii="Times New Roman" w:hAnsi="Times New Roman"/>
                <w:bCs/>
                <w:szCs w:val="21"/>
              </w:rPr>
              <w:t>持</w:t>
            </w:r>
          </w:p>
          <w:p w14:paraId="40E43F80">
            <w:pPr>
              <w:jc w:val="center"/>
              <w:rPr>
                <w:rFonts w:ascii="Times New Roman" w:hAnsi="Times New Roman"/>
                <w:bCs/>
                <w:szCs w:val="21"/>
              </w:rPr>
            </w:pPr>
            <w:r>
              <w:rPr>
                <w:rFonts w:ascii="Times New Roman" w:hAnsi="Times New Roman"/>
                <w:bCs/>
                <w:szCs w:val="21"/>
              </w:rPr>
              <w:t>续</w:t>
            </w:r>
          </w:p>
          <w:p w14:paraId="52FD77BE">
            <w:pPr>
              <w:jc w:val="center"/>
              <w:rPr>
                <w:rFonts w:ascii="Times New Roman" w:hAnsi="Times New Roman"/>
                <w:bCs/>
                <w:szCs w:val="21"/>
              </w:rPr>
            </w:pPr>
            <w:r>
              <w:rPr>
                <w:rFonts w:ascii="Times New Roman" w:hAnsi="Times New Roman"/>
                <w:bCs/>
                <w:szCs w:val="21"/>
              </w:rPr>
              <w:t>改</w:t>
            </w:r>
          </w:p>
          <w:p w14:paraId="60F2078A">
            <w:pPr>
              <w:jc w:val="center"/>
              <w:rPr>
                <w:rFonts w:ascii="Times New Roman" w:hAnsi="Times New Roman"/>
                <w:b/>
                <w:bCs/>
                <w:sz w:val="28"/>
                <w:szCs w:val="28"/>
              </w:rPr>
            </w:pPr>
            <w:r>
              <w:rPr>
                <w:rFonts w:ascii="Times New Roman" w:hAnsi="Times New Roman"/>
                <w:bCs/>
                <w:szCs w:val="21"/>
              </w:rPr>
              <w:t>进</w:t>
            </w:r>
          </w:p>
          <w:p w14:paraId="677C8D3E">
            <w:pPr>
              <w:jc w:val="center"/>
              <w:rPr>
                <w:rFonts w:ascii="Times New Roman" w:hAnsi="Times New Roman"/>
                <w:b/>
                <w:sz w:val="24"/>
              </w:rPr>
            </w:pPr>
          </w:p>
        </w:tc>
        <w:tc>
          <w:tcPr>
            <w:tcW w:w="8356" w:type="dxa"/>
            <w:gridSpan w:val="4"/>
            <w:vAlign w:val="center"/>
          </w:tcPr>
          <w:p w14:paraId="77EAC97D">
            <w:pPr>
              <w:spacing w:line="400" w:lineRule="exact"/>
              <w:ind w:firstLine="211" w:firstLineChars="100"/>
              <w:rPr>
                <w:rFonts w:ascii="宋体" w:hAnsi="宋体"/>
                <w:b/>
                <w:color w:val="000000"/>
                <w:kern w:val="0"/>
                <w:szCs w:val="21"/>
              </w:rPr>
            </w:pPr>
            <w:r>
              <w:rPr>
                <w:rFonts w:hint="eastAsia" w:ascii="Times New Roman" w:hAnsi="Times New Roman"/>
                <w:b/>
                <w:szCs w:val="21"/>
              </w:rPr>
              <w:t>1</w:t>
            </w:r>
            <w:r>
              <w:rPr>
                <w:rFonts w:ascii="Times New Roman" w:hAnsi="Times New Roman"/>
                <w:b/>
                <w:szCs w:val="21"/>
              </w:rPr>
              <w:t xml:space="preserve">. </w:t>
            </w:r>
            <w:r>
              <w:rPr>
                <w:rFonts w:hint="eastAsia" w:ascii="宋体" w:hAnsi="宋体"/>
                <w:b/>
                <w:color w:val="000000"/>
                <w:kern w:val="0"/>
                <w:szCs w:val="21"/>
              </w:rPr>
              <w:t>定量评价情况分析</w:t>
            </w:r>
          </w:p>
          <w:p w14:paraId="2EFBF886">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课程目标1主要考核学生掌握移动应用开发技术体系（原生/混合/跨平台）及主流平台特性，理解技术选型逻辑，熟悉混合开发框架和AI编程工具的基本使用。课程目标2主要考核学生运用混合开发框架及小程序技术，结合AI编程工具设计实现跨平台应用，具备需求建模与创新应用能力。该目标旨在考核学生从用户需求出发进行应用设计与技术实现的能力，以及对跨平台方案的创新性与可行性进行分析和判断的能力。课程目标3主要考核学生基于华为多端技术实现跨设备适配，具备多场景应用的系统分析与开发能力。根据图1所示的课程目标达成评价计算结果，课程目标1</w:t>
            </w:r>
            <w:r>
              <w:rPr>
                <w:rFonts w:hint="eastAsia" w:ascii="Times New Roman" w:hAnsi="Times New Roman" w:cs="Times New Roman"/>
                <w:bCs/>
                <w:kern w:val="2"/>
                <w:sz w:val="21"/>
                <w:szCs w:val="21"/>
                <w:lang w:val="en-US" w:eastAsia="zh-CN" w:bidi="ar-SA"/>
              </w:rPr>
              <w:t>、2</w:t>
            </w:r>
            <w:r>
              <w:rPr>
                <w:rFonts w:ascii="Times New Roman" w:hAnsi="Times New Roman" w:eastAsia="宋体" w:cs="Times New Roman"/>
                <w:bCs/>
                <w:kern w:val="2"/>
                <w:sz w:val="21"/>
                <w:szCs w:val="21"/>
                <w:lang w:val="en-US" w:eastAsia="zh-CN" w:bidi="ar-SA"/>
              </w:rPr>
              <w:t>的达成度为0.82，课程目标3的达成度为0.6</w:t>
            </w:r>
            <w:r>
              <w:rPr>
                <w:rFonts w:hint="eastAsia" w:ascii="Times New Roman" w:hAnsi="Times New Roman" w:cs="Times New Roman"/>
                <w:bCs/>
                <w:kern w:val="2"/>
                <w:sz w:val="21"/>
                <w:szCs w:val="21"/>
                <w:lang w:val="en-US" w:eastAsia="zh-CN" w:bidi="ar-SA"/>
              </w:rPr>
              <w:t>1</w:t>
            </w:r>
            <w:r>
              <w:rPr>
                <w:rFonts w:ascii="Times New Roman" w:hAnsi="Times New Roman" w:eastAsia="宋体" w:cs="Times New Roman"/>
                <w:bCs/>
                <w:kern w:val="2"/>
                <w:sz w:val="21"/>
                <w:szCs w:val="21"/>
                <w:lang w:val="en-US" w:eastAsia="zh-CN" w:bidi="ar-SA"/>
              </w:rPr>
              <w:t>。此外，学生个体课程目标1、2和3达成评价结果分别如图2、3和4所示。显然，课程目标3的学生个体达成情况评价结果低于期望达成度值（0.6）的占28.3%。</w:t>
            </w:r>
          </w:p>
          <w:p w14:paraId="334F5122">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从课程目标1达成评价结果可以看出，学生能够综合运用移动应用开发技术体系（原生/混合/跨平台）的知识，理解主流平台特性并进行合理技术选型，熟练使用混合开发框架和AI编程工具。然而，课程目标3的达成度为0.68相对偏低，主要原因是学生虽然能够运用华为多端技术进行基础开发，但在跨设备适配的兼容性处理、多场景应用的系统分析方面存在不足，导致在复杂场景下的功能实现出现偏差，失分较多。表明学生虽然掌握了多端开发的基本技能，但在跨设备适配的深度应用和系统分析能力方面有待提升。为此，本课程所支撑的毕业要求指标点4.2“针对计算机领域复杂工程问题，能够收集、分析与解释已存在的相关产品、模型、系统、方案、开源资料库等资料，并通过信息综合得到合理有效的结论。”支持强度不足，需要通过后续课程如“分布式应用开发”进一步强化支撑。</w:t>
            </w:r>
          </w:p>
          <w:p w14:paraId="5C65F85C">
            <w:pPr>
              <w:spacing w:line="420" w:lineRule="exact"/>
              <w:ind w:left="420" w:leftChars="200"/>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2. 定性评价情况分析</w:t>
            </w:r>
          </w:p>
          <w:p w14:paraId="4A2C5C47">
            <w:pPr>
              <w:spacing w:line="400" w:lineRule="exact"/>
              <w:ind w:firstLine="420" w:firstLineChars="200"/>
              <w:rPr>
                <w:rFonts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从调查问卷结果可以看出，除课程目标3外，调查问卷结果与定量评价结果基本保持一致，表明学生自我评价与实际能力达成情况基本保持一致。针对课程目标3，说明学生虽然从主观上评价自己能够运用华为多端技术实现跨设备适配，然而在实际的过程性考核和期末考核中进行多场景应用系统分析与跨设备兼容性处理方面存在不足。</w:t>
            </w:r>
          </w:p>
          <w:p w14:paraId="70CD996C">
            <w:pPr>
              <w:spacing w:line="400" w:lineRule="exact"/>
              <w:ind w:firstLine="420" w:firstLineChars="200"/>
              <w:rPr>
                <w:rFonts w:ascii="宋体" w:hAnsi="宋体" w:eastAsia="宋体" w:cs="Times New Roman"/>
                <w:color w:val="000000"/>
                <w:kern w:val="0"/>
                <w:sz w:val="21"/>
                <w:szCs w:val="21"/>
                <w:lang w:val="en-US" w:eastAsia="zh-CN" w:bidi="ar-SA"/>
              </w:rPr>
            </w:pPr>
            <w:r>
              <w:rPr>
                <w:rFonts w:hint="eastAsia" w:ascii="宋体" w:hAnsi="宋体" w:eastAsia="宋体" w:cs="Times New Roman"/>
                <w:color w:val="000000"/>
                <w:kern w:val="0"/>
                <w:sz w:val="21"/>
                <w:szCs w:val="21"/>
                <w:lang w:val="en-US" w:eastAsia="zh-CN" w:bidi="ar-SA"/>
              </w:rPr>
              <w:t>针对移动应用开发课程的学习学生能够具备哪些方面的能力方面，26.7%的同学认为通过本课程的学习能够将相关知识、模型和方法用于移动应用开发领域复杂工程问题涉及的技术方案的推演和分析；24.5%的同学认为通过本课程的学习能够认识到解决问题有多种方案可选择，会通过文献收集和研究寻求移动应用开发领域复杂工程问题的可替代的解决方案，并对复杂工程问题解决过程中的影响因素进行分析，获得有效结论；27.8%的同学认为通过本课程的学习能够正确采集、整理实验数据，对实验结果进行分析和解释，并通过信息综合得到合理有效的结论。这一结果表明学生通过移动应用开发课程的学习能够具备相关方面的能力，与本课程所支撑毕业要求的指标1.4，3.2和4.2基本相对应。</w:t>
            </w:r>
          </w:p>
          <w:p w14:paraId="174129F7">
            <w:pPr>
              <w:spacing w:line="420" w:lineRule="exact"/>
              <w:ind w:left="420" w:leftChars="200"/>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2. 教学持续改进效果分析</w:t>
            </w:r>
          </w:p>
          <w:p w14:paraId="3E771F77">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（1）本轮移动应用开发课程教学持续改进措施的执行情况</w:t>
            </w:r>
          </w:p>
          <w:p w14:paraId="6E949D5D">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针对上一轮该课程教学持续改进意见，</w:t>
            </w:r>
            <w:r>
              <w:rPr>
                <w:rFonts w:hint="eastAsia" w:ascii="Times New Roman" w:hAnsi="Times New Roman" w:cs="Times New Roman"/>
                <w:bCs/>
                <w:kern w:val="2"/>
                <w:sz w:val="21"/>
                <w:szCs w:val="21"/>
                <w:lang w:val="en-US" w:eastAsia="zh-CN" w:bidi="ar-SA"/>
              </w:rPr>
              <w:t>教学内容局限于单一的Android应用开发。</w:t>
            </w:r>
            <w:r>
              <w:rPr>
                <w:rFonts w:ascii="Times New Roman" w:hAnsi="Times New Roman" w:eastAsia="宋体" w:cs="Times New Roman"/>
                <w:bCs/>
                <w:kern w:val="2"/>
                <w:sz w:val="21"/>
                <w:szCs w:val="21"/>
                <w:lang w:val="en-US" w:eastAsia="zh-CN" w:bidi="ar-SA"/>
              </w:rPr>
              <w:t>在本轮教学中持续改进的措施执行情况如下：</w:t>
            </w:r>
          </w:p>
          <w:p w14:paraId="67DB29E4">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首先，在平时作业中加大关于运用移动应用开发技术体系分析实际应用问题的题目训练，实现期末考核内容与平时训练内容相一致；</w:t>
            </w:r>
          </w:p>
          <w:p w14:paraId="516310E1">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其次，在移动应用开发的每一章结束后，在作业中增加与该章知识点相关的英文期刊文献阅读培训，扩展学生的知识面并提高其英文文献的阅读与总结能力；</w:t>
            </w:r>
          </w:p>
          <w:p w14:paraId="016F8582">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再次，调整平时、实验以及期末的课程成绩比例，增加实验成绩比例，降低平时和期末的课程比例，注重学生的过程性考核，实验环节注重每个实验的考核，提升学生对实际移动应用的开发与验证能力，</w:t>
            </w:r>
            <w:r>
              <w:rPr>
                <w:rFonts w:ascii="Calibri" w:hAnsi="Calibri" w:eastAsia="宋体" w:cs="Times New Roman"/>
                <w:kern w:val="2"/>
                <w:sz w:val="21"/>
                <w:szCs w:val="24"/>
                <w:lang w:val="en-US" w:eastAsia="zh-CN" w:bidi="ar-SA"/>
              </w:rPr>
              <w:t>进一步优化课程目标3的达成度。</w:t>
            </w:r>
          </w:p>
          <w:p w14:paraId="1BB64B17">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（2）本轮移动应用开发课程教学持续改进效果</w:t>
            </w:r>
          </w:p>
          <w:p w14:paraId="06DAF5E5">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针对课程教学课程目标达成情况的评价结果，通过以上改进措施</w:t>
            </w:r>
            <w:r>
              <w:rPr>
                <w:rFonts w:hint="eastAsia" w:ascii="Times New Roman" w:hAnsi="Times New Roman" w:cs="Times New Roman"/>
                <w:bCs/>
                <w:kern w:val="2"/>
                <w:sz w:val="21"/>
                <w:szCs w:val="21"/>
                <w:lang w:val="en-US" w:eastAsia="zh-CN" w:bidi="ar-SA"/>
              </w:rPr>
              <w:t>。</w:t>
            </w:r>
          </w:p>
          <w:p w14:paraId="4F82513E">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主要原因分析：课程目标2和3在期末考核结果中的值分别为0.65和0.60导致了这两个课程目标的整体结果偏低。主要是因为：首先，混合开发框架版本更新较快，学生对新特性掌握不及时；其次，华为多端开发工具（DevEco Studio）操作复杂度较高，实验课时不足导致实操能力薄弱；再次，期末项目考核中跨设备适配场景设计占比过高（40%），学生在多终端兼容性调试方面失分较多（课程目标3的达成度值在期末考核中仅为0.60）；最后，本课程在过程性考核中增加了AI工具应用能力的评分项，标准较上届更为严格，导致课程目标2和目标3的达成度有所降低。</w:t>
            </w:r>
          </w:p>
          <w:p w14:paraId="6F212937">
            <w:pPr>
              <w:spacing w:line="420" w:lineRule="exact"/>
              <w:ind w:left="420" w:leftChars="200"/>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3. 后续教学持续改进</w:t>
            </w:r>
          </w:p>
          <w:p w14:paraId="20EC3943">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针对本次课程目标达成评价情况分析以及对比分析，今后教学中拟采取以下改进措施：</w:t>
            </w:r>
          </w:p>
          <w:p w14:paraId="35A066BB">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（1）拟在平时作业中加大关于运用移动应用开发技术体系分析实际应用问题的题目，以及加大跨平台开发方案的对比分析训练，实现期末考核内容与平时训练内容进一步保持一致；</w:t>
            </w:r>
          </w:p>
          <w:p w14:paraId="7E057050">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（2）在移动应用开发的每一章结束后，在作业中继续增加与该章知识点相关的</w:t>
            </w:r>
            <w:r>
              <w:rPr>
                <w:rFonts w:hint="eastAsia" w:ascii="Times New Roman" w:hAnsi="Times New Roman" w:cs="Times New Roman"/>
                <w:bCs/>
                <w:kern w:val="2"/>
                <w:sz w:val="21"/>
                <w:szCs w:val="21"/>
                <w:lang w:val="en-US" w:eastAsia="zh-CN" w:bidi="ar-SA"/>
              </w:rPr>
              <w:t>知识图谱的创建</w:t>
            </w:r>
            <w:r>
              <w:rPr>
                <w:rFonts w:ascii="Times New Roman" w:hAnsi="Times New Roman" w:eastAsia="宋体" w:cs="Times New Roman"/>
                <w:bCs/>
                <w:kern w:val="2"/>
                <w:sz w:val="21"/>
                <w:szCs w:val="21"/>
                <w:lang w:val="en-US" w:eastAsia="zh-CN" w:bidi="ar-SA"/>
              </w:rPr>
              <w:t>，扩展学生的知识面并提高</w:t>
            </w:r>
            <w:r>
              <w:rPr>
                <w:rFonts w:hint="eastAsia" w:ascii="Times New Roman" w:hAnsi="Times New Roman" w:cs="Times New Roman"/>
                <w:bCs/>
                <w:kern w:val="2"/>
                <w:sz w:val="21"/>
                <w:szCs w:val="21"/>
                <w:lang w:val="en-US" w:eastAsia="zh-CN" w:bidi="ar-SA"/>
              </w:rPr>
              <w:t>开发</w:t>
            </w:r>
            <w:r>
              <w:rPr>
                <w:rFonts w:ascii="Times New Roman" w:hAnsi="Times New Roman" w:eastAsia="宋体" w:cs="Times New Roman"/>
                <w:bCs/>
                <w:kern w:val="2"/>
                <w:sz w:val="21"/>
                <w:szCs w:val="21"/>
                <w:lang w:val="en-US" w:eastAsia="zh-CN" w:bidi="ar-SA"/>
              </w:rPr>
              <w:t>能力；</w:t>
            </w:r>
          </w:p>
          <w:p w14:paraId="6E16B375">
            <w:pPr>
              <w:spacing w:line="420" w:lineRule="exact"/>
              <w:ind w:firstLine="420" w:firstLineChars="200"/>
              <w:rPr>
                <w:rFonts w:ascii="Times New Roman" w:hAnsi="Times New Roman" w:eastAsia="宋体" w:cs="Times New Roman"/>
                <w:kern w:val="2"/>
                <w:sz w:val="21"/>
                <w:szCs w:val="21"/>
                <w:lang w:val="en-US" w:eastAsia="zh-CN" w:bidi="ar-SA"/>
              </w:rPr>
            </w:pPr>
            <w:r>
              <w:rPr>
                <w:rFonts w:ascii="Times New Roman" w:hAnsi="Times New Roman" w:eastAsia="宋体" w:cs="Times New Roman"/>
                <w:bCs/>
                <w:kern w:val="2"/>
                <w:sz w:val="21"/>
                <w:szCs w:val="21"/>
                <w:lang w:val="en-US" w:eastAsia="zh-CN" w:bidi="ar-SA"/>
              </w:rPr>
              <w:t>（3）进一步优化期末项目考核的场景设计，降低跨设备适配模块的分值占比（从40%调整为30%），增加AI工具辅助开发的评分维度；</w:t>
            </w:r>
          </w:p>
          <w:p w14:paraId="65492222">
            <w:pPr>
              <w:spacing w:line="420" w:lineRule="exact"/>
              <w:ind w:firstLine="420" w:firstLineChars="200"/>
              <w:rPr>
                <w:rFonts w:ascii="Times New Roman" w:hAnsi="Times New Roman"/>
                <w:szCs w:val="21"/>
              </w:rPr>
            </w:pPr>
            <w:r>
              <w:rPr>
                <w:rFonts w:ascii="Times New Roman" w:hAnsi="Times New Roman" w:eastAsia="宋体" w:cs="Times New Roman"/>
                <w:bCs/>
                <w:kern w:val="2"/>
                <w:sz w:val="21"/>
                <w:szCs w:val="21"/>
                <w:lang w:val="en-US" w:eastAsia="zh-CN" w:bidi="ar-SA"/>
              </w:rPr>
              <w:t>（4）对过程性考核中课程目标值偏低的同学，给出具体的帮扶计划（如额外增加跨设备适配实验练习、提供AI编程工具使用指南、组织技术专题工作坊等）。</w:t>
            </w:r>
          </w:p>
        </w:tc>
      </w:tr>
      <w:tr w14:paraId="42EA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2788" w:type="dxa"/>
            <w:gridSpan w:val="2"/>
            <w:vAlign w:val="center"/>
          </w:tcPr>
          <w:p w14:paraId="27F686D4">
            <w:pPr>
              <w:jc w:val="center"/>
              <w:rPr>
                <w:rFonts w:ascii="Times New Roman" w:hAnsi="Times New Roman"/>
                <w:b/>
                <w:sz w:val="24"/>
              </w:rPr>
            </w:pPr>
            <w:r>
              <w:rPr>
                <w:rFonts w:ascii="Times New Roman" w:hAnsi="Times New Roman"/>
                <w:b/>
                <w:sz w:val="24"/>
              </w:rPr>
              <w:t>任课教师签字</w:t>
            </w:r>
          </w:p>
        </w:tc>
        <w:tc>
          <w:tcPr>
            <w:tcW w:w="2475" w:type="dxa"/>
            <w:vAlign w:val="center"/>
          </w:tcPr>
          <w:p w14:paraId="11A8E774">
            <w:pPr>
              <w:wordWrap w:val="0"/>
              <w:spacing w:line="400" w:lineRule="exact"/>
              <w:rPr>
                <w:rFonts w:ascii="Times New Roman" w:hAnsi="Times New Roman"/>
                <w:b/>
                <w:sz w:val="24"/>
              </w:rPr>
            </w:pPr>
          </w:p>
        </w:tc>
        <w:tc>
          <w:tcPr>
            <w:tcW w:w="1634" w:type="dxa"/>
            <w:vAlign w:val="center"/>
          </w:tcPr>
          <w:p w14:paraId="53460031">
            <w:pPr>
              <w:wordWrap w:val="0"/>
              <w:spacing w:line="400" w:lineRule="exact"/>
              <w:jc w:val="center"/>
              <w:rPr>
                <w:rFonts w:ascii="Times New Roman" w:hAnsi="Times New Roman"/>
                <w:b/>
                <w:sz w:val="24"/>
              </w:rPr>
            </w:pPr>
            <w:r>
              <w:rPr>
                <w:rFonts w:ascii="Times New Roman" w:hAnsi="Times New Roman"/>
                <w:b/>
                <w:sz w:val="24"/>
              </w:rPr>
              <w:t>日期</w:t>
            </w:r>
          </w:p>
        </w:tc>
        <w:tc>
          <w:tcPr>
            <w:tcW w:w="2061" w:type="dxa"/>
            <w:vAlign w:val="center"/>
          </w:tcPr>
          <w:p w14:paraId="51F5E5A6">
            <w:pPr>
              <w:wordWrap w:val="0"/>
              <w:spacing w:line="400" w:lineRule="exact"/>
              <w:rPr>
                <w:rFonts w:ascii="Times New Roman" w:hAnsi="Times New Roman"/>
                <w:b/>
                <w:sz w:val="24"/>
              </w:rPr>
            </w:pPr>
          </w:p>
        </w:tc>
      </w:tr>
      <w:tr w14:paraId="7FC3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2" w:hRule="atLeast"/>
        </w:trPr>
        <w:tc>
          <w:tcPr>
            <w:tcW w:w="602" w:type="dxa"/>
            <w:vAlign w:val="center"/>
          </w:tcPr>
          <w:p w14:paraId="5524D6D8">
            <w:pPr>
              <w:jc w:val="center"/>
              <w:rPr>
                <w:rFonts w:ascii="Times New Roman" w:hAnsi="Times New Roman"/>
                <w:b/>
                <w:sz w:val="24"/>
              </w:rPr>
            </w:pPr>
          </w:p>
          <w:p w14:paraId="39146592">
            <w:pPr>
              <w:jc w:val="center"/>
              <w:rPr>
                <w:rFonts w:ascii="Times New Roman" w:hAnsi="Times New Roman"/>
                <w:b/>
                <w:sz w:val="24"/>
              </w:rPr>
            </w:pPr>
            <w:r>
              <w:rPr>
                <w:rFonts w:ascii="Times New Roman" w:hAnsi="Times New Roman"/>
                <w:b/>
                <w:sz w:val="24"/>
              </w:rPr>
              <w:t>课程群建设工作组意见</w:t>
            </w:r>
          </w:p>
        </w:tc>
        <w:tc>
          <w:tcPr>
            <w:tcW w:w="8356" w:type="dxa"/>
            <w:gridSpan w:val="4"/>
            <w:vAlign w:val="center"/>
          </w:tcPr>
          <w:p w14:paraId="262E84D5">
            <w:pPr>
              <w:wordWrap w:val="0"/>
              <w:spacing w:line="400" w:lineRule="exact"/>
              <w:jc w:val="right"/>
              <w:rPr>
                <w:rFonts w:ascii="Times New Roman" w:hAnsi="Times New Roman"/>
                <w:sz w:val="28"/>
                <w:szCs w:val="28"/>
              </w:rPr>
            </w:pPr>
          </w:p>
          <w:p w14:paraId="72ABB326">
            <w:pPr>
              <w:wordWrap w:val="0"/>
              <w:spacing w:line="400" w:lineRule="exact"/>
              <w:jc w:val="right"/>
              <w:rPr>
                <w:rFonts w:ascii="Times New Roman" w:hAnsi="Times New Roman"/>
                <w:sz w:val="28"/>
                <w:szCs w:val="28"/>
              </w:rPr>
            </w:pPr>
          </w:p>
          <w:p w14:paraId="28AFBD7C">
            <w:pPr>
              <w:wordWrap w:val="0"/>
              <w:spacing w:line="400" w:lineRule="exact"/>
              <w:rPr>
                <w:rFonts w:ascii="Times New Roman" w:hAnsi="Times New Roman"/>
                <w:b/>
                <w:szCs w:val="21"/>
              </w:rPr>
            </w:pPr>
          </w:p>
          <w:p w14:paraId="11A82CA4">
            <w:pPr>
              <w:wordWrap w:val="0"/>
              <w:spacing w:line="400" w:lineRule="exact"/>
              <w:rPr>
                <w:rFonts w:ascii="Times New Roman" w:hAnsi="Times New Roman"/>
                <w:b/>
                <w:szCs w:val="21"/>
              </w:rPr>
            </w:pPr>
          </w:p>
          <w:p w14:paraId="2FCA65E6">
            <w:pPr>
              <w:wordWrap w:val="0"/>
              <w:spacing w:line="400" w:lineRule="exact"/>
              <w:rPr>
                <w:rFonts w:ascii="Times New Roman" w:hAnsi="Times New Roman"/>
                <w:b/>
                <w:szCs w:val="21"/>
              </w:rPr>
            </w:pPr>
          </w:p>
          <w:p w14:paraId="1EC4367D">
            <w:pPr>
              <w:wordWrap w:val="0"/>
              <w:spacing w:line="400" w:lineRule="exact"/>
              <w:rPr>
                <w:rFonts w:ascii="Times New Roman" w:hAnsi="Times New Roman"/>
                <w:b/>
                <w:szCs w:val="21"/>
              </w:rPr>
            </w:pPr>
          </w:p>
          <w:p w14:paraId="3445FD99">
            <w:pPr>
              <w:wordWrap w:val="0"/>
              <w:spacing w:line="400" w:lineRule="exact"/>
              <w:rPr>
                <w:rFonts w:hint="eastAsia" w:ascii="Times New Roman" w:hAnsi="Times New Roman" w:eastAsia="宋体"/>
                <w:b/>
                <w:szCs w:val="21"/>
                <w:lang w:eastAsia="zh-CN"/>
              </w:rPr>
            </w:pPr>
          </w:p>
          <w:p w14:paraId="572028AA">
            <w:pPr>
              <w:wordWrap w:val="0"/>
              <w:spacing w:line="400" w:lineRule="exact"/>
              <w:rPr>
                <w:rFonts w:hint="eastAsia" w:ascii="Times New Roman" w:hAnsi="Times New Roman" w:eastAsia="宋体"/>
                <w:b/>
                <w:szCs w:val="21"/>
                <w:lang w:eastAsia="zh-CN"/>
              </w:rPr>
            </w:pPr>
          </w:p>
          <w:p w14:paraId="10051EE4">
            <w:pPr>
              <w:wordWrap w:val="0"/>
              <w:spacing w:line="400" w:lineRule="exact"/>
              <w:rPr>
                <w:rFonts w:ascii="Times New Roman" w:hAnsi="Times New Roman"/>
                <w:b/>
                <w:szCs w:val="21"/>
              </w:rPr>
            </w:pPr>
          </w:p>
          <w:p w14:paraId="41C1C50E">
            <w:pPr>
              <w:wordWrap w:val="0"/>
              <w:spacing w:line="400" w:lineRule="exact"/>
              <w:rPr>
                <w:rFonts w:ascii="Times New Roman" w:hAnsi="Times New Roman"/>
                <w:b/>
                <w:szCs w:val="21"/>
              </w:rPr>
            </w:pPr>
          </w:p>
          <w:p w14:paraId="06B808F5">
            <w:pPr>
              <w:wordWrap w:val="0"/>
              <w:spacing w:line="400" w:lineRule="exact"/>
              <w:rPr>
                <w:rFonts w:ascii="Times New Roman" w:hAnsi="Times New Roman"/>
                <w:b/>
                <w:szCs w:val="21"/>
              </w:rPr>
            </w:pPr>
          </w:p>
          <w:p w14:paraId="29B263CB">
            <w:pPr>
              <w:wordWrap w:val="0"/>
              <w:spacing w:line="400" w:lineRule="exact"/>
              <w:rPr>
                <w:rFonts w:ascii="Times New Roman" w:hAnsi="Times New Roman"/>
                <w:b/>
                <w:szCs w:val="21"/>
              </w:rPr>
            </w:pPr>
          </w:p>
          <w:p w14:paraId="1593C014">
            <w:pPr>
              <w:wordWrap w:val="0"/>
              <w:spacing w:line="400" w:lineRule="exact"/>
              <w:rPr>
                <w:rFonts w:ascii="Times New Roman" w:hAnsi="Times New Roman"/>
                <w:b/>
                <w:szCs w:val="21"/>
              </w:rPr>
            </w:pPr>
          </w:p>
          <w:p w14:paraId="00A62343">
            <w:pPr>
              <w:wordWrap w:val="0"/>
              <w:spacing w:line="400" w:lineRule="exact"/>
              <w:rPr>
                <w:rFonts w:ascii="Times New Roman" w:hAnsi="Times New Roman"/>
                <w:b/>
                <w:szCs w:val="21"/>
              </w:rPr>
            </w:pPr>
          </w:p>
          <w:p w14:paraId="7142D9BE">
            <w:pPr>
              <w:wordWrap w:val="0"/>
              <w:spacing w:line="400" w:lineRule="exact"/>
              <w:rPr>
                <w:rFonts w:ascii="Times New Roman" w:hAnsi="Times New Roman"/>
                <w:b/>
                <w:szCs w:val="21"/>
              </w:rPr>
            </w:pPr>
          </w:p>
          <w:p w14:paraId="4C225AA2">
            <w:pPr>
              <w:wordWrap w:val="0"/>
              <w:spacing w:line="400" w:lineRule="exact"/>
              <w:rPr>
                <w:rFonts w:ascii="Times New Roman" w:hAnsi="Times New Roman"/>
                <w:b/>
                <w:szCs w:val="21"/>
              </w:rPr>
            </w:pPr>
          </w:p>
          <w:p w14:paraId="0B21596F">
            <w:pPr>
              <w:wordWrap w:val="0"/>
              <w:spacing w:line="400" w:lineRule="exact"/>
              <w:rPr>
                <w:rFonts w:ascii="Times New Roman" w:hAnsi="Times New Roman"/>
                <w:b/>
                <w:szCs w:val="21"/>
              </w:rPr>
            </w:pPr>
          </w:p>
          <w:p w14:paraId="6D33CBCE">
            <w:pPr>
              <w:wordWrap w:val="0"/>
              <w:spacing w:line="400" w:lineRule="exact"/>
              <w:rPr>
                <w:rFonts w:ascii="Times New Roman" w:hAnsi="Times New Roman"/>
                <w:b/>
                <w:szCs w:val="21"/>
              </w:rPr>
            </w:pPr>
          </w:p>
          <w:p w14:paraId="05EBC089">
            <w:pPr>
              <w:wordWrap w:val="0"/>
              <w:spacing w:line="400" w:lineRule="exact"/>
              <w:rPr>
                <w:rFonts w:ascii="Times New Roman" w:hAnsi="Times New Roman"/>
                <w:b/>
                <w:szCs w:val="21"/>
              </w:rPr>
            </w:pPr>
          </w:p>
          <w:p w14:paraId="32396065">
            <w:pPr>
              <w:wordWrap w:val="0"/>
              <w:spacing w:line="400" w:lineRule="exact"/>
              <w:rPr>
                <w:rFonts w:ascii="Times New Roman" w:hAnsi="Times New Roman"/>
                <w:b/>
                <w:szCs w:val="21"/>
              </w:rPr>
            </w:pPr>
          </w:p>
          <w:p w14:paraId="00A1D5BF">
            <w:pPr>
              <w:wordWrap w:val="0"/>
              <w:spacing w:line="400" w:lineRule="exact"/>
              <w:rPr>
                <w:rFonts w:ascii="Times New Roman" w:hAnsi="Times New Roman"/>
                <w:b/>
                <w:szCs w:val="21"/>
              </w:rPr>
            </w:pPr>
          </w:p>
          <w:p w14:paraId="5B57734A">
            <w:pPr>
              <w:wordWrap w:val="0"/>
              <w:spacing w:line="400" w:lineRule="exact"/>
              <w:jc w:val="center"/>
              <w:rPr>
                <w:rFonts w:ascii="Times New Roman" w:hAnsi="Times New Roman"/>
                <w:bCs/>
                <w:szCs w:val="21"/>
              </w:rPr>
            </w:pPr>
            <w:r>
              <w:rPr>
                <w:rFonts w:ascii="Times New Roman" w:hAnsi="Times New Roman"/>
                <w:bCs/>
                <w:szCs w:val="21"/>
              </w:rPr>
              <w:t>课程群建设工作组组长签字：</w:t>
            </w:r>
          </w:p>
          <w:p w14:paraId="3BE6DB8D">
            <w:pPr>
              <w:wordWrap w:val="0"/>
              <w:spacing w:line="400" w:lineRule="exact"/>
              <w:jc w:val="right"/>
              <w:rPr>
                <w:rFonts w:ascii="Times New Roman" w:hAnsi="Times New Roman"/>
                <w:b/>
                <w:sz w:val="24"/>
              </w:rPr>
            </w:pPr>
            <w:r>
              <w:rPr>
                <w:rFonts w:ascii="Times New Roman" w:hAnsi="Times New Roman"/>
                <w:bCs/>
                <w:szCs w:val="21"/>
              </w:rPr>
              <w:t>日期：年  月   日</w:t>
            </w:r>
          </w:p>
        </w:tc>
      </w:tr>
    </w:tbl>
    <w:p w14:paraId="01FFE642">
      <w:pPr>
        <w:widowControl/>
        <w:jc w:val="left"/>
        <w:rPr>
          <w:rFonts w:ascii="Times New Roman" w:hAnsi="Times New Roman"/>
          <w:b/>
          <w:bCs/>
          <w:sz w:val="32"/>
          <w:szCs w:val="32"/>
        </w:rPr>
      </w:pPr>
    </w:p>
    <w:sectPr>
      <w:footerReference r:id="rId3"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ZXBSJW--GB1-0">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NewRomanPS-BoldMT">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2779600"/>
      <w:docPartObj>
        <w:docPartGallery w:val="autotext"/>
      </w:docPartObj>
    </w:sdtPr>
    <w:sdtContent>
      <w:p w14:paraId="5FD6BA8C">
        <w:pPr>
          <w:pStyle w:val="9"/>
          <w:jc w:val="right"/>
        </w:pPr>
        <w:r>
          <w:fldChar w:fldCharType="begin"/>
        </w:r>
        <w:r>
          <w:instrText xml:space="preserve">PAGE   \* MERGEFORMAT</w:instrText>
        </w:r>
        <w:r>
          <w:fldChar w:fldCharType="separate"/>
        </w:r>
        <w:r>
          <w:rPr>
            <w:lang w:val="zh-CN"/>
          </w:rPr>
          <w:t>6</w:t>
        </w:r>
        <w:r>
          <w:fldChar w:fldCharType="end"/>
        </w:r>
      </w:p>
    </w:sdtContent>
  </w:sdt>
  <w:p w14:paraId="76D82BED">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yMDRjMTAxMTQwZmZlMzBkOTVmN2RiNDYwODc4MjUifQ=="/>
  </w:docVars>
  <w:rsids>
    <w:rsidRoot w:val="006D3ED4"/>
    <w:rsid w:val="00011DA4"/>
    <w:rsid w:val="00024095"/>
    <w:rsid w:val="00030251"/>
    <w:rsid w:val="00030694"/>
    <w:rsid w:val="00044235"/>
    <w:rsid w:val="00045FA2"/>
    <w:rsid w:val="0004770C"/>
    <w:rsid w:val="00056D2F"/>
    <w:rsid w:val="00061DC8"/>
    <w:rsid w:val="00067E8C"/>
    <w:rsid w:val="0007085F"/>
    <w:rsid w:val="0007634A"/>
    <w:rsid w:val="000915A0"/>
    <w:rsid w:val="000A0CEA"/>
    <w:rsid w:val="000C4369"/>
    <w:rsid w:val="000C6535"/>
    <w:rsid w:val="000D3470"/>
    <w:rsid w:val="000E38C3"/>
    <w:rsid w:val="000E55C2"/>
    <w:rsid w:val="000E71F3"/>
    <w:rsid w:val="00102A78"/>
    <w:rsid w:val="00113A93"/>
    <w:rsid w:val="00116E5B"/>
    <w:rsid w:val="001228C4"/>
    <w:rsid w:val="00132F43"/>
    <w:rsid w:val="00136CF1"/>
    <w:rsid w:val="001469D0"/>
    <w:rsid w:val="00154113"/>
    <w:rsid w:val="00171082"/>
    <w:rsid w:val="00172EF1"/>
    <w:rsid w:val="0019410E"/>
    <w:rsid w:val="001A26FD"/>
    <w:rsid w:val="001B05A1"/>
    <w:rsid w:val="001C726C"/>
    <w:rsid w:val="001C757A"/>
    <w:rsid w:val="001E767B"/>
    <w:rsid w:val="001F3EF7"/>
    <w:rsid w:val="0020113A"/>
    <w:rsid w:val="00202147"/>
    <w:rsid w:val="002027E4"/>
    <w:rsid w:val="00203511"/>
    <w:rsid w:val="00226589"/>
    <w:rsid w:val="00234222"/>
    <w:rsid w:val="00242EB1"/>
    <w:rsid w:val="00243BEB"/>
    <w:rsid w:val="00244862"/>
    <w:rsid w:val="0025336F"/>
    <w:rsid w:val="0025580A"/>
    <w:rsid w:val="002564B9"/>
    <w:rsid w:val="00277901"/>
    <w:rsid w:val="002820CD"/>
    <w:rsid w:val="0029367F"/>
    <w:rsid w:val="00297199"/>
    <w:rsid w:val="002A22CC"/>
    <w:rsid w:val="002B56BD"/>
    <w:rsid w:val="002C2818"/>
    <w:rsid w:val="002D4557"/>
    <w:rsid w:val="002E42A6"/>
    <w:rsid w:val="00305E91"/>
    <w:rsid w:val="00312FD0"/>
    <w:rsid w:val="0031413C"/>
    <w:rsid w:val="00340E2F"/>
    <w:rsid w:val="00363DCC"/>
    <w:rsid w:val="00385D3E"/>
    <w:rsid w:val="0039751E"/>
    <w:rsid w:val="003A0E43"/>
    <w:rsid w:val="003C1B87"/>
    <w:rsid w:val="003C6524"/>
    <w:rsid w:val="003D060E"/>
    <w:rsid w:val="003E56BA"/>
    <w:rsid w:val="003E75A1"/>
    <w:rsid w:val="004114AD"/>
    <w:rsid w:val="00422B7F"/>
    <w:rsid w:val="00425956"/>
    <w:rsid w:val="00434F71"/>
    <w:rsid w:val="00440B0F"/>
    <w:rsid w:val="0044442D"/>
    <w:rsid w:val="00452819"/>
    <w:rsid w:val="00456D84"/>
    <w:rsid w:val="004575F7"/>
    <w:rsid w:val="00474D88"/>
    <w:rsid w:val="004A15D0"/>
    <w:rsid w:val="004A2CAB"/>
    <w:rsid w:val="004E57F8"/>
    <w:rsid w:val="004E58F8"/>
    <w:rsid w:val="004F189E"/>
    <w:rsid w:val="004F6F1B"/>
    <w:rsid w:val="004F7A91"/>
    <w:rsid w:val="00503A69"/>
    <w:rsid w:val="0050548D"/>
    <w:rsid w:val="005228AF"/>
    <w:rsid w:val="00522EAA"/>
    <w:rsid w:val="0052622E"/>
    <w:rsid w:val="00526617"/>
    <w:rsid w:val="0054051A"/>
    <w:rsid w:val="00540800"/>
    <w:rsid w:val="00540F30"/>
    <w:rsid w:val="00545088"/>
    <w:rsid w:val="00551324"/>
    <w:rsid w:val="005567CE"/>
    <w:rsid w:val="00557B38"/>
    <w:rsid w:val="00561062"/>
    <w:rsid w:val="00566FA3"/>
    <w:rsid w:val="005677FF"/>
    <w:rsid w:val="00570AEB"/>
    <w:rsid w:val="00572123"/>
    <w:rsid w:val="005C371E"/>
    <w:rsid w:val="005C4EA4"/>
    <w:rsid w:val="005D0F93"/>
    <w:rsid w:val="005E2917"/>
    <w:rsid w:val="005E7042"/>
    <w:rsid w:val="00600CDA"/>
    <w:rsid w:val="006206E8"/>
    <w:rsid w:val="00624A45"/>
    <w:rsid w:val="00626E86"/>
    <w:rsid w:val="006317F7"/>
    <w:rsid w:val="00640222"/>
    <w:rsid w:val="00640756"/>
    <w:rsid w:val="00641CB2"/>
    <w:rsid w:val="0064325C"/>
    <w:rsid w:val="0065057B"/>
    <w:rsid w:val="00653BE7"/>
    <w:rsid w:val="00655BBF"/>
    <w:rsid w:val="0066259B"/>
    <w:rsid w:val="0066608B"/>
    <w:rsid w:val="00676E81"/>
    <w:rsid w:val="00694D92"/>
    <w:rsid w:val="0069635E"/>
    <w:rsid w:val="006D2DE0"/>
    <w:rsid w:val="006D3ED4"/>
    <w:rsid w:val="006E5545"/>
    <w:rsid w:val="00714ED9"/>
    <w:rsid w:val="007270E1"/>
    <w:rsid w:val="007275A9"/>
    <w:rsid w:val="00732861"/>
    <w:rsid w:val="00734C35"/>
    <w:rsid w:val="00736D9C"/>
    <w:rsid w:val="00737D81"/>
    <w:rsid w:val="00770496"/>
    <w:rsid w:val="00773FD6"/>
    <w:rsid w:val="0077493D"/>
    <w:rsid w:val="007808A1"/>
    <w:rsid w:val="00781BDB"/>
    <w:rsid w:val="0079203C"/>
    <w:rsid w:val="007B5672"/>
    <w:rsid w:val="007C1657"/>
    <w:rsid w:val="007D109B"/>
    <w:rsid w:val="007E3D15"/>
    <w:rsid w:val="007E6298"/>
    <w:rsid w:val="007E6964"/>
    <w:rsid w:val="007F1FAD"/>
    <w:rsid w:val="008022F5"/>
    <w:rsid w:val="00810A89"/>
    <w:rsid w:val="008205A8"/>
    <w:rsid w:val="00820B27"/>
    <w:rsid w:val="00823D39"/>
    <w:rsid w:val="0082435F"/>
    <w:rsid w:val="00825E61"/>
    <w:rsid w:val="00826E7A"/>
    <w:rsid w:val="00853C44"/>
    <w:rsid w:val="00854224"/>
    <w:rsid w:val="00860D8E"/>
    <w:rsid w:val="00870114"/>
    <w:rsid w:val="0087431B"/>
    <w:rsid w:val="00876DA9"/>
    <w:rsid w:val="008839AF"/>
    <w:rsid w:val="00890AB4"/>
    <w:rsid w:val="00895FD3"/>
    <w:rsid w:val="008B78D3"/>
    <w:rsid w:val="008D3033"/>
    <w:rsid w:val="008D32C9"/>
    <w:rsid w:val="008F5DD5"/>
    <w:rsid w:val="0091715C"/>
    <w:rsid w:val="00920CC1"/>
    <w:rsid w:val="00922238"/>
    <w:rsid w:val="00947E14"/>
    <w:rsid w:val="00956A5A"/>
    <w:rsid w:val="009661EF"/>
    <w:rsid w:val="009822EE"/>
    <w:rsid w:val="009824EE"/>
    <w:rsid w:val="009A03D0"/>
    <w:rsid w:val="009B3201"/>
    <w:rsid w:val="009C2746"/>
    <w:rsid w:val="009E1E01"/>
    <w:rsid w:val="009F3C10"/>
    <w:rsid w:val="00A010AB"/>
    <w:rsid w:val="00A07569"/>
    <w:rsid w:val="00A264B4"/>
    <w:rsid w:val="00A27345"/>
    <w:rsid w:val="00A318A9"/>
    <w:rsid w:val="00A62413"/>
    <w:rsid w:val="00A71197"/>
    <w:rsid w:val="00A9524F"/>
    <w:rsid w:val="00AC3412"/>
    <w:rsid w:val="00AC6FDC"/>
    <w:rsid w:val="00AD3E03"/>
    <w:rsid w:val="00AF26A1"/>
    <w:rsid w:val="00AF7CFA"/>
    <w:rsid w:val="00B01971"/>
    <w:rsid w:val="00B03C0E"/>
    <w:rsid w:val="00B047BD"/>
    <w:rsid w:val="00B12436"/>
    <w:rsid w:val="00B2139D"/>
    <w:rsid w:val="00B35763"/>
    <w:rsid w:val="00B36B5C"/>
    <w:rsid w:val="00B40BAC"/>
    <w:rsid w:val="00B40BBA"/>
    <w:rsid w:val="00B478C3"/>
    <w:rsid w:val="00B615A6"/>
    <w:rsid w:val="00B61EEB"/>
    <w:rsid w:val="00B775B1"/>
    <w:rsid w:val="00B82DFC"/>
    <w:rsid w:val="00B83269"/>
    <w:rsid w:val="00B96313"/>
    <w:rsid w:val="00BA3520"/>
    <w:rsid w:val="00BA3F69"/>
    <w:rsid w:val="00BB6EB2"/>
    <w:rsid w:val="00BC580F"/>
    <w:rsid w:val="00BC5B7C"/>
    <w:rsid w:val="00BD1364"/>
    <w:rsid w:val="00BD4156"/>
    <w:rsid w:val="00BD531F"/>
    <w:rsid w:val="00BD5D1A"/>
    <w:rsid w:val="00BE710E"/>
    <w:rsid w:val="00BE78C8"/>
    <w:rsid w:val="00BF0BE4"/>
    <w:rsid w:val="00BF3588"/>
    <w:rsid w:val="00BF5531"/>
    <w:rsid w:val="00C015B0"/>
    <w:rsid w:val="00C24CE0"/>
    <w:rsid w:val="00C24E19"/>
    <w:rsid w:val="00C26963"/>
    <w:rsid w:val="00C276D4"/>
    <w:rsid w:val="00C31CAC"/>
    <w:rsid w:val="00C34F03"/>
    <w:rsid w:val="00C36CF2"/>
    <w:rsid w:val="00C36D45"/>
    <w:rsid w:val="00C41A17"/>
    <w:rsid w:val="00C77859"/>
    <w:rsid w:val="00C92F9A"/>
    <w:rsid w:val="00CA07FE"/>
    <w:rsid w:val="00CA2677"/>
    <w:rsid w:val="00CA6D05"/>
    <w:rsid w:val="00CB5731"/>
    <w:rsid w:val="00CC3383"/>
    <w:rsid w:val="00CC7D2D"/>
    <w:rsid w:val="00CD532C"/>
    <w:rsid w:val="00CF7054"/>
    <w:rsid w:val="00D20927"/>
    <w:rsid w:val="00D21721"/>
    <w:rsid w:val="00D26529"/>
    <w:rsid w:val="00D359A3"/>
    <w:rsid w:val="00D37787"/>
    <w:rsid w:val="00D458DA"/>
    <w:rsid w:val="00D770A0"/>
    <w:rsid w:val="00D7725F"/>
    <w:rsid w:val="00D85C87"/>
    <w:rsid w:val="00D92BE8"/>
    <w:rsid w:val="00DA135C"/>
    <w:rsid w:val="00DC29B8"/>
    <w:rsid w:val="00DD25B5"/>
    <w:rsid w:val="00DE15AB"/>
    <w:rsid w:val="00DF706A"/>
    <w:rsid w:val="00E07A3E"/>
    <w:rsid w:val="00E10242"/>
    <w:rsid w:val="00E16643"/>
    <w:rsid w:val="00E22691"/>
    <w:rsid w:val="00E47357"/>
    <w:rsid w:val="00E7286E"/>
    <w:rsid w:val="00E74317"/>
    <w:rsid w:val="00E90297"/>
    <w:rsid w:val="00E90B85"/>
    <w:rsid w:val="00E95209"/>
    <w:rsid w:val="00E955BF"/>
    <w:rsid w:val="00E978C2"/>
    <w:rsid w:val="00EA1A47"/>
    <w:rsid w:val="00EC2F6B"/>
    <w:rsid w:val="00EC4369"/>
    <w:rsid w:val="00EC5611"/>
    <w:rsid w:val="00EC7DC2"/>
    <w:rsid w:val="00ED7B78"/>
    <w:rsid w:val="00EE0CEA"/>
    <w:rsid w:val="00EF10B9"/>
    <w:rsid w:val="00EF22F1"/>
    <w:rsid w:val="00EF5F86"/>
    <w:rsid w:val="00EF7D9E"/>
    <w:rsid w:val="00F0066B"/>
    <w:rsid w:val="00F27A39"/>
    <w:rsid w:val="00F32399"/>
    <w:rsid w:val="00F44F21"/>
    <w:rsid w:val="00F649C2"/>
    <w:rsid w:val="00F723BC"/>
    <w:rsid w:val="00F90592"/>
    <w:rsid w:val="00F96141"/>
    <w:rsid w:val="00FB304B"/>
    <w:rsid w:val="00FB3BD1"/>
    <w:rsid w:val="00FC55A8"/>
    <w:rsid w:val="00FF3E7B"/>
    <w:rsid w:val="00FF725B"/>
    <w:rsid w:val="0110366D"/>
    <w:rsid w:val="013B1C68"/>
    <w:rsid w:val="026223A4"/>
    <w:rsid w:val="07AF406D"/>
    <w:rsid w:val="08976622"/>
    <w:rsid w:val="0B2746D4"/>
    <w:rsid w:val="0E016F15"/>
    <w:rsid w:val="1D475157"/>
    <w:rsid w:val="21500258"/>
    <w:rsid w:val="21FD2683"/>
    <w:rsid w:val="23C31C75"/>
    <w:rsid w:val="23F724F4"/>
    <w:rsid w:val="29A17FD4"/>
    <w:rsid w:val="2C3A1B18"/>
    <w:rsid w:val="316B581E"/>
    <w:rsid w:val="35BE642B"/>
    <w:rsid w:val="3D600CB3"/>
    <w:rsid w:val="40ED76DE"/>
    <w:rsid w:val="44274B9F"/>
    <w:rsid w:val="4C1C24CE"/>
    <w:rsid w:val="54FA5F0F"/>
    <w:rsid w:val="56503B63"/>
    <w:rsid w:val="57FE73DD"/>
    <w:rsid w:val="5BA142A2"/>
    <w:rsid w:val="5C695BB6"/>
    <w:rsid w:val="5FAA6092"/>
    <w:rsid w:val="68913747"/>
    <w:rsid w:val="6A137AA5"/>
    <w:rsid w:val="6B4B024C"/>
    <w:rsid w:val="6D8A3A8F"/>
    <w:rsid w:val="6D9A2898"/>
    <w:rsid w:val="70AC7790"/>
    <w:rsid w:val="77C3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3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1"/>
    <w:unhideWhenUsed/>
    <w:qFormat/>
    <w:uiPriority w:val="99"/>
    <w:pPr>
      <w:jc w:val="left"/>
    </w:pPr>
    <w:rPr>
      <w:rFonts w:asciiTheme="minorHAnsi" w:hAnsiTheme="minorHAnsi" w:eastAsiaTheme="minorEastAsia" w:cstheme="minorBidi"/>
      <w:szCs w:val="22"/>
    </w:rPr>
  </w:style>
  <w:style w:type="paragraph" w:styleId="5">
    <w:name w:val="Body Text Indent"/>
    <w:basedOn w:val="1"/>
    <w:link w:val="18"/>
    <w:qFormat/>
    <w:uiPriority w:val="0"/>
    <w:pPr>
      <w:ind w:firstLine="560" w:firstLineChars="200"/>
    </w:pPr>
    <w:rPr>
      <w:sz w:val="28"/>
    </w:rPr>
  </w:style>
  <w:style w:type="paragraph" w:styleId="6">
    <w:name w:val="toc 3"/>
    <w:basedOn w:val="1"/>
    <w:next w:val="1"/>
    <w:semiHidden/>
    <w:unhideWhenUsed/>
    <w:qFormat/>
    <w:uiPriority w:val="39"/>
    <w:pPr>
      <w:widowControl/>
      <w:spacing w:after="100" w:line="276" w:lineRule="auto"/>
      <w:ind w:left="440"/>
      <w:jc w:val="left"/>
    </w:pPr>
    <w:rPr>
      <w:rFonts w:asciiTheme="minorHAnsi" w:hAnsiTheme="minorHAnsi" w:eastAsiaTheme="minorEastAsia" w:cstheme="minorBidi"/>
      <w:kern w:val="0"/>
      <w:sz w:val="22"/>
      <w:szCs w:val="22"/>
    </w:rPr>
  </w:style>
  <w:style w:type="paragraph" w:styleId="7">
    <w:name w:val="Plain Text"/>
    <w:basedOn w:val="1"/>
    <w:link w:val="17"/>
    <w:unhideWhenUsed/>
    <w:qFormat/>
    <w:uiPriority w:val="99"/>
    <w:rPr>
      <w:rFonts w:ascii="宋体" w:hAnsi="Courier New" w:cs="Courier New"/>
      <w:szCs w:val="21"/>
    </w:rPr>
  </w:style>
  <w:style w:type="paragraph" w:styleId="8">
    <w:name w:val="Balloon Text"/>
    <w:basedOn w:val="1"/>
    <w:link w:val="21"/>
    <w:semiHidden/>
    <w:unhideWhenUsed/>
    <w:qFormat/>
    <w:uiPriority w:val="99"/>
    <w:rPr>
      <w:sz w:val="18"/>
      <w:szCs w:val="18"/>
    </w:rPr>
  </w:style>
  <w:style w:type="paragraph" w:styleId="9">
    <w:name w:val="footer"/>
    <w:basedOn w:val="1"/>
    <w:link w:val="23"/>
    <w:unhideWhenUsed/>
    <w:qFormat/>
    <w:uiPriority w:val="99"/>
    <w:pPr>
      <w:tabs>
        <w:tab w:val="center" w:pos="4153"/>
        <w:tab w:val="right" w:pos="8306"/>
      </w:tabs>
      <w:snapToGrid w:val="0"/>
      <w:jc w:val="left"/>
    </w:pPr>
    <w:rPr>
      <w:sz w:val="18"/>
      <w:szCs w:val="18"/>
    </w:rPr>
  </w:style>
  <w:style w:type="paragraph" w:styleId="10">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nhideWhenUsed/>
    <w:qFormat/>
    <w:uiPriority w:val="39"/>
    <w:pPr>
      <w:widowControl/>
      <w:spacing w:after="100" w:line="276" w:lineRule="auto"/>
      <w:jc w:val="left"/>
    </w:pPr>
    <w:rPr>
      <w:rFonts w:asciiTheme="minorHAnsi" w:hAnsiTheme="minorHAnsi" w:eastAsiaTheme="minorEastAsia" w:cstheme="minorBidi"/>
      <w:kern w:val="0"/>
      <w:sz w:val="22"/>
      <w:szCs w:val="22"/>
    </w:rPr>
  </w:style>
  <w:style w:type="paragraph" w:styleId="12">
    <w:name w:val="toc 2"/>
    <w:basedOn w:val="1"/>
    <w:next w:val="1"/>
    <w:unhideWhenUsed/>
    <w:qFormat/>
    <w:uiPriority w:val="39"/>
    <w:pPr>
      <w:widowControl/>
      <w:spacing w:after="100" w:line="276" w:lineRule="auto"/>
      <w:ind w:left="220"/>
      <w:jc w:val="left"/>
    </w:pPr>
    <w:rPr>
      <w:rFonts w:asciiTheme="minorHAnsi" w:hAnsiTheme="minorHAnsi" w:eastAsiaTheme="minorEastAsia" w:cstheme="minorBidi"/>
      <w:kern w:val="0"/>
      <w:sz w:val="22"/>
      <w:szCs w:val="22"/>
    </w:rPr>
  </w:style>
  <w:style w:type="table" w:styleId="14">
    <w:name w:val="Table Grid"/>
    <w:basedOn w:val="13"/>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000FF" w:themeColor="hyperlink"/>
      <w:u w:val="single"/>
      <w14:textFill>
        <w14:solidFill>
          <w14:schemeClr w14:val="hlink"/>
        </w14:solidFill>
      </w14:textFill>
    </w:rPr>
  </w:style>
  <w:style w:type="character" w:customStyle="1" w:styleId="17">
    <w:name w:val="纯文本 Char"/>
    <w:basedOn w:val="15"/>
    <w:link w:val="7"/>
    <w:qFormat/>
    <w:uiPriority w:val="99"/>
    <w:rPr>
      <w:rFonts w:ascii="宋体" w:hAnsi="Courier New" w:eastAsia="宋体" w:cs="Courier New"/>
      <w:szCs w:val="21"/>
    </w:rPr>
  </w:style>
  <w:style w:type="character" w:customStyle="1" w:styleId="18">
    <w:name w:val="正文文本缩进 Char"/>
    <w:basedOn w:val="15"/>
    <w:link w:val="5"/>
    <w:qFormat/>
    <w:uiPriority w:val="0"/>
    <w:rPr>
      <w:rFonts w:ascii="Calibri" w:hAnsi="Calibri" w:eastAsia="宋体" w:cs="Times New Roman"/>
      <w:sz w:val="28"/>
      <w:szCs w:val="24"/>
    </w:rPr>
  </w:style>
  <w:style w:type="paragraph" w:styleId="19">
    <w:name w:val="List Paragraph"/>
    <w:basedOn w:val="1"/>
    <w:qFormat/>
    <w:uiPriority w:val="34"/>
    <w:pPr>
      <w:ind w:firstLine="420" w:firstLineChars="200"/>
    </w:pPr>
  </w:style>
  <w:style w:type="paragraph" w:customStyle="1" w:styleId="20">
    <w:name w:val="p0"/>
    <w:basedOn w:val="1"/>
    <w:qFormat/>
    <w:uiPriority w:val="99"/>
    <w:pPr>
      <w:widowControl/>
    </w:pPr>
    <w:rPr>
      <w:kern w:val="0"/>
      <w:szCs w:val="21"/>
    </w:rPr>
  </w:style>
  <w:style w:type="character" w:customStyle="1" w:styleId="21">
    <w:name w:val="批注框文本 Char"/>
    <w:basedOn w:val="15"/>
    <w:link w:val="8"/>
    <w:semiHidden/>
    <w:qFormat/>
    <w:uiPriority w:val="99"/>
    <w:rPr>
      <w:rFonts w:ascii="Calibri" w:hAnsi="Calibri" w:eastAsia="宋体" w:cs="Times New Roman"/>
      <w:sz w:val="18"/>
      <w:szCs w:val="18"/>
    </w:rPr>
  </w:style>
  <w:style w:type="character" w:customStyle="1" w:styleId="22">
    <w:name w:val="页眉 Char"/>
    <w:basedOn w:val="15"/>
    <w:link w:val="10"/>
    <w:qFormat/>
    <w:uiPriority w:val="99"/>
    <w:rPr>
      <w:rFonts w:ascii="Calibri" w:hAnsi="Calibri" w:eastAsia="宋体" w:cs="Times New Roman"/>
      <w:kern w:val="2"/>
      <w:sz w:val="18"/>
      <w:szCs w:val="18"/>
    </w:rPr>
  </w:style>
  <w:style w:type="character" w:customStyle="1" w:styleId="23">
    <w:name w:val="页脚 Char"/>
    <w:basedOn w:val="15"/>
    <w:link w:val="9"/>
    <w:qFormat/>
    <w:uiPriority w:val="99"/>
    <w:rPr>
      <w:rFonts w:ascii="Calibri" w:hAnsi="Calibri" w:eastAsia="宋体" w:cs="Times New Roman"/>
      <w:kern w:val="2"/>
      <w:sz w:val="18"/>
      <w:szCs w:val="18"/>
    </w:rPr>
  </w:style>
  <w:style w:type="paragraph" w:customStyle="1" w:styleId="24">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character" w:customStyle="1" w:styleId="25">
    <w:name w:val="fontstyle01"/>
    <w:basedOn w:val="15"/>
    <w:qFormat/>
    <w:uiPriority w:val="0"/>
    <w:rPr>
      <w:rFonts w:hint="eastAsia" w:ascii="黑体" w:hAnsi="黑体" w:eastAsia="黑体"/>
      <w:color w:val="000000"/>
      <w:sz w:val="32"/>
      <w:szCs w:val="32"/>
    </w:rPr>
  </w:style>
  <w:style w:type="character" w:customStyle="1" w:styleId="26">
    <w:name w:val="fontstyle21"/>
    <w:basedOn w:val="15"/>
    <w:qFormat/>
    <w:uiPriority w:val="0"/>
    <w:rPr>
      <w:rFonts w:hint="default" w:ascii="FZXBSJW--GB1-0" w:hAnsi="FZXBSJW--GB1-0"/>
      <w:color w:val="000000"/>
      <w:sz w:val="36"/>
      <w:szCs w:val="36"/>
    </w:rPr>
  </w:style>
  <w:style w:type="character" w:customStyle="1" w:styleId="27">
    <w:name w:val="fontstyle31"/>
    <w:basedOn w:val="15"/>
    <w:qFormat/>
    <w:uiPriority w:val="0"/>
    <w:rPr>
      <w:rFonts w:hint="eastAsia" w:ascii="仿宋_GB2312" w:eastAsia="仿宋_GB2312"/>
      <w:color w:val="000000"/>
      <w:sz w:val="32"/>
      <w:szCs w:val="32"/>
    </w:rPr>
  </w:style>
  <w:style w:type="character" w:customStyle="1" w:styleId="28">
    <w:name w:val="fontstyle41"/>
    <w:basedOn w:val="15"/>
    <w:qFormat/>
    <w:uiPriority w:val="0"/>
    <w:rPr>
      <w:rFonts w:hint="eastAsia" w:ascii="宋体" w:hAnsi="宋体" w:eastAsia="宋体"/>
      <w:color w:val="000000"/>
      <w:sz w:val="24"/>
      <w:szCs w:val="24"/>
    </w:rPr>
  </w:style>
  <w:style w:type="character" w:customStyle="1" w:styleId="29">
    <w:name w:val="fontstyle51"/>
    <w:basedOn w:val="15"/>
    <w:qFormat/>
    <w:uiPriority w:val="0"/>
    <w:rPr>
      <w:rFonts w:hint="default" w:ascii="TimesNewRomanPS-BoldMT" w:hAnsi="TimesNewRomanPS-BoldMT"/>
      <w:b/>
      <w:bCs/>
      <w:color w:val="000000"/>
      <w:sz w:val="24"/>
      <w:szCs w:val="24"/>
    </w:rPr>
  </w:style>
  <w:style w:type="paragraph" w:customStyle="1" w:styleId="30">
    <w:name w:val="888"/>
    <w:basedOn w:val="1"/>
    <w:qFormat/>
    <w:uiPriority w:val="0"/>
    <w:pPr>
      <w:widowControl/>
      <w:snapToGrid w:val="0"/>
      <w:spacing w:before="240" w:after="120" w:line="400" w:lineRule="exact"/>
      <w:jc w:val="center"/>
    </w:pPr>
    <w:rPr>
      <w:szCs w:val="38"/>
    </w:rPr>
  </w:style>
  <w:style w:type="character" w:customStyle="1" w:styleId="31">
    <w:name w:val="批注文字 Char"/>
    <w:basedOn w:val="15"/>
    <w:link w:val="4"/>
    <w:qFormat/>
    <w:uiPriority w:val="99"/>
    <w:rPr>
      <w:kern w:val="2"/>
      <w:sz w:val="21"/>
      <w:szCs w:val="22"/>
    </w:rPr>
  </w:style>
  <w:style w:type="character" w:styleId="32">
    <w:name w:val="Placeholder Text"/>
    <w:basedOn w:val="15"/>
    <w:unhideWhenUsed/>
    <w:qFormat/>
    <w:uiPriority w:val="99"/>
    <w:rPr>
      <w:color w:val="808080"/>
    </w:rPr>
  </w:style>
  <w:style w:type="character" w:customStyle="1" w:styleId="33">
    <w:name w:val="标题 1 Char"/>
    <w:basedOn w:val="15"/>
    <w:link w:val="2"/>
    <w:qFormat/>
    <w:uiPriority w:val="9"/>
    <w:rPr>
      <w:rFonts w:ascii="Calibri" w:hAnsi="Calibri" w:eastAsia="宋体" w:cs="Times New Roman"/>
      <w:b/>
      <w:bCs/>
      <w:kern w:val="44"/>
      <w:sz w:val="44"/>
      <w:szCs w:val="44"/>
    </w:rPr>
  </w:style>
  <w:style w:type="paragraph" w:customStyle="1" w:styleId="34">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5">
    <w:name w:val="标题 2 Char"/>
    <w:basedOn w:val="15"/>
    <w:link w:val="3"/>
    <w:qFormat/>
    <w:uiPriority w:val="9"/>
    <w:rPr>
      <w:rFonts w:asciiTheme="majorHAnsi" w:hAnsiTheme="majorHAnsi" w:eastAsiaTheme="majorEastAsia" w:cstheme="majorBidi"/>
      <w:b/>
      <w:bCs/>
      <w:kern w:val="2"/>
      <w:sz w:val="32"/>
      <w:szCs w:val="32"/>
    </w:rPr>
  </w:style>
  <w:style w:type="character" w:customStyle="1" w:styleId="36">
    <w:name w:val="Char Char9"/>
    <w:qFormat/>
    <w:uiPriority w:val="0"/>
    <w:rPr>
      <w:rFonts w:ascii="Tahoma" w:hAnsi="Arial" w:eastAsia="宋体"/>
      <w:shadow/>
      <w:sz w:val="28"/>
      <w:szCs w:val="28"/>
      <w:lang w:val="zh-CN" w:eastAsia="zh-CN" w:bidi="ar-SA"/>
    </w:rPr>
  </w:style>
  <w:style w:type="character" w:customStyle="1" w:styleId="37">
    <w:name w:val="font21"/>
    <w:basedOn w:val="15"/>
    <w:uiPriority w:val="0"/>
    <w:rPr>
      <w:rFonts w:hint="eastAsia" w:ascii="宋体" w:hAnsi="宋体" w:eastAsia="宋体" w:cs="宋体"/>
      <w:color w:val="000000"/>
      <w:sz w:val="21"/>
      <w:szCs w:val="21"/>
      <w:u w:val="none"/>
    </w:rPr>
  </w:style>
  <w:style w:type="character" w:customStyle="1" w:styleId="38">
    <w:name w:val="font51"/>
    <w:basedOn w:val="15"/>
    <w:qFormat/>
    <w:uiPriority w:val="0"/>
    <w:rPr>
      <w:rFonts w:hint="default" w:ascii="Times New Roman" w:hAnsi="Times New Roman" w:cs="Times New Roman"/>
      <w:i/>
      <w:iCs/>
      <w:color w:val="000000"/>
      <w:sz w:val="21"/>
      <w:szCs w:val="21"/>
      <w:u w:val="none"/>
    </w:rPr>
  </w:style>
  <w:style w:type="character" w:customStyle="1" w:styleId="39">
    <w:name w:val="font31"/>
    <w:basedOn w:val="15"/>
    <w:qFormat/>
    <w:uiPriority w:val="0"/>
    <w:rPr>
      <w:rFonts w:hint="default" w:ascii="Times New Roman" w:hAnsi="Times New Roman" w:cs="Times New Roman"/>
      <w:color w:val="000000"/>
      <w:sz w:val="21"/>
      <w:szCs w:val="21"/>
      <w:u w:val="none"/>
    </w:rPr>
  </w:style>
  <w:style w:type="character" w:customStyle="1" w:styleId="40">
    <w:name w:val="font41"/>
    <w:basedOn w:val="15"/>
    <w:qFormat/>
    <w:uiPriority w:val="0"/>
    <w:rPr>
      <w:rFonts w:hint="default" w:ascii="Times New Roman" w:hAnsi="Times New Roman" w:cs="Times New Roman"/>
      <w:i/>
      <w:i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2025-2026\&#31227;&#21160;&#24212;&#29992;&#24320;&#21457;\&#24402;&#26723;\&#35745;&#31185;22&#12298;&#31227;&#21160;&#24212;&#29992;&#24320;&#21457;&#12299;&#35838;&#31243;&#36798;&#25104;&#35780;&#20215;&#34920;&#26684;4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课程目标达成评价结果</a:t>
            </a:r>
            <a:endParaRPr lang="zh-CN" altLang="en-US" sz="1080" b="1"/>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delete val="1"/>
          </c:dLbls>
          <c:cat>
            <c:strRef>
              <c:f>[计科22《移动应用开发》课程达成评价表格48.xlsx]Sheet1!$B$7:$B$10</c:f>
              <c:strCache>
                <c:ptCount val="4"/>
                <c:pt idx="0">
                  <c:v>课程目标1</c:v>
                </c:pt>
                <c:pt idx="1">
                  <c:v>课程目标2</c:v>
                </c:pt>
                <c:pt idx="2">
                  <c:v>课程目标3</c:v>
                </c:pt>
                <c:pt idx="3">
                  <c:v>课程目标4</c:v>
                </c:pt>
              </c:strCache>
            </c:strRef>
          </c:cat>
          <c:val>
            <c:numRef>
              <c:f>[计科22《移动应用开发》课程达成评价表格48.xlsx]Sheet1!$C$7:$C$10</c:f>
              <c:numCache>
                <c:formatCode>0.00_ </c:formatCode>
                <c:ptCount val="4"/>
                <c:pt idx="0">
                  <c:v>0.82</c:v>
                </c:pt>
                <c:pt idx="1">
                  <c:v>0.82</c:v>
                </c:pt>
                <c:pt idx="2">
                  <c:v>0.61</c:v>
                </c:pt>
                <c:pt idx="3">
                  <c:v>0.75</c:v>
                </c:pt>
              </c:numCache>
            </c:numRef>
          </c:val>
        </c:ser>
        <c:dLbls>
          <c:showLegendKey val="0"/>
          <c:showVal val="0"/>
          <c:showCatName val="0"/>
          <c:showSerName val="0"/>
          <c:showPercent val="0"/>
          <c:showBubbleSize val="0"/>
        </c:dLbls>
        <c:gapWidth val="300"/>
        <c:axId val="244286592"/>
        <c:axId val="244288896"/>
      </c:barChart>
      <c:catAx>
        <c:axId val="244286592"/>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课程目标</a:t>
                </a:r>
                <a:endParaRPr lang="zh-CN" altLang="en-US" sz="900" b="1"/>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4288896"/>
        <c:crosses val="autoZero"/>
        <c:auto val="1"/>
        <c:lblAlgn val="ctr"/>
        <c:lblOffset val="100"/>
        <c:noMultiLvlLbl val="0"/>
      </c:catAx>
      <c:valAx>
        <c:axId val="244288896"/>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a:t>达成度</a:t>
                </a:r>
                <a:endParaRPr lang="zh-CN" altLang="en-US" sz="900"/>
              </a:p>
            </c:rich>
          </c:tx>
          <c:layout/>
          <c:overlay val="0"/>
          <c:spPr>
            <a:noFill/>
            <a:ln>
              <a:noFill/>
            </a:ln>
            <a:effectLst/>
          </c:spPr>
        </c:title>
        <c:numFmt formatCode="0.00_ " sourceLinked="1"/>
        <c:majorTickMark val="none"/>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4286592"/>
        <c:crosses val="autoZero"/>
        <c:crossBetween val="between"/>
      </c:valAx>
      <c:spPr>
        <a:noFill/>
        <a:ln>
          <a:noFill/>
        </a:ln>
        <a:effectLst/>
      </c:spPr>
    </c:plotArea>
    <c:plotVisOnly val="1"/>
    <c:dispBlanksAs val="gap"/>
    <c:showDLblsOverMax val="0"/>
    <c:extLst>
      <c:ext uri="{0b15fc19-7d7d-44ad-8c2d-2c3a37ce22c3}">
        <chartProps xmlns="https://web.wps.cn/et/2018/main" chartId="{73db9af5-0680-4655-bead-dfca110bf7d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1</a:t>
            </a:r>
            <a:r>
              <a:rPr lang="zh-CN" altLang="en-US" sz="1080" b="1"/>
              <a:t>达成评价结果</a:t>
            </a:r>
            <a:endParaRPr lang="zh-CN" altLang="en-US" sz="1080" b="1"/>
          </a:p>
        </c:rich>
      </c:tx>
      <c:layout>
        <c:manualLayout>
          <c:xMode val="edge"/>
          <c:yMode val="edge"/>
          <c:x val="0.316383924521455"/>
          <c:y val="0.0797975866095757"/>
        </c:manualLayout>
      </c:layout>
      <c:overlay val="1"/>
      <c:spPr>
        <a:noFill/>
        <a:ln>
          <a:noFill/>
        </a:ln>
        <a:effectLst/>
      </c:spPr>
    </c:title>
    <c:autoTitleDeleted val="0"/>
    <c:plotArea>
      <c:layout>
        <c:manualLayout>
          <c:layoutTarget val="inner"/>
          <c:xMode val="edge"/>
          <c:yMode val="edge"/>
          <c:x val="0.122741775772912"/>
          <c:y val="0.178116791270964"/>
          <c:w val="0.871537022774783"/>
          <c:h val="0.695271772075167"/>
        </c:manualLayout>
      </c:layout>
      <c:lineChart>
        <c:grouping val="standard"/>
        <c:varyColors val="0"/>
        <c:ser>
          <c:idx val="1"/>
          <c:order val="1"/>
          <c:tx>
            <c:strRef>
              <c:f>"平均达成度(0.7)"</c:f>
              <c:strCache>
                <c:ptCount val="1"/>
                <c:pt idx="0">
                  <c:v>平均达成度(0.7)</c:v>
                </c:pt>
              </c:strCache>
            </c:strRef>
          </c:tx>
          <c:spPr>
            <a:ln w="25400" cap="rnd" cmpd="sng" algn="ctr">
              <a:solidFill>
                <a:schemeClr val="accent2"/>
              </a:solidFill>
              <a:prstDash val="solid"/>
              <a:round/>
            </a:ln>
            <a:effectLst/>
          </c:spPr>
          <c:marker>
            <c:symbol val="none"/>
          </c:marker>
          <c:dLbls>
            <c:delete val="1"/>
          </c:dLbls>
          <c:cat>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'[计科22《移动应用开发》课程达成评价表格48.xlsx]Sheet2(1)'!$D$1:$D$48</c:f>
              <c:numCache>
                <c:formatCode>0.00_ </c:formatCode>
                <c:ptCount val="48"/>
                <c:pt idx="0">
                  <c:v>0.82</c:v>
                </c:pt>
                <c:pt idx="1">
                  <c:v>0.82</c:v>
                </c:pt>
                <c:pt idx="2">
                  <c:v>0.82</c:v>
                </c:pt>
                <c:pt idx="3">
                  <c:v>0.82</c:v>
                </c:pt>
                <c:pt idx="4">
                  <c:v>0.82</c:v>
                </c:pt>
                <c:pt idx="5">
                  <c:v>0.82</c:v>
                </c:pt>
                <c:pt idx="6">
                  <c:v>0.82</c:v>
                </c:pt>
                <c:pt idx="7">
                  <c:v>0.82</c:v>
                </c:pt>
                <c:pt idx="8">
                  <c:v>0.82</c:v>
                </c:pt>
                <c:pt idx="9">
                  <c:v>0.82</c:v>
                </c:pt>
                <c:pt idx="10">
                  <c:v>0.82</c:v>
                </c:pt>
                <c:pt idx="11">
                  <c:v>0.82</c:v>
                </c:pt>
                <c:pt idx="12">
                  <c:v>0.82</c:v>
                </c:pt>
                <c:pt idx="13">
                  <c:v>0.82</c:v>
                </c:pt>
                <c:pt idx="14">
                  <c:v>0.82</c:v>
                </c:pt>
                <c:pt idx="15">
                  <c:v>0.82</c:v>
                </c:pt>
                <c:pt idx="16">
                  <c:v>0.82</c:v>
                </c:pt>
                <c:pt idx="17">
                  <c:v>0.82</c:v>
                </c:pt>
                <c:pt idx="18">
                  <c:v>0.82</c:v>
                </c:pt>
                <c:pt idx="19">
                  <c:v>0.82</c:v>
                </c:pt>
                <c:pt idx="20">
                  <c:v>0.82</c:v>
                </c:pt>
                <c:pt idx="21">
                  <c:v>0.82</c:v>
                </c:pt>
                <c:pt idx="22">
                  <c:v>0.82</c:v>
                </c:pt>
                <c:pt idx="23">
                  <c:v>0.82</c:v>
                </c:pt>
                <c:pt idx="24">
                  <c:v>0.82</c:v>
                </c:pt>
                <c:pt idx="25">
                  <c:v>0.82</c:v>
                </c:pt>
                <c:pt idx="26">
                  <c:v>0.82</c:v>
                </c:pt>
                <c:pt idx="27">
                  <c:v>0.82</c:v>
                </c:pt>
                <c:pt idx="28">
                  <c:v>0.82</c:v>
                </c:pt>
                <c:pt idx="29">
                  <c:v>0.82</c:v>
                </c:pt>
                <c:pt idx="30">
                  <c:v>0.82</c:v>
                </c:pt>
                <c:pt idx="31">
                  <c:v>0.82</c:v>
                </c:pt>
                <c:pt idx="32">
                  <c:v>0.82</c:v>
                </c:pt>
                <c:pt idx="33">
                  <c:v>0.82</c:v>
                </c:pt>
                <c:pt idx="34">
                  <c:v>0.82</c:v>
                </c:pt>
                <c:pt idx="35">
                  <c:v>0.82</c:v>
                </c:pt>
                <c:pt idx="36">
                  <c:v>0.82</c:v>
                </c:pt>
                <c:pt idx="37">
                  <c:v>0.82</c:v>
                </c:pt>
                <c:pt idx="38">
                  <c:v>0.82</c:v>
                </c:pt>
                <c:pt idx="39">
                  <c:v>0.82</c:v>
                </c:pt>
                <c:pt idx="40">
                  <c:v>0.82</c:v>
                </c:pt>
                <c:pt idx="41">
                  <c:v>0.82</c:v>
                </c:pt>
                <c:pt idx="42">
                  <c:v>0.82</c:v>
                </c:pt>
                <c:pt idx="43">
                  <c:v>0.82</c:v>
                </c:pt>
                <c:pt idx="44">
                  <c:v>0.82</c:v>
                </c:pt>
                <c:pt idx="45">
                  <c:v>0.82</c:v>
                </c:pt>
                <c:pt idx="46">
                  <c:v>0.82</c:v>
                </c:pt>
                <c:pt idx="47">
                  <c:v>0.82</c:v>
                </c:pt>
              </c:numCache>
            </c:numRef>
          </c:val>
          <c:smooth val="0"/>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dLbls>
            <c:delete val="1"/>
          </c:dLbls>
          <c:cat>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'[计科22《移动应用开发》课程达成评价表格48.xlsx]Sheet2(1)'!$E$1:$E$48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ser>
        <c:dLbls>
          <c:showLegendKey val="0"/>
          <c:showVal val="0"/>
          <c:showCatName val="0"/>
          <c:showSerName val="0"/>
          <c:showPercent val="0"/>
          <c:showBubbleSize val="0"/>
        </c:dLbls>
        <c:marker val="0"/>
        <c:smooth val="0"/>
        <c:axId val="245223808"/>
        <c:axId val="251851136"/>
      </c:lineChart>
      <c:scatterChart>
        <c:scatterStyle val="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'[计科22《移动应用开发》课程达成评价表格48.xlsx]Sheet2(1)'!$B$1:$B$48</c:f>
              <c:numCache>
                <c:formatCode>General</c:formatCode>
                <c:ptCount val="48"/>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'[计科22《移动应用开发》课程达成评价表格48.xlsx]Sheet2(1)'!$C$1:$C$48</c:f>
              <c:numCache>
                <c:formatCode>0.00_ </c:formatCode>
                <c:ptCount val="48"/>
                <c:pt idx="0">
                  <c:v>0.748</c:v>
                </c:pt>
                <c:pt idx="1">
                  <c:v>0.812</c:v>
                </c:pt>
                <c:pt idx="2">
                  <c:v>0.773</c:v>
                </c:pt>
                <c:pt idx="3">
                  <c:v>0.923</c:v>
                </c:pt>
                <c:pt idx="4">
                  <c:v>0.862</c:v>
                </c:pt>
                <c:pt idx="5">
                  <c:v>0.838</c:v>
                </c:pt>
                <c:pt idx="6">
                  <c:v>0.697</c:v>
                </c:pt>
                <c:pt idx="7">
                  <c:v>0.888</c:v>
                </c:pt>
                <c:pt idx="8">
                  <c:v>0.848</c:v>
                </c:pt>
                <c:pt idx="9">
                  <c:v>0.932</c:v>
                </c:pt>
                <c:pt idx="10">
                  <c:v>0.898</c:v>
                </c:pt>
                <c:pt idx="11">
                  <c:v>0.863</c:v>
                </c:pt>
                <c:pt idx="12">
                  <c:v>0.912</c:v>
                </c:pt>
                <c:pt idx="13">
                  <c:v>0.877</c:v>
                </c:pt>
                <c:pt idx="14">
                  <c:v>0.832</c:v>
                </c:pt>
                <c:pt idx="15">
                  <c:v>0.838</c:v>
                </c:pt>
                <c:pt idx="16">
                  <c:v>0.51</c:v>
                </c:pt>
                <c:pt idx="17">
                  <c:v>0.8205</c:v>
                </c:pt>
                <c:pt idx="18">
                  <c:v>0.879</c:v>
                </c:pt>
                <c:pt idx="19">
                  <c:v>0.73</c:v>
                </c:pt>
                <c:pt idx="20">
                  <c:v>0.883</c:v>
                </c:pt>
                <c:pt idx="21">
                  <c:v>0.817</c:v>
                </c:pt>
                <c:pt idx="22">
                  <c:v>0.828</c:v>
                </c:pt>
                <c:pt idx="23">
                  <c:v>0.876</c:v>
                </c:pt>
                <c:pt idx="24">
                  <c:v>0.797</c:v>
                </c:pt>
                <c:pt idx="25">
                  <c:v>0.858</c:v>
                </c:pt>
                <c:pt idx="26">
                  <c:v>0.768</c:v>
                </c:pt>
                <c:pt idx="27">
                  <c:v>0.797</c:v>
                </c:pt>
                <c:pt idx="28">
                  <c:v>0.816</c:v>
                </c:pt>
                <c:pt idx="29">
                  <c:v>0.867</c:v>
                </c:pt>
                <c:pt idx="30">
                  <c:v>0.73</c:v>
                </c:pt>
                <c:pt idx="31">
                  <c:v>0.868</c:v>
                </c:pt>
                <c:pt idx="32">
                  <c:v>0.886</c:v>
                </c:pt>
                <c:pt idx="33">
                  <c:v>0.808</c:v>
                </c:pt>
                <c:pt idx="34">
                  <c:v>0.917</c:v>
                </c:pt>
                <c:pt idx="35">
                  <c:v>0.773</c:v>
                </c:pt>
                <c:pt idx="36">
                  <c:v>0.861</c:v>
                </c:pt>
                <c:pt idx="37">
                  <c:v>0.8225</c:v>
                </c:pt>
                <c:pt idx="38">
                  <c:v>0.853</c:v>
                </c:pt>
                <c:pt idx="39">
                  <c:v>0.648</c:v>
                </c:pt>
                <c:pt idx="40">
                  <c:v>0.8665</c:v>
                </c:pt>
                <c:pt idx="41">
                  <c:v>0.703</c:v>
                </c:pt>
                <c:pt idx="42">
                  <c:v>0.75</c:v>
                </c:pt>
                <c:pt idx="43">
                  <c:v>0.832</c:v>
                </c:pt>
                <c:pt idx="44">
                  <c:v>0.732</c:v>
                </c:pt>
                <c:pt idx="45">
                  <c:v>0.789</c:v>
                </c:pt>
                <c:pt idx="46">
                  <c:v>0.798</c:v>
                </c:pt>
                <c:pt idx="47">
                  <c:v>0.9145</c:v>
                </c:pt>
              </c:numCache>
            </c:numRef>
          </c:yVal>
          <c:smooth val="0"/>
        </c:ser>
        <c:dLbls>
          <c:showLegendKey val="0"/>
          <c:showVal val="0"/>
          <c:showCatName val="0"/>
          <c:showSerName val="0"/>
          <c:showPercent val="0"/>
          <c:showBubbleSize val="0"/>
        </c:dLbls>
        <c:axId val="245223808"/>
        <c:axId val="251851136"/>
      </c:scatterChart>
      <c:catAx>
        <c:axId val="245223808"/>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endParaRPr lang="zh-CN" altLang="en-US" sz="900" b="1"/>
              </a:p>
            </c:rich>
          </c:tx>
          <c:layout>
            <c:manualLayout>
              <c:xMode val="edge"/>
              <c:yMode val="edge"/>
              <c:x val="0.457404636054652"/>
              <c:y val="0.8163592622293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251851136"/>
        <c:crosses val="autoZero"/>
        <c:auto val="1"/>
        <c:lblAlgn val="ctr"/>
        <c:lblOffset val="10"/>
        <c:tickLblSkip val="3"/>
        <c:noMultiLvlLbl val="0"/>
      </c:catAx>
      <c:valAx>
        <c:axId val="25185113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endParaRPr lang="zh-CN" altLang="en-US" sz="900" b="1"/>
              </a:p>
            </c:rich>
          </c:tx>
          <c:layout>
            <c:manualLayout>
              <c:xMode val="edge"/>
              <c:yMode val="edge"/>
              <c:x val="0.0246314496314496"/>
              <c:y val="0.501694938735973"/>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245223808"/>
        <c:crosses val="autoZero"/>
        <c:crossBetween val="between"/>
        <c:dispUnits>
          <c:builtInUnit val="hundredThousands"/>
          <c:dispUnitsLbl>
            <c:layout/>
            <c:txPr>
              <a:bodyPr rot="-5400000" spcFirstLastPara="0" vertOverflow="ellipsis" vert="horz" wrap="square" anchor="ctr" anchorCtr="1">
                <a:spAutoFit/>
              </a:bodyPr>
              <a:lstStyle/>
              <a:p>
                <a:pPr>
                  <a:defRPr lang="zh-CN" sz="900" b="1" i="0" u="none" strike="noStrike" kern="1200" baseline="0">
                    <a:solidFill>
                      <a:schemeClr val="tx1"/>
                    </a:solidFill>
                    <a:latin typeface="+mn-lt"/>
                    <a:ea typeface="+mn-ea"/>
                    <a:cs typeface="+mn-cs"/>
                  </a:defRPr>
                </a:pPr>
              </a:p>
            </c:txPr>
          </c:dispUnitsLbl>
        </c:dispUnits>
      </c:valAx>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2"/>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ayout>
        <c:manualLayout>
          <c:xMode val="edge"/>
          <c:yMode val="edge"/>
          <c:x val="0.147199174635872"/>
          <c:y val="0.672898063865866"/>
          <c:w val="0.62759684296471"/>
          <c:h val="0.0440134194616692"/>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
    <c:plotVisOnly val="0"/>
    <c:dispBlanksAs val="gap"/>
    <c:showDLblsOverMax val="0"/>
    <c:extLst>
      <c:ext uri="{0b15fc19-7d7d-44ad-8c2d-2c3a37ce22c3}">
        <chartProps xmlns="https://web.wps.cn/et/2018/main" chartId="{d82679b6-efd1-4bd3-af42-e7e7c9b11f6f}"/>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2</a:t>
            </a:r>
            <a:r>
              <a:rPr lang="zh-CN" altLang="en-US" sz="1080" b="1"/>
              <a:t>达成评价结果</a:t>
            </a:r>
            <a:endParaRPr lang="zh-CN" altLang="en-US" sz="1080" b="1"/>
          </a:p>
        </c:rich>
      </c:tx>
      <c:layout>
        <c:manualLayout>
          <c:xMode val="edge"/>
          <c:yMode val="edge"/>
          <c:x val="0.316383924521455"/>
          <c:y val="0.0797975866095757"/>
        </c:manualLayout>
      </c:layout>
      <c:overlay val="1"/>
      <c:spPr>
        <a:noFill/>
        <a:ln>
          <a:noFill/>
        </a:ln>
        <a:effectLst/>
      </c:spPr>
    </c:title>
    <c:autoTitleDeleted val="0"/>
    <c:plotArea>
      <c:layout>
        <c:manualLayout>
          <c:layoutTarget val="inner"/>
          <c:xMode val="edge"/>
          <c:yMode val="edge"/>
          <c:x val="0.108358623694821"/>
          <c:y val="0.180584250592282"/>
          <c:w val="0.871537022774783"/>
          <c:h val="0.695271772075167"/>
        </c:manualLayout>
      </c:layout>
      <c:lineChart>
        <c:grouping val="standard"/>
        <c:varyColors val="0"/>
        <c:ser>
          <c:idx val="1"/>
          <c:order val="1"/>
          <c:tx>
            <c:strRef>
              <c:f>"平均达成度(0.76)"</c:f>
              <c:strCache>
                <c:ptCount val="1"/>
                <c:pt idx="0">
                  <c:v>平均达成度(0.76)</c:v>
                </c:pt>
              </c:strCache>
            </c:strRef>
          </c:tx>
          <c:spPr>
            <a:ln w="25400" cap="rnd" cmpd="sng" algn="ctr">
              <a:solidFill>
                <a:schemeClr val="accent2"/>
              </a:solidFill>
              <a:prstDash val="solid"/>
              <a:round/>
            </a:ln>
            <a:effectLst/>
          </c:spPr>
          <c:marker>
            <c:symbol val="none"/>
          </c:marker>
          <c:dLbls>
            <c:delete val="1"/>
          </c:dLbls>
          <c:cat>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'[计科22《移动应用开发》课程达成评价表格48.xlsx]Sheet2(2)'!$D$1:$D$48</c:f>
              <c:numCache>
                <c:formatCode>0.00_ </c:formatCode>
                <c:ptCount val="48"/>
                <c:pt idx="0">
                  <c:v>0.82</c:v>
                </c:pt>
                <c:pt idx="1">
                  <c:v>0.82</c:v>
                </c:pt>
                <c:pt idx="2">
                  <c:v>0.82</c:v>
                </c:pt>
                <c:pt idx="3">
                  <c:v>0.82</c:v>
                </c:pt>
                <c:pt idx="4">
                  <c:v>0.82</c:v>
                </c:pt>
                <c:pt idx="5">
                  <c:v>0.82</c:v>
                </c:pt>
                <c:pt idx="6">
                  <c:v>0.82</c:v>
                </c:pt>
                <c:pt idx="7">
                  <c:v>0.82</c:v>
                </c:pt>
                <c:pt idx="8">
                  <c:v>0.82</c:v>
                </c:pt>
                <c:pt idx="9">
                  <c:v>0.82</c:v>
                </c:pt>
                <c:pt idx="10">
                  <c:v>0.82</c:v>
                </c:pt>
                <c:pt idx="11">
                  <c:v>0.82</c:v>
                </c:pt>
                <c:pt idx="12">
                  <c:v>0.82</c:v>
                </c:pt>
                <c:pt idx="13">
                  <c:v>0.82</c:v>
                </c:pt>
                <c:pt idx="14">
                  <c:v>0.82</c:v>
                </c:pt>
                <c:pt idx="15">
                  <c:v>0.82</c:v>
                </c:pt>
                <c:pt idx="16">
                  <c:v>0.82</c:v>
                </c:pt>
                <c:pt idx="17">
                  <c:v>0.82</c:v>
                </c:pt>
                <c:pt idx="18">
                  <c:v>0.82</c:v>
                </c:pt>
                <c:pt idx="19">
                  <c:v>0.82</c:v>
                </c:pt>
                <c:pt idx="20">
                  <c:v>0.82</c:v>
                </c:pt>
                <c:pt idx="21">
                  <c:v>0.82</c:v>
                </c:pt>
                <c:pt idx="22">
                  <c:v>0.82</c:v>
                </c:pt>
                <c:pt idx="23">
                  <c:v>0.82</c:v>
                </c:pt>
                <c:pt idx="24">
                  <c:v>0.82</c:v>
                </c:pt>
                <c:pt idx="25">
                  <c:v>0.82</c:v>
                </c:pt>
                <c:pt idx="26">
                  <c:v>0.82</c:v>
                </c:pt>
                <c:pt idx="27">
                  <c:v>0.82</c:v>
                </c:pt>
                <c:pt idx="28">
                  <c:v>0.82</c:v>
                </c:pt>
                <c:pt idx="29">
                  <c:v>0.82</c:v>
                </c:pt>
                <c:pt idx="30">
                  <c:v>0.82</c:v>
                </c:pt>
                <c:pt idx="31">
                  <c:v>0.82</c:v>
                </c:pt>
                <c:pt idx="32">
                  <c:v>0.82</c:v>
                </c:pt>
                <c:pt idx="33">
                  <c:v>0.82</c:v>
                </c:pt>
                <c:pt idx="34">
                  <c:v>0.82</c:v>
                </c:pt>
                <c:pt idx="35">
                  <c:v>0.82</c:v>
                </c:pt>
                <c:pt idx="36">
                  <c:v>0.82</c:v>
                </c:pt>
                <c:pt idx="37">
                  <c:v>0.82</c:v>
                </c:pt>
                <c:pt idx="38">
                  <c:v>0.82</c:v>
                </c:pt>
                <c:pt idx="39">
                  <c:v>0.82</c:v>
                </c:pt>
                <c:pt idx="40">
                  <c:v>0.82</c:v>
                </c:pt>
                <c:pt idx="41">
                  <c:v>0.82</c:v>
                </c:pt>
                <c:pt idx="42">
                  <c:v>0.82</c:v>
                </c:pt>
                <c:pt idx="43">
                  <c:v>0.82</c:v>
                </c:pt>
                <c:pt idx="44">
                  <c:v>0.82</c:v>
                </c:pt>
                <c:pt idx="45">
                  <c:v>0.82</c:v>
                </c:pt>
                <c:pt idx="46">
                  <c:v>0.82</c:v>
                </c:pt>
                <c:pt idx="47">
                  <c:v>0.82</c:v>
                </c:pt>
              </c:numCache>
            </c:numRef>
          </c:val>
          <c:smooth val="0"/>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dLbls>
            <c:delete val="1"/>
          </c:dLbls>
          <c:cat>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'[计科22《移动应用开发》课程达成评价表格48.xlsx]Sheet2(2)'!$E$1:$E$48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ser>
        <c:dLbls>
          <c:showLegendKey val="0"/>
          <c:showVal val="0"/>
          <c:showCatName val="0"/>
          <c:showSerName val="0"/>
          <c:showPercent val="0"/>
          <c:showBubbleSize val="0"/>
        </c:dLbls>
        <c:marker val="0"/>
        <c:smooth val="0"/>
        <c:axId val="243681536"/>
        <c:axId val="243684096"/>
      </c:lineChart>
      <c:scatterChart>
        <c:scatterStyle val="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'[计科22《移动应用开发》课程达成评价表格48.xlsx]Sheet2(2)'!$B$1:$B$50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'[计科22《移动应用开发》课程达成评价表格48.xlsx]Sheet2(2)'!$C$1:$C$48</c:f>
              <c:numCache>
                <c:formatCode>0.00_ </c:formatCode>
                <c:ptCount val="48"/>
                <c:pt idx="0">
                  <c:v>0.765</c:v>
                </c:pt>
                <c:pt idx="1">
                  <c:v>0.818</c:v>
                </c:pt>
                <c:pt idx="2">
                  <c:v>0.742</c:v>
                </c:pt>
                <c:pt idx="3">
                  <c:v>0.91</c:v>
                </c:pt>
                <c:pt idx="4">
                  <c:v>0.85</c:v>
                </c:pt>
                <c:pt idx="5">
                  <c:v>0.888</c:v>
                </c:pt>
                <c:pt idx="6">
                  <c:v>0.692</c:v>
                </c:pt>
                <c:pt idx="7">
                  <c:v>0.8655</c:v>
                </c:pt>
                <c:pt idx="8">
                  <c:v>0.799</c:v>
                </c:pt>
                <c:pt idx="9">
                  <c:v>0.918</c:v>
                </c:pt>
                <c:pt idx="10">
                  <c:v>0.9275</c:v>
                </c:pt>
                <c:pt idx="11">
                  <c:v>0.787</c:v>
                </c:pt>
                <c:pt idx="12">
                  <c:v>0.904</c:v>
                </c:pt>
                <c:pt idx="13">
                  <c:v>0.8955</c:v>
                </c:pt>
                <c:pt idx="14">
                  <c:v>0.823</c:v>
                </c:pt>
                <c:pt idx="15">
                  <c:v>0.87</c:v>
                </c:pt>
                <c:pt idx="16">
                  <c:v>0.35</c:v>
                </c:pt>
                <c:pt idx="17">
                  <c:v>0.8</c:v>
                </c:pt>
                <c:pt idx="18">
                  <c:v>0.898</c:v>
                </c:pt>
                <c:pt idx="19">
                  <c:v>0.77</c:v>
                </c:pt>
                <c:pt idx="20">
                  <c:v>0.9</c:v>
                </c:pt>
                <c:pt idx="21">
                  <c:v>0.869</c:v>
                </c:pt>
                <c:pt idx="22">
                  <c:v>0.8405</c:v>
                </c:pt>
                <c:pt idx="23">
                  <c:v>0.913</c:v>
                </c:pt>
                <c:pt idx="24">
                  <c:v>0.804</c:v>
                </c:pt>
                <c:pt idx="25">
                  <c:v>0.853</c:v>
                </c:pt>
                <c:pt idx="26">
                  <c:v>0.772</c:v>
                </c:pt>
                <c:pt idx="27">
                  <c:v>0.852</c:v>
                </c:pt>
                <c:pt idx="28">
                  <c:v>0.806</c:v>
                </c:pt>
                <c:pt idx="29">
                  <c:v>0.904</c:v>
                </c:pt>
                <c:pt idx="30">
                  <c:v>0.776</c:v>
                </c:pt>
                <c:pt idx="31">
                  <c:v>0.827</c:v>
                </c:pt>
                <c:pt idx="32">
                  <c:v>0.82</c:v>
                </c:pt>
                <c:pt idx="33">
                  <c:v>0.84</c:v>
                </c:pt>
                <c:pt idx="34">
                  <c:v>0.884</c:v>
                </c:pt>
                <c:pt idx="35">
                  <c:v>0.832</c:v>
                </c:pt>
                <c:pt idx="36">
                  <c:v>0.893</c:v>
                </c:pt>
                <c:pt idx="37">
                  <c:v>0.8385</c:v>
                </c:pt>
                <c:pt idx="38">
                  <c:v>0.829</c:v>
                </c:pt>
                <c:pt idx="39">
                  <c:v>0.718</c:v>
                </c:pt>
                <c:pt idx="40">
                  <c:v>0.862</c:v>
                </c:pt>
                <c:pt idx="41">
                  <c:v>0.714</c:v>
                </c:pt>
                <c:pt idx="42">
                  <c:v>0.842</c:v>
                </c:pt>
                <c:pt idx="43">
                  <c:v>0.838</c:v>
                </c:pt>
                <c:pt idx="44">
                  <c:v>0.777</c:v>
                </c:pt>
                <c:pt idx="45">
                  <c:v>0.761</c:v>
                </c:pt>
                <c:pt idx="46">
                  <c:v>0.836</c:v>
                </c:pt>
                <c:pt idx="47">
                  <c:v>0.887</c:v>
                </c:pt>
              </c:numCache>
            </c:numRef>
          </c:yVal>
          <c:smooth val="0"/>
        </c:ser>
        <c:dLbls>
          <c:showLegendKey val="0"/>
          <c:showVal val="0"/>
          <c:showCatName val="0"/>
          <c:showSerName val="0"/>
          <c:showPercent val="0"/>
          <c:showBubbleSize val="0"/>
        </c:dLbls>
        <c:axId val="243681536"/>
        <c:axId val="243684096"/>
      </c:scatterChart>
      <c:catAx>
        <c:axId val="243681536"/>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endParaRPr lang="zh-CN" altLang="en-US" sz="900" b="1"/>
              </a:p>
            </c:rich>
          </c:tx>
          <c:layout>
            <c:manualLayout>
              <c:xMode val="edge"/>
              <c:yMode val="edge"/>
              <c:x val="0.448228575285155"/>
              <c:y val="0.81643072638663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243684096"/>
        <c:crosses val="autoZero"/>
        <c:auto val="1"/>
        <c:lblAlgn val="ctr"/>
        <c:lblOffset val="100"/>
        <c:tickLblSkip val="3"/>
        <c:noMultiLvlLbl val="0"/>
      </c:catAx>
      <c:valAx>
        <c:axId val="2436840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endParaRPr lang="zh-CN" altLang="en-US" sz="900" b="1"/>
              </a:p>
            </c:rich>
          </c:tx>
          <c:layout>
            <c:manualLayout>
              <c:xMode val="edge"/>
              <c:yMode val="edge"/>
              <c:x val="0.0130253133448022"/>
              <c:y val="0.439460888155965"/>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243681536"/>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165318895103991"/>
          <c:y val="0.663540553848467"/>
          <c:w val="0.62759684296471"/>
          <c:h val="0.044013419461669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2d209cbd-4a8d-4421-a85e-189b7913423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3</a:t>
            </a:r>
            <a:r>
              <a:rPr lang="zh-CN" altLang="en-US" sz="1080" b="1"/>
              <a:t>达成评价结果</a:t>
            </a:r>
            <a:endParaRPr lang="zh-CN" altLang="en-US" sz="1080" b="1"/>
          </a:p>
        </c:rich>
      </c:tx>
      <c:layout>
        <c:manualLayout>
          <c:xMode val="edge"/>
          <c:yMode val="edge"/>
          <c:x val="0.316383924521455"/>
          <c:y val="0.0797975866095757"/>
        </c:manualLayout>
      </c:layout>
      <c:overlay val="1"/>
      <c:spPr>
        <a:noFill/>
        <a:ln>
          <a:noFill/>
        </a:ln>
        <a:effectLst/>
      </c:spPr>
    </c:title>
    <c:autoTitleDeleted val="0"/>
    <c:plotArea>
      <c:layout>
        <c:manualLayout>
          <c:layoutTarget val="inner"/>
          <c:xMode val="edge"/>
          <c:yMode val="edge"/>
          <c:x val="0.108358623694821"/>
          <c:y val="0.180584250592282"/>
          <c:w val="0.871537022774783"/>
          <c:h val="0.695271772075167"/>
        </c:manualLayout>
      </c:layout>
      <c:lineChart>
        <c:grouping val="standard"/>
        <c:varyColors val="0"/>
        <c:ser>
          <c:idx val="1"/>
          <c:order val="1"/>
          <c:tx>
            <c:strRef>
              <c:f>"平均达成度(0.71)"</c:f>
              <c:strCache>
                <c:ptCount val="1"/>
                <c:pt idx="0">
                  <c:v>平均达成度(0.71)</c:v>
                </c:pt>
              </c:strCache>
            </c:strRef>
          </c:tx>
          <c:spPr>
            <a:ln w="25400" cap="rnd" cmpd="sng" algn="ctr">
              <a:solidFill>
                <a:schemeClr val="accent2"/>
              </a:solidFill>
              <a:prstDash val="solid"/>
              <a:round/>
            </a:ln>
            <a:effectLst/>
          </c:spPr>
          <c:marker>
            <c:symbol val="none"/>
          </c:marker>
          <c:dLbls>
            <c:delete val="1"/>
          </c:dLbls>
          <c:cat>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'[计科22《移动应用开发》课程达成评价表格48.xlsx]Sheet2(3)'!$D$1:$D$48</c:f>
              <c:numCache>
                <c:formatCode>0.00_ </c:formatCode>
                <c:ptCount val="48"/>
                <c:pt idx="0">
                  <c:v>0.61</c:v>
                </c:pt>
                <c:pt idx="1">
                  <c:v>0.61</c:v>
                </c:pt>
                <c:pt idx="2">
                  <c:v>0.61</c:v>
                </c:pt>
                <c:pt idx="3">
                  <c:v>0.61</c:v>
                </c:pt>
                <c:pt idx="4">
                  <c:v>0.61</c:v>
                </c:pt>
                <c:pt idx="5">
                  <c:v>0.61</c:v>
                </c:pt>
                <c:pt idx="6">
                  <c:v>0.61</c:v>
                </c:pt>
                <c:pt idx="7">
                  <c:v>0.61</c:v>
                </c:pt>
                <c:pt idx="8">
                  <c:v>0.61</c:v>
                </c:pt>
                <c:pt idx="9">
                  <c:v>0.61</c:v>
                </c:pt>
                <c:pt idx="10">
                  <c:v>0.61</c:v>
                </c:pt>
                <c:pt idx="11">
                  <c:v>0.61</c:v>
                </c:pt>
                <c:pt idx="12">
                  <c:v>0.61</c:v>
                </c:pt>
                <c:pt idx="13">
                  <c:v>0.61</c:v>
                </c:pt>
                <c:pt idx="14">
                  <c:v>0.61</c:v>
                </c:pt>
                <c:pt idx="15">
                  <c:v>0.61</c:v>
                </c:pt>
                <c:pt idx="16">
                  <c:v>0.61</c:v>
                </c:pt>
                <c:pt idx="17">
                  <c:v>0.61</c:v>
                </c:pt>
                <c:pt idx="18">
                  <c:v>0.61</c:v>
                </c:pt>
                <c:pt idx="19">
                  <c:v>0.61</c:v>
                </c:pt>
                <c:pt idx="20">
                  <c:v>0.61</c:v>
                </c:pt>
                <c:pt idx="21">
                  <c:v>0.61</c:v>
                </c:pt>
                <c:pt idx="22">
                  <c:v>0.61</c:v>
                </c:pt>
                <c:pt idx="23">
                  <c:v>0.61</c:v>
                </c:pt>
                <c:pt idx="24">
                  <c:v>0.61</c:v>
                </c:pt>
                <c:pt idx="25">
                  <c:v>0.61</c:v>
                </c:pt>
                <c:pt idx="26">
                  <c:v>0.61</c:v>
                </c:pt>
                <c:pt idx="27">
                  <c:v>0.61</c:v>
                </c:pt>
                <c:pt idx="28">
                  <c:v>0.61</c:v>
                </c:pt>
                <c:pt idx="29">
                  <c:v>0.61</c:v>
                </c:pt>
                <c:pt idx="30">
                  <c:v>0.61</c:v>
                </c:pt>
                <c:pt idx="31">
                  <c:v>0.61</c:v>
                </c:pt>
                <c:pt idx="32">
                  <c:v>0.61</c:v>
                </c:pt>
                <c:pt idx="33">
                  <c:v>0.61</c:v>
                </c:pt>
                <c:pt idx="34">
                  <c:v>0.61</c:v>
                </c:pt>
                <c:pt idx="35">
                  <c:v>0.61</c:v>
                </c:pt>
                <c:pt idx="36">
                  <c:v>0.61</c:v>
                </c:pt>
                <c:pt idx="37">
                  <c:v>0.61</c:v>
                </c:pt>
                <c:pt idx="38">
                  <c:v>0.61</c:v>
                </c:pt>
                <c:pt idx="39">
                  <c:v>0.61</c:v>
                </c:pt>
                <c:pt idx="40">
                  <c:v>0.61</c:v>
                </c:pt>
                <c:pt idx="41">
                  <c:v>0.61</c:v>
                </c:pt>
                <c:pt idx="42">
                  <c:v>0.61</c:v>
                </c:pt>
                <c:pt idx="43">
                  <c:v>0.61</c:v>
                </c:pt>
                <c:pt idx="44">
                  <c:v>0.61</c:v>
                </c:pt>
                <c:pt idx="45">
                  <c:v>0.61</c:v>
                </c:pt>
                <c:pt idx="46">
                  <c:v>0.61</c:v>
                </c:pt>
                <c:pt idx="47">
                  <c:v>0.61</c:v>
                </c:pt>
              </c:numCache>
            </c:numRef>
          </c:val>
          <c:smooth val="0"/>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dLbls>
            <c:delete val="1"/>
          </c:dLbls>
          <c:cat>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'[计科22《移动应用开发》课程达成评价表格48.xlsx]Sheet2(3)'!$E$1:$E$48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ser>
        <c:dLbls>
          <c:showLegendKey val="0"/>
          <c:showVal val="0"/>
          <c:showCatName val="0"/>
          <c:showSerName val="0"/>
          <c:showPercent val="0"/>
          <c:showBubbleSize val="0"/>
        </c:dLbls>
        <c:marker val="0"/>
        <c:smooth val="0"/>
        <c:axId val="419916032"/>
        <c:axId val="420528896"/>
      </c:lineChart>
      <c:scatterChart>
        <c:scatterStyle val="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'[计科22《移动应用开发》课程达成评价表格48.xlsx]Sheet2(3)'!$B$1:$B$50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'[计科22《移动应用开发》课程达成评价表格48.xlsx]Sheet2(3)'!$C$1:$C$48</c:f>
              <c:numCache>
                <c:formatCode>0.00_ </c:formatCode>
                <c:ptCount val="48"/>
                <c:pt idx="0">
                  <c:v>0.57</c:v>
                </c:pt>
                <c:pt idx="1">
                  <c:v>0.475</c:v>
                </c:pt>
                <c:pt idx="2">
                  <c:v>0.475</c:v>
                </c:pt>
                <c:pt idx="3">
                  <c:v>0.715</c:v>
                </c:pt>
                <c:pt idx="4">
                  <c:v>0.7375</c:v>
                </c:pt>
                <c:pt idx="5">
                  <c:v>0.67</c:v>
                </c:pt>
                <c:pt idx="6">
                  <c:v>0.575</c:v>
                </c:pt>
                <c:pt idx="7">
                  <c:v>0.66</c:v>
                </c:pt>
                <c:pt idx="8">
                  <c:v>0.585</c:v>
                </c:pt>
                <c:pt idx="9">
                  <c:v>0.71</c:v>
                </c:pt>
                <c:pt idx="10">
                  <c:v>0.71</c:v>
                </c:pt>
                <c:pt idx="11">
                  <c:v>0.575</c:v>
                </c:pt>
                <c:pt idx="12">
                  <c:v>0.675</c:v>
                </c:pt>
                <c:pt idx="13">
                  <c:v>0.695</c:v>
                </c:pt>
                <c:pt idx="14">
                  <c:v>0.625</c:v>
                </c:pt>
                <c:pt idx="15">
                  <c:v>0.655</c:v>
                </c:pt>
                <c:pt idx="16">
                  <c:v>0.4</c:v>
                </c:pt>
                <c:pt idx="17">
                  <c:v>0.595</c:v>
                </c:pt>
                <c:pt idx="18">
                  <c:v>0.57</c:v>
                </c:pt>
                <c:pt idx="19">
                  <c:v>0.515</c:v>
                </c:pt>
                <c:pt idx="20">
                  <c:v>0.685</c:v>
                </c:pt>
                <c:pt idx="21">
                  <c:v>0.6</c:v>
                </c:pt>
                <c:pt idx="22">
                  <c:v>0.605</c:v>
                </c:pt>
                <c:pt idx="23">
                  <c:v>0.7</c:v>
                </c:pt>
                <c:pt idx="24">
                  <c:v>0.5725</c:v>
                </c:pt>
                <c:pt idx="25">
                  <c:v>0.65</c:v>
                </c:pt>
                <c:pt idx="26">
                  <c:v>0.55</c:v>
                </c:pt>
                <c:pt idx="27">
                  <c:v>0.59</c:v>
                </c:pt>
                <c:pt idx="28">
                  <c:v>0.63</c:v>
                </c:pt>
                <c:pt idx="29">
                  <c:v>0.705</c:v>
                </c:pt>
                <c:pt idx="30">
                  <c:v>0.55</c:v>
                </c:pt>
                <c:pt idx="31">
                  <c:v>0.62</c:v>
                </c:pt>
                <c:pt idx="32">
                  <c:v>0.63</c:v>
                </c:pt>
                <c:pt idx="33">
                  <c:v>0.62</c:v>
                </c:pt>
                <c:pt idx="34">
                  <c:v>0.705</c:v>
                </c:pt>
                <c:pt idx="35">
                  <c:v>0.595</c:v>
                </c:pt>
                <c:pt idx="36">
                  <c:v>0.665</c:v>
                </c:pt>
                <c:pt idx="37">
                  <c:v>0.64</c:v>
                </c:pt>
                <c:pt idx="38">
                  <c:v>0.64</c:v>
                </c:pt>
                <c:pt idx="39">
                  <c:v>0.505</c:v>
                </c:pt>
                <c:pt idx="40">
                  <c:v>0.625</c:v>
                </c:pt>
                <c:pt idx="41">
                  <c:v>0.55</c:v>
                </c:pt>
                <c:pt idx="42">
                  <c:v>0.615</c:v>
                </c:pt>
                <c:pt idx="43">
                  <c:v>0.575</c:v>
                </c:pt>
                <c:pt idx="44">
                  <c:v>0.49</c:v>
                </c:pt>
                <c:pt idx="45">
                  <c:v>0.495</c:v>
                </c:pt>
                <c:pt idx="46">
                  <c:v>0.525</c:v>
                </c:pt>
                <c:pt idx="47">
                  <c:v>0.725</c:v>
                </c:pt>
              </c:numCache>
            </c:numRef>
          </c:yVal>
          <c:smooth val="0"/>
        </c:ser>
        <c:dLbls>
          <c:showLegendKey val="0"/>
          <c:showVal val="0"/>
          <c:showCatName val="0"/>
          <c:showSerName val="0"/>
          <c:showPercent val="0"/>
          <c:showBubbleSize val="0"/>
        </c:dLbls>
        <c:axId val="419916032"/>
        <c:axId val="420528896"/>
      </c:scatterChart>
      <c:catAx>
        <c:axId val="419916032"/>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endParaRPr lang="zh-CN" altLang="en-US" sz="900" b="1"/>
              </a:p>
            </c:rich>
          </c:tx>
          <c:layout>
            <c:manualLayout>
              <c:xMode val="edge"/>
              <c:yMode val="edge"/>
              <c:x val="0.466783502785769"/>
              <c:y val="0.831764122893954"/>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420528896"/>
        <c:crosses val="autoZero"/>
        <c:auto val="1"/>
        <c:lblAlgn val="ctr"/>
        <c:lblOffset val="100"/>
        <c:tickLblSkip val="3"/>
        <c:noMultiLvlLbl val="0"/>
      </c:catAx>
      <c:valAx>
        <c:axId val="420528896"/>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endParaRPr lang="zh-CN" altLang="en-US" sz="900" b="1"/>
              </a:p>
            </c:rich>
          </c:tx>
          <c:layout>
            <c:manualLayout>
              <c:xMode val="edge"/>
              <c:yMode val="edge"/>
              <c:x val="0.018677807815188"/>
              <c:y val="0.428528633288482"/>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419916032"/>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161522542611566"/>
          <c:y val="0.742292475412794"/>
          <c:w val="0.62759684296471"/>
          <c:h val="0.044013419461669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4beb733f-a9bb-4435-b6c9-954a5556be7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mn-lt"/>
                <a:ea typeface="+mn-ea"/>
                <a:cs typeface="+mn-cs"/>
              </a:defRPr>
            </a:pPr>
            <a:r>
              <a:rPr lang="zh-CN" altLang="en-US" sz="1080" b="1"/>
              <a:t>学生个体课程目标</a:t>
            </a:r>
            <a:r>
              <a:rPr lang="en-US" altLang="zh-CN" sz="1080" b="1"/>
              <a:t>4</a:t>
            </a:r>
            <a:r>
              <a:rPr lang="zh-CN" altLang="en-US" sz="1080" b="1"/>
              <a:t>达成评价结果</a:t>
            </a:r>
            <a:endParaRPr lang="zh-CN" altLang="en-US" sz="1080" b="1"/>
          </a:p>
        </c:rich>
      </c:tx>
      <c:layout>
        <c:manualLayout>
          <c:xMode val="edge"/>
          <c:yMode val="edge"/>
          <c:x val="0.316383924521455"/>
          <c:y val="0.0797975866095757"/>
        </c:manualLayout>
      </c:layout>
      <c:overlay val="1"/>
      <c:spPr>
        <a:noFill/>
        <a:ln>
          <a:noFill/>
        </a:ln>
        <a:effectLst/>
      </c:spPr>
    </c:title>
    <c:autoTitleDeleted val="0"/>
    <c:plotArea>
      <c:layout>
        <c:manualLayout>
          <c:layoutTarget val="inner"/>
          <c:xMode val="edge"/>
          <c:yMode val="edge"/>
          <c:x val="0.108358623694821"/>
          <c:y val="0.180584250592282"/>
          <c:w val="0.871537022774783"/>
          <c:h val="0.695271772075167"/>
        </c:manualLayout>
      </c:layout>
      <c:lineChart>
        <c:grouping val="standard"/>
        <c:varyColors val="0"/>
        <c:ser>
          <c:idx val="1"/>
          <c:order val="1"/>
          <c:tx>
            <c:strRef>
              <c:f>"平均达成度(0.71)"</c:f>
              <c:strCache>
                <c:ptCount val="1"/>
                <c:pt idx="0">
                  <c:v>平均达成度(0.71)</c:v>
                </c:pt>
              </c:strCache>
            </c:strRef>
          </c:tx>
          <c:spPr>
            <a:ln w="25400" cap="rnd" cmpd="sng" algn="ctr">
              <a:solidFill>
                <a:schemeClr val="accent2"/>
              </a:solidFill>
              <a:prstDash val="solid"/>
              <a:round/>
            </a:ln>
            <a:effectLst/>
          </c:spPr>
          <c:marker>
            <c:symbol val="none"/>
          </c:marker>
          <c:dLbls>
            <c:delete val="1"/>
          </c:dLbls>
          <c:cat>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'[计科22《移动应用开发》课程达成评价表格48.xlsx]Sheet2(4)'!$D$1:$D$48</c:f>
              <c:numCache>
                <c:formatCode>0.00_ </c:formatCode>
                <c:ptCount val="48"/>
                <c:pt idx="0">
                  <c:v>0.75</c:v>
                </c:pt>
                <c:pt idx="1">
                  <c:v>0.75</c:v>
                </c:pt>
                <c:pt idx="2">
                  <c:v>0.75</c:v>
                </c:pt>
                <c:pt idx="3">
                  <c:v>0.75</c:v>
                </c:pt>
                <c:pt idx="4">
                  <c:v>0.75</c:v>
                </c:pt>
                <c:pt idx="5">
                  <c:v>0.75</c:v>
                </c:pt>
                <c:pt idx="6">
                  <c:v>0.75</c:v>
                </c:pt>
                <c:pt idx="7">
                  <c:v>0.75</c:v>
                </c:pt>
                <c:pt idx="8">
                  <c:v>0.75</c:v>
                </c:pt>
                <c:pt idx="9">
                  <c:v>0.75</c:v>
                </c:pt>
                <c:pt idx="10">
                  <c:v>0.75</c:v>
                </c:pt>
                <c:pt idx="11">
                  <c:v>0.75</c:v>
                </c:pt>
                <c:pt idx="12">
                  <c:v>0.75</c:v>
                </c:pt>
                <c:pt idx="13">
                  <c:v>0.75</c:v>
                </c:pt>
                <c:pt idx="14">
                  <c:v>0.75</c:v>
                </c:pt>
                <c:pt idx="15">
                  <c:v>0.75</c:v>
                </c:pt>
                <c:pt idx="16">
                  <c:v>0.75</c:v>
                </c:pt>
                <c:pt idx="17">
                  <c:v>0.75</c:v>
                </c:pt>
                <c:pt idx="18">
                  <c:v>0.75</c:v>
                </c:pt>
                <c:pt idx="19">
                  <c:v>0.75</c:v>
                </c:pt>
                <c:pt idx="20">
                  <c:v>0.75</c:v>
                </c:pt>
                <c:pt idx="21">
                  <c:v>0.75</c:v>
                </c:pt>
                <c:pt idx="22">
                  <c:v>0.75</c:v>
                </c:pt>
                <c:pt idx="23">
                  <c:v>0.75</c:v>
                </c:pt>
                <c:pt idx="24">
                  <c:v>0.75</c:v>
                </c:pt>
                <c:pt idx="25">
                  <c:v>0.75</c:v>
                </c:pt>
                <c:pt idx="26">
                  <c:v>0.75</c:v>
                </c:pt>
                <c:pt idx="27">
                  <c:v>0.75</c:v>
                </c:pt>
                <c:pt idx="28">
                  <c:v>0.75</c:v>
                </c:pt>
                <c:pt idx="29">
                  <c:v>0.75</c:v>
                </c:pt>
                <c:pt idx="30">
                  <c:v>0.75</c:v>
                </c:pt>
                <c:pt idx="31">
                  <c:v>0.75</c:v>
                </c:pt>
                <c:pt idx="32">
                  <c:v>0.75</c:v>
                </c:pt>
                <c:pt idx="33">
                  <c:v>0.75</c:v>
                </c:pt>
                <c:pt idx="34">
                  <c:v>0.75</c:v>
                </c:pt>
                <c:pt idx="35">
                  <c:v>0.75</c:v>
                </c:pt>
                <c:pt idx="36">
                  <c:v>0.75</c:v>
                </c:pt>
                <c:pt idx="37">
                  <c:v>0.75</c:v>
                </c:pt>
                <c:pt idx="38">
                  <c:v>0.75</c:v>
                </c:pt>
                <c:pt idx="39">
                  <c:v>0.75</c:v>
                </c:pt>
                <c:pt idx="40">
                  <c:v>0.75</c:v>
                </c:pt>
                <c:pt idx="41">
                  <c:v>0.75</c:v>
                </c:pt>
                <c:pt idx="42">
                  <c:v>0.75</c:v>
                </c:pt>
                <c:pt idx="43">
                  <c:v>0.75</c:v>
                </c:pt>
                <c:pt idx="44">
                  <c:v>0.75</c:v>
                </c:pt>
                <c:pt idx="45">
                  <c:v>0.75</c:v>
                </c:pt>
                <c:pt idx="46">
                  <c:v>0.75</c:v>
                </c:pt>
                <c:pt idx="47">
                  <c:v>0.75</c:v>
                </c:pt>
              </c:numCache>
            </c:numRef>
          </c:val>
          <c:smooth val="0"/>
        </c:ser>
        <c:ser>
          <c:idx val="2"/>
          <c:order val="2"/>
          <c:tx>
            <c:strRef>
              <c:f>"期望达成度(0.6)"</c:f>
              <c:strCache>
                <c:ptCount val="1"/>
                <c:pt idx="0">
                  <c:v>期望达成度(0.6)</c:v>
                </c:pt>
              </c:strCache>
            </c:strRef>
          </c:tx>
          <c:spPr>
            <a:ln w="25400" cap="rnd" cmpd="sng" algn="ctr">
              <a:solidFill>
                <a:schemeClr val="accent3"/>
              </a:solidFill>
              <a:prstDash val="dash"/>
              <a:miter lim="800000"/>
            </a:ln>
            <a:effectLst/>
          </c:spPr>
          <c:marker>
            <c:symbol val="none"/>
          </c:marker>
          <c:dLbls>
            <c:delete val="1"/>
          </c:dLbls>
          <c:cat>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cat>
          <c:val>
            <c:numRef>
              <c:f>'[计科22《移动应用开发》课程达成评价表格48.xlsx]Sheet2(4)'!$E$1:$E$48</c:f>
              <c:numCache>
                <c:formatCode>0.00_ </c:formatCode>
                <c:ptCount val="48"/>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numCache>
            </c:numRef>
          </c:val>
          <c:smooth val="0"/>
        </c:ser>
        <c:dLbls>
          <c:showLegendKey val="0"/>
          <c:showVal val="0"/>
          <c:showCatName val="0"/>
          <c:showSerName val="0"/>
          <c:showPercent val="0"/>
          <c:showBubbleSize val="0"/>
        </c:dLbls>
        <c:marker val="0"/>
        <c:smooth val="0"/>
        <c:axId val="385672704"/>
        <c:axId val="403399424"/>
      </c:lineChart>
      <c:scatterChart>
        <c:scatterStyle val="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'[计科22《移动应用开发》课程达成评价表格48.xlsx]Sheet2(4)'!$B$1:$B$50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numCache>
            </c:numRef>
          </c:xVal>
          <c:yVal>
            <c:numRef>
              <c:f>'[计科22《移动应用开发》课程达成评价表格48.xlsx]Sheet2(4)'!$C$1:$C$48</c:f>
              <c:numCache>
                <c:formatCode>0.00_ </c:formatCode>
                <c:ptCount val="48"/>
                <c:pt idx="0">
                  <c:v>0.696666666666667</c:v>
                </c:pt>
                <c:pt idx="1">
                  <c:v>0.745555555555556</c:v>
                </c:pt>
                <c:pt idx="2">
                  <c:v>0.672222222222222</c:v>
                </c:pt>
                <c:pt idx="3">
                  <c:v>0.822777777777778</c:v>
                </c:pt>
                <c:pt idx="4">
                  <c:v>0.825</c:v>
                </c:pt>
                <c:pt idx="5">
                  <c:v>0.841666666666667</c:v>
                </c:pt>
                <c:pt idx="6">
                  <c:v>0.679055555555556</c:v>
                </c:pt>
                <c:pt idx="7">
                  <c:v>0.742222222222222</c:v>
                </c:pt>
                <c:pt idx="8">
                  <c:v>0.757777777777778</c:v>
                </c:pt>
                <c:pt idx="9">
                  <c:v>0.866277777777778</c:v>
                </c:pt>
                <c:pt idx="10">
                  <c:v>0.831111111111111</c:v>
                </c:pt>
                <c:pt idx="11">
                  <c:v>0.7865</c:v>
                </c:pt>
                <c:pt idx="12">
                  <c:v>0.912222222222222</c:v>
                </c:pt>
                <c:pt idx="13">
                  <c:v>0.778888888888889</c:v>
                </c:pt>
                <c:pt idx="14">
                  <c:v>0.793333333333333</c:v>
                </c:pt>
                <c:pt idx="15">
                  <c:v>0.801111111111111</c:v>
                </c:pt>
                <c:pt idx="16">
                  <c:v>0.543166666666667</c:v>
                </c:pt>
                <c:pt idx="17">
                  <c:v>0.731111111111111</c:v>
                </c:pt>
                <c:pt idx="18">
                  <c:v>0.786833333333333</c:v>
                </c:pt>
                <c:pt idx="19">
                  <c:v>0.612222222222222</c:v>
                </c:pt>
                <c:pt idx="20">
                  <c:v>0.731666666666667</c:v>
                </c:pt>
                <c:pt idx="21">
                  <c:v>0.736666666666667</c:v>
                </c:pt>
                <c:pt idx="22">
                  <c:v>0.8</c:v>
                </c:pt>
                <c:pt idx="23">
                  <c:v>0.931833333333333</c:v>
                </c:pt>
                <c:pt idx="24">
                  <c:v>0.816666666666667</c:v>
                </c:pt>
                <c:pt idx="25">
                  <c:v>0.700555555555556</c:v>
                </c:pt>
                <c:pt idx="26">
                  <c:v>0.729833333333333</c:v>
                </c:pt>
                <c:pt idx="27">
                  <c:v>0.69</c:v>
                </c:pt>
                <c:pt idx="28">
                  <c:v>0.680555555555556</c:v>
                </c:pt>
                <c:pt idx="29">
                  <c:v>0.791833333333333</c:v>
                </c:pt>
                <c:pt idx="30">
                  <c:v>0.727222222222222</c:v>
                </c:pt>
                <c:pt idx="31">
                  <c:v>0.737222222222222</c:v>
                </c:pt>
                <c:pt idx="32">
                  <c:v>0.805</c:v>
                </c:pt>
                <c:pt idx="33">
                  <c:v>0.7915</c:v>
                </c:pt>
                <c:pt idx="34">
                  <c:v>0.836666666666667</c:v>
                </c:pt>
                <c:pt idx="35">
                  <c:v>0.7365</c:v>
                </c:pt>
                <c:pt idx="36">
                  <c:v>0.83</c:v>
                </c:pt>
                <c:pt idx="37">
                  <c:v>0.622222222222222</c:v>
                </c:pt>
                <c:pt idx="38">
                  <c:v>0.824444444444445</c:v>
                </c:pt>
                <c:pt idx="39">
                  <c:v>0.708888888888889</c:v>
                </c:pt>
                <c:pt idx="40">
                  <c:v>0.770555555555556</c:v>
                </c:pt>
                <c:pt idx="41">
                  <c:v>0.6765</c:v>
                </c:pt>
                <c:pt idx="42">
                  <c:v>0.512222222222222</c:v>
                </c:pt>
                <c:pt idx="43">
                  <c:v>0.735722222222222</c:v>
                </c:pt>
                <c:pt idx="44">
                  <c:v>0.672222222222222</c:v>
                </c:pt>
                <c:pt idx="45">
                  <c:v>0.747222222222222</c:v>
                </c:pt>
                <c:pt idx="46">
                  <c:v>0.663333333333333</c:v>
                </c:pt>
                <c:pt idx="47">
                  <c:v>0.82</c:v>
                </c:pt>
              </c:numCache>
            </c:numRef>
          </c:yVal>
          <c:smooth val="0"/>
        </c:ser>
        <c:dLbls>
          <c:showLegendKey val="0"/>
          <c:showVal val="0"/>
          <c:showCatName val="0"/>
          <c:showSerName val="0"/>
          <c:showPercent val="0"/>
          <c:showBubbleSize val="0"/>
        </c:dLbls>
        <c:axId val="385672704"/>
        <c:axId val="403399424"/>
      </c:scatterChart>
      <c:catAx>
        <c:axId val="385672704"/>
        <c:scaling>
          <c:orientation val="minMax"/>
          <c:max val="48.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学生个体</a:t>
                </a:r>
                <a:endParaRPr lang="zh-CN" altLang="en-US" sz="900" b="1"/>
              </a:p>
            </c:rich>
          </c:tx>
          <c:layout>
            <c:manualLayout>
              <c:xMode val="edge"/>
              <c:yMode val="edge"/>
              <c:x val="0.454003950070114"/>
              <c:y val="0.81106821106821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403399424"/>
        <c:crosses val="autoZero"/>
        <c:auto val="1"/>
        <c:lblAlgn val="ctr"/>
        <c:lblOffset val="100"/>
        <c:tickLblSkip val="3"/>
        <c:noMultiLvlLbl val="0"/>
      </c:catAx>
      <c:valAx>
        <c:axId val="403399424"/>
        <c:scaling>
          <c:orientation val="minMax"/>
          <c:max val="1"/>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65000"/>
                        <a:lumOff val="35000"/>
                      </a:schemeClr>
                    </a:solidFill>
                    <a:latin typeface="+mn-lt"/>
                    <a:ea typeface="+mn-ea"/>
                    <a:cs typeface="+mn-cs"/>
                  </a:defRPr>
                </a:pPr>
                <a:r>
                  <a:rPr lang="zh-CN" altLang="en-US" sz="900" b="1"/>
                  <a:t>达成度</a:t>
                </a:r>
                <a:endParaRPr lang="zh-CN" altLang="en-US" sz="900" b="1"/>
              </a:p>
            </c:rich>
          </c:tx>
          <c:layout>
            <c:manualLayout>
              <c:xMode val="edge"/>
              <c:yMode val="edge"/>
              <c:x val="0.014008355861391"/>
              <c:y val="0.445311346909649"/>
            </c:manualLayout>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crossAx val="385672704"/>
        <c:crosses val="autoZero"/>
        <c:crossBetween val="between"/>
        <c:majorUnit val="0.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2"/>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153929837626716"/>
          <c:y val="0.690611526886204"/>
          <c:w val="0.62759684296471"/>
          <c:h val="0.0440134194616692"/>
        </c:manualLayout>
      </c:layout>
      <c:overlay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85e97908-f90f-4ed6-a528-5fa90cd479a5}"/>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sz="900"/>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5AC6-6BD1-43AA-83BD-B65F781D1681}">
  <ds:schemaRefs/>
</ds:datastoreItem>
</file>

<file path=docProps/app.xml><?xml version="1.0" encoding="utf-8"?>
<Properties xmlns="http://schemas.openxmlformats.org/officeDocument/2006/extended-properties" xmlns:vt="http://schemas.openxmlformats.org/officeDocument/2006/docPropsVTypes">
  <Template>Normal.dotm</Template>
  <Company>chzu</Company>
  <Pages>10</Pages>
  <Words>4120</Words>
  <Characters>4715</Characters>
  <Lines>49</Lines>
  <Paragraphs>13</Paragraphs>
  <TotalTime>1</TotalTime>
  <ScaleCrop>false</ScaleCrop>
  <LinksUpToDate>false</LinksUpToDate>
  <CharactersWithSpaces>4883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2022-03-22T01:21:00Z</dcterms:created>
  <dc:creator>NTKO</dc:creator>
  <cp:lastModifiedBy>刘东良</cp:lastModifiedBy>
  <cp:lastPrinted>2021-10-02T01:45:00Z</cp:lastPrinted>
  <dcterms:modified xsi:type="dcterms:W3CDTF">2026-01-25T03:43:19Z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3667B9478533431487F5A2E9A5662909</vt:lpwstr>
  </property>
  <property fmtid="{D5CDD505-2E9C-101B-9397-08002B2CF9AE}" pid="4" name="KSOTemplateDocerSaveRecord">
    <vt:lpwstr>eyJoZGlkIjoiM2FiZDIzMjBhYjY3YjcwYmIxYWI1NjM4YzVmYjEyMDMiLCJ1c2VySWQiOiIxNzYzNjM5ODk4In0=</vt:lpwstr>
  </property>
</Properties>
</file>