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7b88e6b9e386a435bc6c0687a13aca7d68e0925"/>
    <w:p>
      <w:pPr>
        <w:pStyle w:val="Heading1"/>
      </w:pPr>
      <w:r>
        <w:t xml:space="preserve">Vigil Mythic Timeline – Expanded Arc and Bindings</w:t>
      </w:r>
    </w:p>
    <w:bookmarkStart w:id="20" w:name="X744e99b170615e6a27b306ad4c22959d38aeea9"/>
    <w:p>
      <w:pPr>
        <w:pStyle w:val="Heading2"/>
      </w:pPr>
      <w:r>
        <w:t xml:space="preserve">Revision: Final Reinterpretation, Sacrifice, and Endgame Logic</w:t>
      </w:r>
    </w:p>
    <w:p>
      <w:pPr>
        <w:pStyle w:val="BlockText"/>
      </w:pPr>
      <w:r>
        <w:rPr>
          <w:b/>
          <w:bCs/>
        </w:rPr>
        <w:t xml:space="preserve">Purpose of this revision</w:t>
      </w:r>
    </w:p>
    <w:p>
      <w:pPr>
        <w:pStyle w:val="BlockText"/>
      </w:pPr>
      <w:r>
        <w:t xml:space="preserve">This document extends the prior timeline by incorporating the</w:t>
      </w:r>
      <w:r>
        <w:t xml:space="preserve"> </w:t>
      </w:r>
      <w:r>
        <w:rPr>
          <w:i/>
          <w:iCs/>
        </w:rPr>
        <w:t xml:space="preserve">final-act logic</w:t>
      </w:r>
      <w:r>
        <w:t xml:space="preserve">: Vigil’s solitary reinterpretation, the possibility of a literal Queen sacrifice (Morgan or Caroline), and the resolution of Trigon through mythic checkmate rather than power.</w:t>
      </w:r>
    </w:p>
    <w:p>
      <w:pPr>
        <w:pStyle w:val="BlockText"/>
      </w:pPr>
      <w:r>
        <w:t xml:space="preserve">As before, all events listed are</w:t>
      </w:r>
      <w:r>
        <w:t xml:space="preserve"> </w:t>
      </w:r>
      <w:r>
        <w:rPr>
          <w:b/>
          <w:bCs/>
        </w:rPr>
        <w:t xml:space="preserve">bindings or potential bindings</w:t>
      </w:r>
      <w:r>
        <w:t xml:space="preserve">. They are</w:t>
      </w:r>
      <w:r>
        <w:t xml:space="preserve"> </w:t>
      </w:r>
      <w:r>
        <w:rPr>
          <w:i/>
          <w:iCs/>
        </w:rPr>
        <w:t xml:space="preserve">not ordered</w:t>
      </w:r>
      <w:r>
        <w:t xml:space="preserve"> </w:t>
      </w:r>
      <w:r>
        <w:t xml:space="preserve">until interpretation or enforcement retroactively imposes an order.</w:t>
      </w:r>
    </w:p>
    <w:p>
      <w:r>
        <w:pict>
          <v:rect style="width:0;height:1.5pt" o:hralign="center" o:hrstd="t" o:hr="t"/>
        </w:pict>
      </w:r>
    </w:p>
    <w:bookmarkEnd w:id="20"/>
    <w:bookmarkStart w:id="21" w:name="core-principles-reaffirmed"/>
    <w:p>
      <w:pPr>
        <w:pStyle w:val="Heading2"/>
      </w:pPr>
      <w:r>
        <w:t xml:space="preserve">Core Principles (Reaffirmed)</w:t>
      </w:r>
    </w:p>
    <w:p>
      <w:pPr>
        <w:pStyle w:val="Compact"/>
        <w:numPr>
          <w:ilvl w:val="0"/>
          <w:numId w:val="1001"/>
        </w:numPr>
      </w:pPr>
      <w:r>
        <w:t xml:space="preserve">Morgan’s Great Working is a</w:t>
      </w:r>
      <w:r>
        <w:t xml:space="preserve"> </w:t>
      </w:r>
      <w:r>
        <w:rPr>
          <w:b/>
          <w:bCs/>
        </w:rPr>
        <w:t xml:space="preserve">narrative spell</w:t>
      </w:r>
      <w:r>
        <w:t xml:space="preserve">: it binds through mythic roles, oaths, witnesses, and symbolic acts.</w:t>
      </w:r>
    </w:p>
    <w:p>
      <w:pPr>
        <w:pStyle w:val="Compact"/>
        <w:numPr>
          <w:ilvl w:val="0"/>
          <w:numId w:val="1001"/>
        </w:numPr>
      </w:pPr>
      <w:r>
        <w:t xml:space="preserve">The spell cannot be broken by refusal or raw power.</w:t>
      </w:r>
    </w:p>
    <w:p>
      <w:pPr>
        <w:pStyle w:val="Compact"/>
        <w:numPr>
          <w:ilvl w:val="0"/>
          <w:numId w:val="1001"/>
        </w:numPr>
      </w:pPr>
      <w:r>
        <w:t xml:space="preserve">The spell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be redirected, hijacked, or defeated by</w:t>
      </w:r>
      <w:r>
        <w:t xml:space="preserve"> </w:t>
      </w:r>
      <w:r>
        <w:rPr>
          <w:b/>
          <w:bCs/>
        </w:rPr>
        <w:t xml:space="preserve">correct reinterpretation from within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Final victory must be achieved by Vigil</w:t>
      </w:r>
      <w:r>
        <w:t xml:space="preserve"> </w:t>
      </w:r>
      <w:r>
        <w:rPr>
          <w:b/>
          <w:bCs/>
        </w:rPr>
        <w:t xml:space="preserve">alone</w:t>
      </w:r>
      <w:r>
        <w:t xml:space="preserve">, through understanding rather than assistance.</w:t>
      </w:r>
    </w:p>
    <w:p>
      <w:r>
        <w:pict>
          <v:rect style="width:0;height:1.5pt" o:hralign="center" o:hrstd="t" o:hr="t"/>
        </w:pict>
      </w:r>
    </w:p>
    <w:bookmarkEnd w:id="21"/>
    <w:bookmarkStart w:id="22" w:name="X90d6a9795a34557c033b6fded1ed65c96c1b696"/>
    <w:p>
      <w:pPr>
        <w:pStyle w:val="Heading2"/>
      </w:pPr>
      <w:r>
        <w:t xml:space="preserve">New Structural Concept: The Player Emerges</w:t>
      </w:r>
    </w:p>
    <w:p>
      <w:pPr>
        <w:pStyle w:val="FirstParagraph"/>
      </w:pPr>
      <w:r>
        <w:t xml:space="preserve">Up to this point, Vigil is:</w:t>
      </w:r>
      <w:r>
        <w:t xml:space="preserve"> </w:t>
      </w:r>
      <w:r>
        <w:t xml:space="preserve">- a subject of Morgan’s design,</w:t>
      </w:r>
      <w:r>
        <w:t xml:space="preserve"> </w:t>
      </w:r>
      <w:r>
        <w:t xml:space="preserve">- a student of Lady Xanadu’s insight,</w:t>
      </w:r>
      <w:r>
        <w:t xml:space="preserve"> </w:t>
      </w:r>
      <w:r>
        <w:t xml:space="preserve">- and a target of Trigon’s ambition.</w:t>
      </w:r>
    </w:p>
    <w:p>
      <w:pPr>
        <w:pStyle w:val="BodyText"/>
      </w:pPr>
      <w:r>
        <w:t xml:space="preserve">The final arc marks the transition where:</w:t>
      </w:r>
    </w:p>
    <w:p>
      <w:pPr>
        <w:pStyle w:val="BlockText"/>
      </w:pPr>
      <w:r>
        <w:rPr>
          <w:b/>
          <w:bCs/>
        </w:rPr>
        <w:t xml:space="preserve">Vigil ceases to be a piece and becomes a player.</w:t>
      </w:r>
    </w:p>
    <w:p>
      <w:pPr>
        <w:pStyle w:val="FirstParagraph"/>
      </w:pPr>
      <w:r>
        <w:t xml:space="preserve">This transition is itself a binding.</w:t>
      </w:r>
    </w:p>
    <w:p>
      <w:r>
        <w:pict>
          <v:rect style="width:0;height:1.5pt" o:hralign="center" o:hrstd="t" o:hr="t"/>
        </w:pict>
      </w:r>
    </w:p>
    <w:bookmarkEnd w:id="22"/>
    <w:bookmarkStart w:id="31" w:name="X16a62724998d7159afe84956eab6067dd9bdfb6"/>
    <w:p>
      <w:pPr>
        <w:pStyle w:val="Heading2"/>
      </w:pPr>
      <w:r>
        <w:t xml:space="preserve">Arc V (Expanded) – Final Reinterpretation and Checkmate</w:t>
      </w:r>
    </w:p>
    <w:p>
      <w:pPr>
        <w:pStyle w:val="FirstParagraph"/>
      </w:pPr>
      <w:r>
        <w:rPr>
          <w:b/>
          <w:bCs/>
        </w:rPr>
        <w:t xml:space="preserve">Theme:</w:t>
      </w:r>
      <w:r>
        <w:t xml:space="preserve"> </w:t>
      </w:r>
      <w:r>
        <w:t xml:space="preserve">Sacrifice, inevitability, earned agency</w:t>
      </w:r>
    </w:p>
    <w:bookmarkStart w:id="23" w:name="binding-candidates-final-arc"/>
    <w:p>
      <w:pPr>
        <w:pStyle w:val="Heading3"/>
      </w:pPr>
      <w:r>
        <w:t xml:space="preserve">Binding Candidates (Final Arc)</w:t>
      </w:r>
    </w:p>
    <w:bookmarkEnd w:id="23"/>
    <w:bookmarkStart w:id="24" w:name="the-solitary-insight"/>
    <w:p>
      <w:pPr>
        <w:pStyle w:val="Heading3"/>
      </w:pPr>
      <w:r>
        <w:t xml:space="preserve">The Solitary Insight</w:t>
      </w:r>
    </w:p>
    <w:p>
      <w:pPr>
        <w:pStyle w:val="Compact"/>
        <w:numPr>
          <w:ilvl w:val="0"/>
          <w:numId w:val="1002"/>
        </w:numPr>
      </w:pPr>
      <w:r>
        <w:t xml:space="preserve">Vigil, after surviving Morgan, Xanadu, and Trigon, achieves a</w:t>
      </w:r>
      <w:r>
        <w:t xml:space="preserve"> </w:t>
      </w:r>
      <w:r>
        <w:rPr>
          <w:i/>
          <w:iCs/>
        </w:rPr>
        <w:t xml:space="preserve">complete internal understanding</w:t>
      </w:r>
      <w:r>
        <w:t xml:space="preserve"> </w:t>
      </w:r>
      <w:r>
        <w:t xml:space="preserve">of the spell.</w:t>
      </w:r>
    </w:p>
    <w:p>
      <w:pPr>
        <w:pStyle w:val="Compact"/>
        <w:numPr>
          <w:ilvl w:val="0"/>
          <w:numId w:val="1002"/>
        </w:numPr>
      </w:pPr>
      <w:r>
        <w:t xml:space="preserve">This understanding is not taught or confirmed in the moment.</w:t>
      </w:r>
    </w:p>
    <w:p>
      <w:pPr>
        <w:pStyle w:val="Compact"/>
        <w:numPr>
          <w:ilvl w:val="0"/>
          <w:numId w:val="1002"/>
        </w:numPr>
      </w:pPr>
      <w:r>
        <w:t xml:space="preserve">Any advice from Lady Xanadu occurs</w:t>
      </w:r>
      <w:r>
        <w:t xml:space="preserve"> </w:t>
      </w:r>
      <w:r>
        <w:rPr>
          <w:b/>
          <w:bCs/>
        </w:rPr>
        <w:t xml:space="preserve">earlier</w:t>
      </w:r>
      <w:r>
        <w:t xml:space="preserve">; the final insight is Vigil’s alone.</w:t>
      </w:r>
    </w:p>
    <w:p>
      <w:pPr>
        <w:pStyle w:val="FirstParagraph"/>
      </w:pPr>
      <w:r>
        <w:t xml:space="preserve">This satisfies the mythic requirement that the hero must</w:t>
      </w:r>
      <w:r>
        <w:t xml:space="preserve"> </w:t>
      </w:r>
      <w:r>
        <w:rPr>
          <w:i/>
          <w:iCs/>
        </w:rPr>
        <w:t xml:space="preserve">descend alone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the-knights-sacrifice-primary-model"/>
    <w:p>
      <w:pPr>
        <w:pStyle w:val="Heading3"/>
      </w:pPr>
      <w:r>
        <w:t xml:space="preserve">The Knight’s Sacrifice (Primary Model)</w:t>
      </w:r>
    </w:p>
    <w:p>
      <w:pPr>
        <w:pStyle w:val="Compact"/>
        <w:numPr>
          <w:ilvl w:val="0"/>
          <w:numId w:val="1003"/>
        </w:numPr>
      </w:pPr>
      <w:r>
        <w:t xml:space="preserve">Vigil makes a move that appears irrational, catastrophic, or suicidal.</w:t>
      </w:r>
    </w:p>
    <w:p>
      <w:pPr>
        <w:pStyle w:val="Compact"/>
        <w:numPr>
          <w:ilvl w:val="0"/>
          <w:numId w:val="1003"/>
        </w:numPr>
      </w:pPr>
      <w:r>
        <w:t xml:space="preserve">Allies believe he has lost his mind, fallen to Trigon, or chosen damnation.</w:t>
      </w:r>
    </w:p>
    <w:p>
      <w:pPr>
        <w:pStyle w:val="Compact"/>
        <w:numPr>
          <w:ilvl w:val="0"/>
          <w:numId w:val="1003"/>
        </w:numPr>
      </w:pPr>
      <w:r>
        <w:t xml:space="preserve">The spell records this as a</w:t>
      </w:r>
      <w:r>
        <w:t xml:space="preserve"> </w:t>
      </w:r>
      <w:r>
        <w:rPr>
          <w:b/>
          <w:bCs/>
        </w:rPr>
        <w:t xml:space="preserve">true death</w:t>
      </w:r>
      <w:r>
        <w:t xml:space="preserve"> </w:t>
      </w:r>
      <w:r>
        <w:t xml:space="preserve">(symbolic or mechanical).</w:t>
      </w:r>
    </w:p>
    <w:p>
      <w:pPr>
        <w:pStyle w:val="FirstParagraph"/>
      </w:pPr>
      <w:r>
        <w:t xml:space="preserve">Possible implementations:</w:t>
      </w:r>
      <w:r>
        <w:t xml:space="preserve"> </w:t>
      </w:r>
      <w:r>
        <w:t xml:space="preserve">- Loss of role, name, or powers.</w:t>
      </w:r>
      <w:r>
        <w:t xml:space="preserve"> </w:t>
      </w:r>
      <w:r>
        <w:t xml:space="preserve">- Literal in-game death, with Vigil temporarily removed from play.</w:t>
      </w:r>
    </w:p>
    <w:p>
      <w:pPr>
        <w:pStyle w:val="BodyText"/>
      </w:pPr>
      <w:r>
        <w:t xml:space="preserve">This sacrifice is necessary to force Trigon’s full commitment.</w:t>
      </w:r>
    </w:p>
    <w:p>
      <w:r>
        <w:pict>
          <v:rect style="width:0;height:1.5pt" o:hralign="center" o:hrstd="t" o:hr="t"/>
        </w:pict>
      </w:r>
    </w:p>
    <w:bookmarkEnd w:id="25"/>
    <w:bookmarkStart w:id="26" w:name="X81234429cdf61b816a9cd051974c963238f1af0"/>
    <w:p>
      <w:pPr>
        <w:pStyle w:val="Heading3"/>
      </w:pPr>
      <w:r>
        <w:t xml:space="preserve">Optional Variant: The Queen’s Sacrifice (Literal and Cathartic)</w:t>
      </w:r>
    </w:p>
    <w:p>
      <w:pPr>
        <w:pStyle w:val="FirstParagraph"/>
      </w:pPr>
      <w:r>
        <w:t xml:space="preserve">If a Queen sacrifice occurs, it should be</w:t>
      </w:r>
      <w:r>
        <w:t xml:space="preserve"> </w:t>
      </w:r>
      <w:r>
        <w:rPr>
          <w:b/>
          <w:bCs/>
        </w:rPr>
        <w:t xml:space="preserve">literal</w:t>
      </w:r>
      <w:r>
        <w:t xml:space="preserve">, not metaphorical.</w:t>
      </w:r>
    </w:p>
    <w:p>
      <w:pPr>
        <w:pStyle w:val="BodyText"/>
      </w:pPr>
      <w:r>
        <w:t xml:space="preserve">Possible forms:</w:t>
      </w:r>
      <w:r>
        <w:t xml:space="preserve"> </w:t>
      </w:r>
      <w:r>
        <w:t xml:space="preserve">- Morgan is sacrificed according to the spell’s own logic.</w:t>
      </w:r>
      <w:r>
        <w:t xml:space="preserve"> </w:t>
      </w:r>
      <w:r>
        <w:t xml:space="preserve">- Caroline is sacrificed as Morgan’s failsafe and successor.</w:t>
      </w:r>
    </w:p>
    <w:p>
      <w:pPr>
        <w:pStyle w:val="BodyText"/>
      </w:pPr>
      <w:r>
        <w:t xml:space="preserve">Key constraints:</w:t>
      </w:r>
      <w:r>
        <w:t xml:space="preserve"> </w:t>
      </w:r>
      <w:r>
        <w:t xml:space="preserve">- The sacrifice must be</w:t>
      </w:r>
      <w:r>
        <w:t xml:space="preserve"> </w:t>
      </w:r>
      <w:r>
        <w:rPr>
          <w:b/>
          <w:bCs/>
        </w:rPr>
        <w:t xml:space="preserve">myth-justified</w:t>
      </w:r>
      <w:r>
        <w:t xml:space="preserve">, not revenge.</w:t>
      </w:r>
      <w:r>
        <w:t xml:space="preserve"> </w:t>
      </w:r>
      <w:r>
        <w:t xml:space="preserve">- Vigil must be able to truthfully claim the act honors his oath through reinterpretation.</w:t>
      </w:r>
      <w:r>
        <w:t xml:space="preserve"> </w:t>
      </w:r>
      <w:r>
        <w:t xml:space="preserve">- The moment should provide catharsis (</w:t>
      </w:r>
      <w:r>
        <w:t xml:space="preserve">“it’s about time”</w:t>
      </w:r>
      <w:r>
        <w:t xml:space="preserve">) without moral cheapening.</w:t>
      </w:r>
    </w:p>
    <w:p>
      <w:pPr>
        <w:pStyle w:val="BodyText"/>
      </w:pPr>
      <w:r>
        <w:t xml:space="preserve">Notes:</w:t>
      </w:r>
      <w:r>
        <w:t xml:space="preserve"> </w:t>
      </w:r>
      <w:r>
        <w:t xml:space="preserve">- Morgan’s immortality and plot armor allow her eventual return.</w:t>
      </w:r>
      <w:r>
        <w:t xml:space="preserve"> </w:t>
      </w:r>
      <w:r>
        <w:t xml:space="preserve">- Her response may include approval, pride, or dark amusement, even alongside vows of vengeance.</w:t>
      </w:r>
      <w:r>
        <w:t xml:space="preserve"> </w:t>
      </w:r>
      <w:r>
        <w:t xml:space="preserve">- This confirms Vigil as a legitimate player rather than a pawn.</w:t>
      </w:r>
    </w:p>
    <w:p>
      <w:r>
        <w:pict>
          <v:rect style="width:0;height:1.5pt" o:hralign="center" o:hrstd="t" o:hr="t"/>
        </w:pict>
      </w:r>
    </w:p>
    <w:bookmarkEnd w:id="26"/>
    <w:bookmarkStart w:id="27" w:name="the-ironic-thanks"/>
    <w:p>
      <w:pPr>
        <w:pStyle w:val="Heading3"/>
      </w:pPr>
      <w:r>
        <w:t xml:space="preserve">The Ironic Thanks</w:t>
      </w:r>
    </w:p>
    <w:p>
      <w:pPr>
        <w:pStyle w:val="Compact"/>
        <w:numPr>
          <w:ilvl w:val="0"/>
          <w:numId w:val="1004"/>
        </w:numPr>
      </w:pPr>
      <w:r>
        <w:t xml:space="preserve">Vigil may acknowledge Morgan’s role in his growth.</w:t>
      </w:r>
    </w:p>
    <w:p>
      <w:pPr>
        <w:pStyle w:val="Compact"/>
        <w:numPr>
          <w:ilvl w:val="0"/>
          <w:numId w:val="1004"/>
        </w:numPr>
      </w:pPr>
      <w:r>
        <w:t xml:space="preserve">This acknowledgment is not forgiveness.</w:t>
      </w:r>
    </w:p>
    <w:p>
      <w:pPr>
        <w:pStyle w:val="Compact"/>
        <w:numPr>
          <w:ilvl w:val="0"/>
          <w:numId w:val="1004"/>
        </w:numPr>
      </w:pPr>
      <w:r>
        <w:t xml:space="preserve">It is recognition of causality and earned autonomy.</w:t>
      </w:r>
    </w:p>
    <w:p>
      <w:pPr>
        <w:pStyle w:val="FirstParagraph"/>
      </w:pPr>
      <w:r>
        <w:t xml:space="preserve">This reinforces that he has moved beyond reactive morality.</w:t>
      </w:r>
    </w:p>
    <w:p>
      <w:r>
        <w:pict>
          <v:rect style="width:0;height:1.5pt" o:hralign="center" o:hrstd="t" o:hr="t"/>
        </w:pict>
      </w:r>
    </w:p>
    <w:bookmarkEnd w:id="27"/>
    <w:bookmarkStart w:id="28" w:name="trigons-defeat-by-re-mything"/>
    <w:p>
      <w:pPr>
        <w:pStyle w:val="Heading3"/>
      </w:pPr>
      <w:r>
        <w:t xml:space="preserve">Trigon’s Defeat by Re-Mything</w:t>
      </w:r>
    </w:p>
    <w:p>
      <w:pPr>
        <w:pStyle w:val="Compact"/>
        <w:numPr>
          <w:ilvl w:val="0"/>
          <w:numId w:val="1005"/>
        </w:numPr>
      </w:pPr>
      <w:r>
        <w:t xml:space="preserve">Trigon is not overpowered.</w:t>
      </w:r>
    </w:p>
    <w:p>
      <w:pPr>
        <w:pStyle w:val="Compact"/>
        <w:numPr>
          <w:ilvl w:val="0"/>
          <w:numId w:val="1005"/>
        </w:numPr>
      </w:pPr>
      <w:r>
        <w:t xml:space="preserve">He is forced into a</w:t>
      </w:r>
      <w:r>
        <w:t xml:space="preserve"> </w:t>
      </w:r>
      <w:r>
        <w:rPr>
          <w:b/>
          <w:bCs/>
        </w:rPr>
        <w:t xml:space="preserve">mythic role he cannot inhabit</w:t>
      </w:r>
      <w:r>
        <w:t xml:space="preserve"> </w:t>
      </w:r>
      <w:r>
        <w:t xml:space="preserve">(monster, exile, boundary-being, devourer denied).</w:t>
      </w:r>
    </w:p>
    <w:p>
      <w:pPr>
        <w:pStyle w:val="Compact"/>
        <w:numPr>
          <w:ilvl w:val="0"/>
          <w:numId w:val="1005"/>
        </w:numPr>
      </w:pPr>
      <w:r>
        <w:t xml:space="preserve">The spell’s structure rejects him once the final reinterpretation is complete.</w:t>
      </w:r>
    </w:p>
    <w:p>
      <w:pPr>
        <w:pStyle w:val="FirstParagraph"/>
      </w:pPr>
      <w:r>
        <w:t xml:space="preserve">Vigil’s apparent death is what makes this possible.</w:t>
      </w:r>
    </w:p>
    <w:p>
      <w:r>
        <w:pict>
          <v:rect style="width:0;height:1.5pt" o:hralign="center" o:hrstd="t" o:hr="t"/>
        </w:pict>
      </w:r>
    </w:p>
    <w:bookmarkEnd w:id="28"/>
    <w:bookmarkStart w:id="29" w:name="party-resolution-rpg-constraint"/>
    <w:p>
      <w:pPr>
        <w:pStyle w:val="Heading3"/>
      </w:pPr>
      <w:r>
        <w:t xml:space="preserve">Party Resolution (RPG Constraint)</w:t>
      </w:r>
    </w:p>
    <w:p>
      <w:pPr>
        <w:pStyle w:val="Compact"/>
        <w:numPr>
          <w:ilvl w:val="0"/>
          <w:numId w:val="1006"/>
        </w:numPr>
      </w:pPr>
      <w:r>
        <w:t xml:space="preserve">After Vigil’s sacrifice, the party confronts Trigon directly.</w:t>
      </w:r>
    </w:p>
    <w:p>
      <w:pPr>
        <w:pStyle w:val="Compact"/>
        <w:numPr>
          <w:ilvl w:val="0"/>
          <w:numId w:val="1006"/>
        </w:numPr>
      </w:pPr>
      <w:r>
        <w:t xml:space="preserve">They believe Vigil is gone.</w:t>
      </w:r>
    </w:p>
    <w:p>
      <w:pPr>
        <w:pStyle w:val="Compact"/>
        <w:numPr>
          <w:ilvl w:val="0"/>
          <w:numId w:val="1006"/>
        </w:numPr>
      </w:pPr>
      <w:r>
        <w:t xml:space="preserve">Their fight is necessary but no longer decisive.</w:t>
      </w:r>
    </w:p>
    <w:p>
      <w:pPr>
        <w:pStyle w:val="Compact"/>
        <w:numPr>
          <w:ilvl w:val="0"/>
          <w:numId w:val="1006"/>
        </w:numPr>
      </w:pPr>
      <w:r>
        <w:t xml:space="preserve">Trigon falls or is bound because the myth has already turned against him.</w:t>
      </w:r>
    </w:p>
    <w:p>
      <w:pPr>
        <w:pStyle w:val="FirstParagraph"/>
      </w:pPr>
      <w:r>
        <w:t xml:space="preserve">This preserves party agency and spotlight.</w:t>
      </w:r>
    </w:p>
    <w:p>
      <w:r>
        <w:pict>
          <v:rect style="width:0;height:1.5pt" o:hralign="center" o:hrstd="t" o:hr="t"/>
        </w:pict>
      </w:r>
    </w:p>
    <w:bookmarkEnd w:id="29"/>
    <w:bookmarkStart w:id="30" w:name="end-without-ending-reaffirmed"/>
    <w:p>
      <w:pPr>
        <w:pStyle w:val="Heading3"/>
      </w:pPr>
      <w:r>
        <w:t xml:space="preserve">End Without Ending (Reaffirmed)</w:t>
      </w:r>
    </w:p>
    <w:p>
      <w:pPr>
        <w:pStyle w:val="Compact"/>
        <w:numPr>
          <w:ilvl w:val="0"/>
          <w:numId w:val="1007"/>
        </w:numPr>
      </w:pPr>
      <w:r>
        <w:t xml:space="preserve">The conflict resolves.</w:t>
      </w:r>
    </w:p>
    <w:p>
      <w:pPr>
        <w:pStyle w:val="Compact"/>
        <w:numPr>
          <w:ilvl w:val="0"/>
          <w:numId w:val="1007"/>
        </w:numPr>
      </w:pPr>
      <w:r>
        <w:t xml:space="preserve">The spell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fully end.</w:t>
      </w:r>
    </w:p>
    <w:p>
      <w:pPr>
        <w:pStyle w:val="Compact"/>
        <w:numPr>
          <w:ilvl w:val="0"/>
          <w:numId w:val="1007"/>
        </w:numPr>
      </w:pPr>
      <w:r>
        <w:t xml:space="preserve">Vigil survives because he continues to live within the rules he has mastered.</w:t>
      </w:r>
    </w:p>
    <w:p>
      <w:pPr>
        <w:pStyle w:val="Compact"/>
        <w:numPr>
          <w:ilvl w:val="0"/>
          <w:numId w:val="1007"/>
        </w:numPr>
      </w:pPr>
      <w:r>
        <w:t xml:space="preserve">The structure persists, now partially under Vigil’s understanding.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open-design-space-updated"/>
    <w:p>
      <w:pPr>
        <w:pStyle w:val="Heading2"/>
      </w:pPr>
      <w:r>
        <w:t xml:space="preserve">Open Design Space (Updated)</w:t>
      </w:r>
    </w:p>
    <w:p>
      <w:pPr>
        <w:pStyle w:val="Compact"/>
        <w:numPr>
          <w:ilvl w:val="0"/>
          <w:numId w:val="1008"/>
        </w:numPr>
      </w:pPr>
      <w:r>
        <w:t xml:space="preserve">Which Queen (Morgan or Caroline) is sacrificed, if any.</w:t>
      </w:r>
    </w:p>
    <w:p>
      <w:pPr>
        <w:pStyle w:val="Compact"/>
        <w:numPr>
          <w:ilvl w:val="0"/>
          <w:numId w:val="1008"/>
        </w:numPr>
      </w:pPr>
      <w:r>
        <w:t xml:space="preserve">Whether Morgan anticipated this sacrifice or merely accepts it afterward.</w:t>
      </w:r>
    </w:p>
    <w:p>
      <w:pPr>
        <w:pStyle w:val="Compact"/>
        <w:numPr>
          <w:ilvl w:val="0"/>
          <w:numId w:val="1008"/>
        </w:numPr>
      </w:pPr>
      <w:r>
        <w:t xml:space="preserve">Whether Lady Xanadu alone recognizes the checkmate before it occurs.</w:t>
      </w:r>
    </w:p>
    <w:p>
      <w:pPr>
        <w:pStyle w:val="Compact"/>
        <w:numPr>
          <w:ilvl w:val="0"/>
          <w:numId w:val="1008"/>
        </w:numPr>
      </w:pPr>
      <w:r>
        <w:t xml:space="preserve">How Vigil’s oath language is used to justify acts that once seemed forbidden.</w:t>
      </w:r>
    </w:p>
    <w:p>
      <w:r>
        <w:pict>
          <v:rect style="width:0;height:1.5pt" o:hralign="center" o:hrstd="t" o:hr="t"/>
        </w:pict>
      </w:r>
    </w:p>
    <w:bookmarkEnd w:id="32"/>
    <w:bookmarkStart w:id="33" w:name="guiding-mythic-statement-revised"/>
    <w:p>
      <w:pPr>
        <w:pStyle w:val="Heading2"/>
      </w:pPr>
      <w:r>
        <w:t xml:space="preserve">Guiding Mythic Statement (Revised)</w:t>
      </w:r>
    </w:p>
    <w:p>
      <w:pPr>
        <w:pStyle w:val="BlockText"/>
      </w:pPr>
      <w:r>
        <w:t xml:space="preserve">The spell is not defeated when the web is broken.</w:t>
      </w:r>
    </w:p>
    <w:p>
      <w:pPr>
        <w:pStyle w:val="BlockText"/>
      </w:pPr>
      <w:r>
        <w:t xml:space="preserve">It is defeated when the spider realizes the prey has learned to weave.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2025-12-25T03:29:45Z</dcterms:created>
  <dcterms:modified xsi:type="dcterms:W3CDTF">2025-12-25T03:29:45Z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