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33b58785893a10b4fd82f1c840187777c7c3d8e"/>
    <w:p>
      <w:pPr>
        <w:pStyle w:val="Heading1"/>
      </w:pPr>
      <w:r>
        <w:t xml:space="preserve">Vigil’s Oath Scene – Plot Hooks &amp; Future Development Notes</w:t>
      </w:r>
    </w:p>
    <w:p>
      <w:pPr>
        <w:pStyle w:val="FirstParagraph"/>
      </w:pPr>
      <w:r>
        <w:t xml:space="preserve">This document captures all plot-useful elements, ambiguities, constraints, and opportunities embedded in Vigil’s Pentecost Oath scene. It is intended as a living planning document for future story development, reinterpretation, and GM/player collaboration.</w:t>
      </w:r>
    </w:p>
    <w:p>
      <w:r>
        <w:pict>
          <v:rect style="width:0;height:1.5pt" o:hralign="center" o:hrstd="t" o:hr="t"/>
        </w:pict>
      </w:r>
    </w:p>
    <w:bookmarkStart w:id="24" w:name="Xcd315e4d06dace98fa4b117fac048e409a102c8"/>
    <w:p>
      <w:pPr>
        <w:pStyle w:val="Heading2"/>
      </w:pPr>
      <w:r>
        <w:t xml:space="preserve">I. Structural / Spell-Level Hooks (The Machinery)</w:t>
      </w:r>
    </w:p>
    <w:bookmarkStart w:id="20" w:name="the-binding-sequence"/>
    <w:p>
      <w:pPr>
        <w:pStyle w:val="Heading3"/>
      </w:pPr>
      <w:r>
        <w:t xml:space="preserve">1. The Binding Sequence</w:t>
      </w:r>
    </w:p>
    <w:p>
      <w:pPr>
        <w:pStyle w:val="Compact"/>
        <w:numPr>
          <w:ilvl w:val="0"/>
          <w:numId w:val="1001"/>
        </w:numPr>
      </w:pPr>
      <w:r>
        <w:t xml:space="preserve">Morgan explicitly names this the</w:t>
      </w:r>
      <w:r>
        <w:t xml:space="preserve"> </w:t>
      </w:r>
      <w:r>
        <w:rPr>
          <w:b/>
          <w:bCs/>
        </w:rPr>
        <w:t xml:space="preserve">Second Binding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Implies:</w:t>
      </w:r>
    </w:p>
    <w:p>
      <w:pPr>
        <w:pStyle w:val="Compact"/>
        <w:numPr>
          <w:ilvl w:val="1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First Binding</w:t>
      </w:r>
      <w:r>
        <w:t xml:space="preserve"> </w:t>
      </w:r>
      <w:r>
        <w:t xml:space="preserve">already exists (almost certainly Vigil’s prior oath of devotion to his Lady).</w:t>
      </w:r>
    </w:p>
    <w:p>
      <w:pPr>
        <w:pStyle w:val="Compact"/>
        <w:numPr>
          <w:ilvl w:val="1"/>
          <w:numId w:val="1002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additional bindings yet to come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Deliberate unknowns:</w:t>
      </w:r>
    </w:p>
    <w:p>
      <w:pPr>
        <w:pStyle w:val="Compact"/>
        <w:numPr>
          <w:ilvl w:val="1"/>
          <w:numId w:val="1003"/>
        </w:numPr>
      </w:pPr>
      <w:r>
        <w:t xml:space="preserve">Total number of bindings.</w:t>
      </w:r>
    </w:p>
    <w:p>
      <w:pPr>
        <w:pStyle w:val="Compact"/>
        <w:numPr>
          <w:ilvl w:val="1"/>
          <w:numId w:val="1003"/>
        </w:numPr>
      </w:pPr>
      <w:r>
        <w:t xml:space="preserve">Whether bindings are prerequisites, milestones, or retrospective labels.</w:t>
      </w:r>
    </w:p>
    <w:p>
      <w:pPr>
        <w:pStyle w:val="Compact"/>
        <w:numPr>
          <w:ilvl w:val="0"/>
          <w:numId w:val="1001"/>
        </w:numPr>
      </w:pPr>
      <w:r>
        <w:t xml:space="preserve">Plot uses:</w:t>
      </w:r>
    </w:p>
    <w:p>
      <w:pPr>
        <w:pStyle w:val="Compact"/>
        <w:numPr>
          <w:ilvl w:val="1"/>
          <w:numId w:val="1004"/>
        </w:numPr>
      </w:pPr>
      <w:r>
        <w:t xml:space="preserve">Other NPCs (Lady Xanadu, Doctor Strange, etc.) may recognize or dispute the numbering.</w:t>
      </w:r>
    </w:p>
    <w:p>
      <w:pPr>
        <w:pStyle w:val="Compact"/>
        <w:numPr>
          <w:ilvl w:val="1"/>
          <w:numId w:val="1004"/>
        </w:numPr>
      </w:pPr>
      <w:r>
        <w:t xml:space="preserve">Vigil may later learn a binding occurred without his conscious consent.</w:t>
      </w:r>
    </w:p>
    <w:p>
      <w:pPr>
        <w:pStyle w:val="Compact"/>
        <w:numPr>
          <w:ilvl w:val="1"/>
          <w:numId w:val="1004"/>
        </w:numPr>
      </w:pPr>
      <w:r>
        <w:t xml:space="preserve">A binding might be</w:t>
      </w:r>
      <w:r>
        <w:t xml:space="preserve"> </w:t>
      </w:r>
      <w:r>
        <w:rPr>
          <w:i/>
          <w:iCs/>
        </w:rPr>
        <w:t xml:space="preserve">avoided</w:t>
      </w:r>
      <w:r>
        <w:t xml:space="preserve">,</w:t>
      </w:r>
      <w:r>
        <w:t xml:space="preserve"> </w:t>
      </w:r>
      <w:r>
        <w:rPr>
          <w:i/>
          <w:iCs/>
        </w:rPr>
        <w:t xml:space="preserve">superseded</w:t>
      </w:r>
      <w:r>
        <w:t xml:space="preserve">, or</w:t>
      </w:r>
      <w:r>
        <w:t xml:space="preserve"> </w:t>
      </w:r>
      <w:r>
        <w:rPr>
          <w:i/>
          <w:iCs/>
        </w:rPr>
        <w:t xml:space="preserve">reinterpreted</w:t>
      </w:r>
      <w:r>
        <w:t xml:space="preserve"> </w:t>
      </w:r>
      <w:r>
        <w:t xml:space="preserve">rather than broken.</w:t>
      </w:r>
    </w:p>
    <w:p>
      <w:r>
        <w:pict>
          <v:rect style="width:0;height:1.5pt" o:hralign="center" o:hrstd="t" o:hr="t"/>
        </w:pict>
      </w:r>
    </w:p>
    <w:bookmarkEnd w:id="20"/>
    <w:bookmarkStart w:id="21" w:name="until-the-end-is-written"/>
    <w:p>
      <w:pPr>
        <w:pStyle w:val="Heading3"/>
      </w:pPr>
      <w:r>
        <w:t xml:space="preserve">2.</w:t>
      </w:r>
      <w:r>
        <w:t xml:space="preserve"> </w:t>
      </w:r>
      <w:r>
        <w:t xml:space="preserve">“Until the end is written”</w:t>
      </w:r>
    </w:p>
    <w:p>
      <w:pPr>
        <w:pStyle w:val="Compact"/>
        <w:numPr>
          <w:ilvl w:val="0"/>
          <w:numId w:val="1005"/>
        </w:numPr>
      </w:pPr>
      <w:r>
        <w:t xml:space="preserve">Establishes the spell has a</w:t>
      </w:r>
      <w:r>
        <w:t xml:space="preserve"> </w:t>
      </w:r>
      <w:r>
        <w:rPr>
          <w:b/>
          <w:bCs/>
        </w:rPr>
        <w:t xml:space="preserve">narrative end condition</w:t>
      </w:r>
      <w:r>
        <w:t xml:space="preserve">, not a mechanical one.</w:t>
      </w:r>
    </w:p>
    <w:p>
      <w:pPr>
        <w:pStyle w:val="Compact"/>
        <w:numPr>
          <w:ilvl w:val="0"/>
          <w:numId w:val="1005"/>
        </w:numPr>
      </w:pPr>
      <w:r>
        <w:t xml:space="preserve">Consequences:</w:t>
      </w:r>
    </w:p>
    <w:p>
      <w:pPr>
        <w:pStyle w:val="Compact"/>
        <w:numPr>
          <w:ilvl w:val="1"/>
          <w:numId w:val="1006"/>
        </w:numPr>
      </w:pPr>
      <w:r>
        <w:t xml:space="preserve">As long as the end is unwritten, Morgan is constrained (e.g., cannot touch the priest).</w:t>
      </w:r>
    </w:p>
    <w:p>
      <w:pPr>
        <w:pStyle w:val="Compact"/>
        <w:numPr>
          <w:ilvl w:val="1"/>
          <w:numId w:val="1006"/>
        </w:numPr>
      </w:pPr>
      <w:r>
        <w:t xml:space="preserve">The end might be delayed, reinterpreted, fulfilled unexpectedly, or rendered moot by a better myth.</w:t>
      </w:r>
    </w:p>
    <w:p>
      <w:pPr>
        <w:pStyle w:val="Compact"/>
        <w:numPr>
          <w:ilvl w:val="0"/>
          <w:numId w:val="1005"/>
        </w:numPr>
      </w:pPr>
      <w:r>
        <w:t xml:space="preserve">Plot uses:</w:t>
      </w:r>
    </w:p>
    <w:p>
      <w:pPr>
        <w:pStyle w:val="Compact"/>
        <w:numPr>
          <w:ilvl w:val="1"/>
          <w:numId w:val="1007"/>
        </w:numPr>
      </w:pPr>
      <w:r>
        <w:t xml:space="preserve">Vigil may actively refuse to complete the story.</w:t>
      </w:r>
    </w:p>
    <w:p>
      <w:pPr>
        <w:pStyle w:val="Compact"/>
        <w:numPr>
          <w:ilvl w:val="1"/>
          <w:numId w:val="1007"/>
        </w:numPr>
      </w:pPr>
      <w:r>
        <w:t xml:space="preserve">Another power may attempt to</w:t>
      </w:r>
      <w:r>
        <w:t xml:space="preserve"> </w:t>
      </w:r>
      <w:r>
        <w:t xml:space="preserve">“write the end.”</w:t>
      </w:r>
    </w:p>
    <w:p>
      <w:pPr>
        <w:pStyle w:val="Compact"/>
        <w:numPr>
          <w:ilvl w:val="1"/>
          <w:numId w:val="1007"/>
        </w:numPr>
      </w:pPr>
      <w:r>
        <w:t xml:space="preserve">The ending could be hijacked or reframed by Lady Xanadu or Trigon.</w:t>
      </w:r>
    </w:p>
    <w:p>
      <w:r>
        <w:pict>
          <v:rect style="width:0;height:1.5pt" o:hralign="center" o:hrstd="t" o:hr="t"/>
        </w:pict>
      </w:r>
    </w:p>
    <w:bookmarkEnd w:id="21"/>
    <w:bookmarkStart w:id="22" w:name="ambiguity-as-enforcement"/>
    <w:p>
      <w:pPr>
        <w:pStyle w:val="Heading3"/>
      </w:pPr>
      <w:r>
        <w:t xml:space="preserve">3. Ambiguity as Enforcement</w:t>
      </w:r>
    </w:p>
    <w:p>
      <w:pPr>
        <w:pStyle w:val="Compact"/>
        <w:numPr>
          <w:ilvl w:val="0"/>
          <w:numId w:val="1008"/>
        </w:numPr>
      </w:pPr>
      <w:r>
        <w:t xml:space="preserve">The oath is enforced</w:t>
      </w:r>
      <w:r>
        <w:t xml:space="preserve"> </w:t>
      </w:r>
      <w:r>
        <w:rPr>
          <w:b/>
          <w:bCs/>
        </w:rPr>
        <w:t xml:space="preserve">as written</w:t>
      </w:r>
      <w:r>
        <w:t xml:space="preserve">, not as initially understood.</w:t>
      </w:r>
    </w:p>
    <w:p>
      <w:pPr>
        <w:pStyle w:val="Compact"/>
        <w:numPr>
          <w:ilvl w:val="0"/>
          <w:numId w:val="1008"/>
        </w:numPr>
      </w:pPr>
      <w:r>
        <w:t xml:space="preserve">Morgan enforces literal readings; Lady Xanadu teaches interpretive ones.</w:t>
      </w:r>
    </w:p>
    <w:p>
      <w:pPr>
        <w:pStyle w:val="Compact"/>
        <w:numPr>
          <w:ilvl w:val="0"/>
          <w:numId w:val="1008"/>
        </w:numPr>
      </w:pPr>
      <w:r>
        <w:t xml:space="preserve">Plot uses:</w:t>
      </w:r>
    </w:p>
    <w:p>
      <w:pPr>
        <w:pStyle w:val="Compact"/>
        <w:numPr>
          <w:ilvl w:val="1"/>
          <w:numId w:val="1009"/>
        </w:numPr>
      </w:pPr>
      <w:r>
        <w:t xml:space="preserve">Morgan accuses Vigil of violating the letter.</w:t>
      </w:r>
    </w:p>
    <w:p>
      <w:pPr>
        <w:pStyle w:val="Compact"/>
        <w:numPr>
          <w:ilvl w:val="1"/>
          <w:numId w:val="1009"/>
        </w:numPr>
      </w:pPr>
      <w:r>
        <w:t xml:space="preserve">Xanadu demonstrates fidelity to the spirit.</w:t>
      </w:r>
    </w:p>
    <w:p>
      <w:pPr>
        <w:pStyle w:val="Compact"/>
        <w:numPr>
          <w:ilvl w:val="1"/>
          <w:numId w:val="1009"/>
        </w:numPr>
      </w:pPr>
      <w:r>
        <w:t xml:space="preserve">Vigil must choose which interpretive authority to trust.</w:t>
      </w:r>
    </w:p>
    <w:p>
      <w:r>
        <w:pict>
          <v:rect style="width:0;height:1.5pt" o:hralign="center" o:hrstd="t" o:hr="t"/>
        </w:pict>
      </w:r>
    </w:p>
    <w:bookmarkEnd w:id="22"/>
    <w:bookmarkStart w:id="23" w:name="dual-source-of-power"/>
    <w:p>
      <w:pPr>
        <w:pStyle w:val="Heading3"/>
      </w:pPr>
      <w:r>
        <w:t xml:space="preserve">4. Dual Source of Power</w:t>
      </w:r>
    </w:p>
    <w:p>
      <w:pPr>
        <w:pStyle w:val="Compact"/>
        <w:numPr>
          <w:ilvl w:val="0"/>
          <w:numId w:val="1010"/>
        </w:numPr>
      </w:pPr>
      <w:r>
        <w:t xml:space="preserve">Vigil’s abilities are split between: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Granted power</w:t>
      </w:r>
      <w:r>
        <w:t xml:space="preserve"> </w:t>
      </w:r>
      <w:r>
        <w:t xml:space="preserve">from Morgan (revocable).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Latent heritage</w:t>
      </w:r>
      <w:r>
        <w:t xml:space="preserve"> </w:t>
      </w:r>
      <w:r>
        <w:t xml:space="preserve">magic (independent, undiscovered).</w:t>
      </w:r>
    </w:p>
    <w:p>
      <w:pPr>
        <w:pStyle w:val="Compact"/>
        <w:numPr>
          <w:ilvl w:val="0"/>
          <w:numId w:val="1010"/>
        </w:numPr>
      </w:pPr>
      <w:r>
        <w:t xml:space="preserve">Plot uses:</w:t>
      </w:r>
    </w:p>
    <w:p>
      <w:pPr>
        <w:pStyle w:val="Compact"/>
        <w:numPr>
          <w:ilvl w:val="1"/>
          <w:numId w:val="1012"/>
        </w:numPr>
      </w:pPr>
      <w:r>
        <w:t xml:space="preserve">Morgan revokes nearly all granted power.</w:t>
      </w:r>
    </w:p>
    <w:p>
      <w:pPr>
        <w:pStyle w:val="Compact"/>
        <w:numPr>
          <w:ilvl w:val="1"/>
          <w:numId w:val="1012"/>
        </w:numPr>
      </w:pPr>
      <w:r>
        <w:t xml:space="preserve">Vigil discovers his own magic anyway—ironically enabled by Morgan’s decree.</w:t>
      </w:r>
    </w:p>
    <w:p>
      <w:pPr>
        <w:pStyle w:val="Compact"/>
        <w:numPr>
          <w:ilvl w:val="1"/>
          <w:numId w:val="1012"/>
        </w:numPr>
      </w:pPr>
      <w:r>
        <w:t xml:space="preserve">Two magic idioms emerge (fae/green vs demonic/red).</w:t>
      </w:r>
    </w:p>
    <w:p>
      <w:pPr>
        <w:pStyle w:val="Compact"/>
        <w:numPr>
          <w:ilvl w:val="1"/>
          <w:numId w:val="1012"/>
        </w:numPr>
      </w:pPr>
      <w:r>
        <w:t xml:space="preserve">Eventual synthesis symbolizes integration of identity.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i.-character-hooks-vigil-simon"/>
    <w:p>
      <w:pPr>
        <w:pStyle w:val="Heading2"/>
      </w:pPr>
      <w:r>
        <w:t xml:space="preserve">II. Character Hooks – Vigil / Simon</w:t>
      </w:r>
    </w:p>
    <w:bookmarkStart w:id="25" w:name="early-literalism-as-a-flaw"/>
    <w:p>
      <w:pPr>
        <w:pStyle w:val="Heading3"/>
      </w:pPr>
      <w:r>
        <w:t xml:space="preserve">5. Early Literalism as a Flaw</w:t>
      </w:r>
    </w:p>
    <w:p>
      <w:pPr>
        <w:pStyle w:val="Compact"/>
        <w:numPr>
          <w:ilvl w:val="0"/>
          <w:numId w:val="1013"/>
        </w:numPr>
      </w:pPr>
      <w:r>
        <w:t xml:space="preserve">Vigil initially adopts the strictest interpretation:</w:t>
      </w:r>
    </w:p>
    <w:p>
      <w:pPr>
        <w:pStyle w:val="Compact"/>
        <w:numPr>
          <w:ilvl w:val="1"/>
          <w:numId w:val="1014"/>
        </w:numPr>
      </w:pPr>
      <w:r>
        <w:t xml:space="preserve">Always grant quarter.</w:t>
      </w:r>
    </w:p>
    <w:p>
      <w:pPr>
        <w:pStyle w:val="Compact"/>
        <w:numPr>
          <w:ilvl w:val="1"/>
          <w:numId w:val="1014"/>
        </w:numPr>
      </w:pPr>
      <w:r>
        <w:t xml:space="preserve">Do not interfere with others’ violence.</w:t>
      </w:r>
    </w:p>
    <w:p>
      <w:pPr>
        <w:pStyle w:val="Compact"/>
        <w:numPr>
          <w:ilvl w:val="0"/>
          <w:numId w:val="1013"/>
        </w:numPr>
      </w:pPr>
      <w:r>
        <w:t xml:space="preserve">Plot uses:</w:t>
      </w:r>
    </w:p>
    <w:p>
      <w:pPr>
        <w:pStyle w:val="Compact"/>
        <w:numPr>
          <w:ilvl w:val="1"/>
          <w:numId w:val="1015"/>
        </w:numPr>
      </w:pPr>
      <w:r>
        <w:t xml:space="preserve">Vigil fails someone by not acting.</w:t>
      </w:r>
    </w:p>
    <w:p>
      <w:pPr>
        <w:pStyle w:val="Compact"/>
        <w:numPr>
          <w:ilvl w:val="1"/>
          <w:numId w:val="1015"/>
        </w:numPr>
      </w:pPr>
      <w:r>
        <w:t xml:space="preserve">Another PC challenges his reading.</w:t>
      </w:r>
    </w:p>
    <w:p>
      <w:pPr>
        <w:pStyle w:val="Compact"/>
        <w:numPr>
          <w:ilvl w:val="1"/>
          <w:numId w:val="1015"/>
        </w:numPr>
      </w:pPr>
      <w:r>
        <w:t xml:space="preserve">Lady Xanadu reframes the oath around protecting innocents first.</w:t>
      </w:r>
    </w:p>
    <w:p>
      <w:r>
        <w:pict>
          <v:rect style="width:0;height:1.5pt" o:hralign="center" o:hrstd="t" o:hr="t"/>
        </w:pict>
      </w:r>
    </w:p>
    <w:bookmarkEnd w:id="25"/>
    <w:bookmarkStart w:id="26" w:name="mercy-clause-as-moral-landmine"/>
    <w:p>
      <w:pPr>
        <w:pStyle w:val="Heading3"/>
      </w:pPr>
      <w:r>
        <w:t xml:space="preserve">6. Mercy Clause as Moral Landmine</w:t>
      </w:r>
    </w:p>
    <w:p>
      <w:pPr>
        <w:pStyle w:val="Compact"/>
        <w:numPr>
          <w:ilvl w:val="0"/>
          <w:numId w:val="1016"/>
        </w:numPr>
      </w:pPr>
      <w:r>
        <w:t xml:space="preserve">“Staying my hand in mercy… even when the cost is mine alone.”</w:t>
      </w:r>
    </w:p>
    <w:p>
      <w:pPr>
        <w:pStyle w:val="Compact"/>
        <w:numPr>
          <w:ilvl w:val="0"/>
          <w:numId w:val="1016"/>
        </w:numPr>
      </w:pPr>
      <w:r>
        <w:t xml:space="preserve">Ambiguities:</w:t>
      </w:r>
    </w:p>
    <w:p>
      <w:pPr>
        <w:pStyle w:val="Compact"/>
        <w:numPr>
          <w:ilvl w:val="1"/>
          <w:numId w:val="1017"/>
        </w:numPr>
      </w:pPr>
      <w:r>
        <w:t xml:space="preserve">What constitutes yielding?</w:t>
      </w:r>
    </w:p>
    <w:p>
      <w:pPr>
        <w:pStyle w:val="Compact"/>
        <w:numPr>
          <w:ilvl w:val="1"/>
          <w:numId w:val="1017"/>
        </w:numPr>
      </w:pPr>
      <w:r>
        <w:t xml:space="preserve">What harms are foreseeable?</w:t>
      </w:r>
    </w:p>
    <w:p>
      <w:pPr>
        <w:pStyle w:val="Compact"/>
        <w:numPr>
          <w:ilvl w:val="1"/>
          <w:numId w:val="1017"/>
        </w:numPr>
      </w:pPr>
      <w:r>
        <w:t xml:space="preserve">When does the cost cease to be</w:t>
      </w:r>
      <w:r>
        <w:t xml:space="preserve"> </w:t>
      </w:r>
      <w:r>
        <w:t xml:space="preserve">“mine alone”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Plot uses:</w:t>
      </w:r>
    </w:p>
    <w:p>
      <w:pPr>
        <w:pStyle w:val="Compact"/>
        <w:numPr>
          <w:ilvl w:val="1"/>
          <w:numId w:val="1018"/>
        </w:numPr>
      </w:pPr>
      <w:r>
        <w:t xml:space="preserve">Villains exploit mercy.</w:t>
      </w:r>
    </w:p>
    <w:p>
      <w:pPr>
        <w:pStyle w:val="Compact"/>
        <w:numPr>
          <w:ilvl w:val="1"/>
          <w:numId w:val="1018"/>
        </w:numPr>
      </w:pPr>
      <w:r>
        <w:t xml:space="preserve">Vigil must choose between mercy and complicity.</w:t>
      </w:r>
    </w:p>
    <w:p>
      <w:pPr>
        <w:pStyle w:val="Compact"/>
        <w:numPr>
          <w:ilvl w:val="1"/>
          <w:numId w:val="1018"/>
        </w:numPr>
      </w:pPr>
      <w:r>
        <w:t xml:space="preserve">Morgan and Xanadu argue opposite conclusions from the same clause.</w:t>
      </w:r>
    </w:p>
    <w:p>
      <w:r>
        <w:pict>
          <v:rect style="width:0;height:1.5pt" o:hralign="center" o:hrstd="t" o:hr="t"/>
        </w:pict>
      </w:r>
    </w:p>
    <w:bookmarkEnd w:id="26"/>
    <w:bookmarkStart w:id="27" w:name="brotherhood-clause-party-cohesion"/>
    <w:p>
      <w:pPr>
        <w:pStyle w:val="Heading3"/>
      </w:pPr>
      <w:r>
        <w:t xml:space="preserve">7. Brotherhood Clause (Party Cohesion)</w:t>
      </w:r>
    </w:p>
    <w:p>
      <w:pPr>
        <w:pStyle w:val="Compact"/>
        <w:numPr>
          <w:ilvl w:val="0"/>
          <w:numId w:val="1019"/>
        </w:numPr>
      </w:pPr>
      <w:r>
        <w:t xml:space="preserve">“I will not abandon my brothers in the watch…”</w:t>
      </w:r>
    </w:p>
    <w:p>
      <w:pPr>
        <w:pStyle w:val="Compact"/>
        <w:numPr>
          <w:ilvl w:val="0"/>
          <w:numId w:val="1019"/>
        </w:numPr>
      </w:pPr>
      <w:r>
        <w:t xml:space="preserve">Consequences:</w:t>
      </w:r>
    </w:p>
    <w:p>
      <w:pPr>
        <w:pStyle w:val="Compact"/>
        <w:numPr>
          <w:ilvl w:val="1"/>
          <w:numId w:val="1020"/>
        </w:numPr>
      </w:pPr>
      <w:r>
        <w:t xml:space="preserve">Vigil is oath-bound to the party.</w:t>
      </w:r>
    </w:p>
    <w:p>
      <w:pPr>
        <w:pStyle w:val="Compact"/>
        <w:numPr>
          <w:ilvl w:val="1"/>
          <w:numId w:val="1020"/>
        </w:numPr>
      </w:pPr>
      <w:r>
        <w:t xml:space="preserve">Morgan cannot easily isolate him.</w:t>
      </w:r>
    </w:p>
    <w:p>
      <w:pPr>
        <w:pStyle w:val="Compact"/>
        <w:numPr>
          <w:ilvl w:val="0"/>
          <w:numId w:val="1019"/>
        </w:numPr>
      </w:pPr>
      <w:r>
        <w:t xml:space="preserve">Plot uses:</w:t>
      </w:r>
    </w:p>
    <w:p>
      <w:pPr>
        <w:pStyle w:val="Compact"/>
        <w:numPr>
          <w:ilvl w:val="1"/>
          <w:numId w:val="1021"/>
        </w:numPr>
      </w:pPr>
      <w:r>
        <w:t xml:space="preserve">Attempts to redefine</w:t>
      </w:r>
      <w:r>
        <w:t xml:space="preserve"> </w:t>
      </w:r>
      <w:r>
        <w:t xml:space="preserve">“brothers.”</w:t>
      </w:r>
    </w:p>
    <w:p>
      <w:pPr>
        <w:pStyle w:val="Compact"/>
        <w:numPr>
          <w:ilvl w:val="1"/>
          <w:numId w:val="1021"/>
        </w:numPr>
      </w:pPr>
      <w:r>
        <w:t xml:space="preserve">Conflicts between oath-brothers, blood ties (Trigon), and oath-Lady.</w:t>
      </w:r>
    </w:p>
    <w:p>
      <w:r>
        <w:pict>
          <v:rect style="width:0;height:1.5pt" o:hralign="center" o:hrstd="t" o:hr="t"/>
        </w:pict>
      </w:r>
    </w:p>
    <w:bookmarkEnd w:id="27"/>
    <w:bookmarkStart w:id="28" w:name="self-breaking-clause-tragic-engine"/>
    <w:p>
      <w:pPr>
        <w:pStyle w:val="Heading3"/>
      </w:pPr>
      <w:r>
        <w:t xml:space="preserve">8. Self-Breaking Clause (Tragic Engine)</w:t>
      </w:r>
    </w:p>
    <w:p>
      <w:pPr>
        <w:pStyle w:val="Compact"/>
        <w:numPr>
          <w:ilvl w:val="0"/>
          <w:numId w:val="1022"/>
        </w:numPr>
      </w:pPr>
      <w:r>
        <w:t xml:space="preserve">“Let me be broken by it before I break it.”</w:t>
      </w:r>
    </w:p>
    <w:p>
      <w:pPr>
        <w:pStyle w:val="Compact"/>
        <w:numPr>
          <w:ilvl w:val="0"/>
          <w:numId w:val="1022"/>
        </w:numPr>
      </w:pPr>
      <w:r>
        <w:t xml:space="preserve">Explicit consent to suffering.</w:t>
      </w:r>
    </w:p>
    <w:p>
      <w:pPr>
        <w:pStyle w:val="Compact"/>
        <w:numPr>
          <w:ilvl w:val="0"/>
          <w:numId w:val="1022"/>
        </w:numPr>
      </w:pPr>
      <w:r>
        <w:t xml:space="preserve">Plot uses:</w:t>
      </w:r>
    </w:p>
    <w:p>
      <w:pPr>
        <w:pStyle w:val="Compact"/>
        <w:numPr>
          <w:ilvl w:val="1"/>
          <w:numId w:val="1023"/>
        </w:numPr>
      </w:pPr>
      <w:r>
        <w:t xml:space="preserve">Justifies disproportionate hardship for moral choices.</w:t>
      </w:r>
    </w:p>
    <w:p>
      <w:pPr>
        <w:pStyle w:val="Compact"/>
        <w:numPr>
          <w:ilvl w:val="1"/>
          <w:numId w:val="1023"/>
        </w:numPr>
      </w:pPr>
      <w:r>
        <w:t xml:space="preserve">Morgan uses it to rationalize cruelty.</w:t>
      </w:r>
    </w:p>
    <w:p>
      <w:pPr>
        <w:pStyle w:val="Compact"/>
        <w:numPr>
          <w:ilvl w:val="1"/>
          <w:numId w:val="1023"/>
        </w:numPr>
      </w:pPr>
      <w:r>
        <w:t xml:space="preserve">Later reinterpretation reframes</w:t>
      </w:r>
      <w:r>
        <w:t xml:space="preserve"> </w:t>
      </w:r>
      <w:r>
        <w:t xml:space="preserve">“broken”</w:t>
      </w:r>
      <w:r>
        <w:t xml:space="preserve"> </w:t>
      </w:r>
      <w:r>
        <w:t xml:space="preserve">as refined, not destroyed.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ii.-morgan-specific-hooks"/>
    <w:p>
      <w:pPr>
        <w:pStyle w:val="Heading2"/>
      </w:pPr>
      <w:r>
        <w:t xml:space="preserve">III. Morgan-Specific Hooks</w:t>
      </w:r>
    </w:p>
    <w:bookmarkStart w:id="30" w:name="morgan-is-constrained-not-weak"/>
    <w:p>
      <w:pPr>
        <w:pStyle w:val="Heading3"/>
      </w:pPr>
      <w:r>
        <w:t xml:space="preserve">9. Morgan Is Constrained, Not Weak</w:t>
      </w:r>
    </w:p>
    <w:p>
      <w:pPr>
        <w:pStyle w:val="Compact"/>
        <w:numPr>
          <w:ilvl w:val="0"/>
          <w:numId w:val="1024"/>
        </w:numPr>
      </w:pPr>
      <w:r>
        <w:t xml:space="preserve">She cannot touch the priest.</w:t>
      </w:r>
    </w:p>
    <w:p>
      <w:pPr>
        <w:pStyle w:val="Compact"/>
        <w:numPr>
          <w:ilvl w:val="0"/>
          <w:numId w:val="1024"/>
        </w:numPr>
      </w:pPr>
      <w:r>
        <w:t xml:space="preserve">She must accept the altered oath.</w:t>
      </w:r>
    </w:p>
    <w:p>
      <w:pPr>
        <w:pStyle w:val="Compact"/>
        <w:numPr>
          <w:ilvl w:val="0"/>
          <w:numId w:val="1024"/>
        </w:numPr>
      </w:pPr>
      <w:r>
        <w:t xml:space="preserve">She cannot fully control emergent effects (wind, binding resonance).</w:t>
      </w:r>
    </w:p>
    <w:p>
      <w:pPr>
        <w:pStyle w:val="Compact"/>
        <w:numPr>
          <w:ilvl w:val="0"/>
          <w:numId w:val="1024"/>
        </w:numPr>
      </w:pPr>
      <w:r>
        <w:t xml:space="preserve">Plot uses:</w:t>
      </w:r>
    </w:p>
    <w:p>
      <w:pPr>
        <w:pStyle w:val="Compact"/>
        <w:numPr>
          <w:ilvl w:val="1"/>
          <w:numId w:val="1025"/>
        </w:numPr>
      </w:pPr>
      <w:r>
        <w:t xml:space="preserve">Morgan engineers outcomes that satisfy the letter while perverting intent.</w:t>
      </w:r>
    </w:p>
    <w:p>
      <w:pPr>
        <w:pStyle w:val="Compact"/>
        <w:numPr>
          <w:ilvl w:val="1"/>
          <w:numId w:val="1025"/>
        </w:numPr>
      </w:pPr>
      <w:r>
        <w:t xml:space="preserve">Later bindings compensate for earlier loss of control.</w:t>
      </w:r>
    </w:p>
    <w:p>
      <w:pPr>
        <w:pStyle w:val="Compact"/>
        <w:numPr>
          <w:ilvl w:val="1"/>
          <w:numId w:val="1025"/>
        </w:numPr>
      </w:pPr>
      <w:r>
        <w:t xml:space="preserve">Overconfidence becomes exploitable.</w:t>
      </w:r>
    </w:p>
    <w:p>
      <w:r>
        <w:pict>
          <v:rect style="width:0;height:1.5pt" o:hralign="center" o:hrstd="t" o:hr="t"/>
        </w:pict>
      </w:r>
    </w:p>
    <w:bookmarkEnd w:id="30"/>
    <w:bookmarkStart w:id="31" w:name="morgan-did-not-plan-everything"/>
    <w:p>
      <w:pPr>
        <w:pStyle w:val="Heading3"/>
      </w:pPr>
      <w:r>
        <w:t xml:space="preserve">10. Morgan Did Not Plan Everything</w:t>
      </w:r>
    </w:p>
    <w:p>
      <w:pPr>
        <w:pStyle w:val="Compact"/>
        <w:numPr>
          <w:ilvl w:val="0"/>
          <w:numId w:val="1026"/>
        </w:numPr>
      </w:pPr>
      <w:r>
        <w:t xml:space="preserve">The priest is genuinely unexpected.</w:t>
      </w:r>
    </w:p>
    <w:p>
      <w:pPr>
        <w:pStyle w:val="Compact"/>
        <w:numPr>
          <w:ilvl w:val="0"/>
          <w:numId w:val="1026"/>
        </w:numPr>
      </w:pPr>
      <w:r>
        <w:t xml:space="preserve">Morgan adapts rather than reveals omniscience.</w:t>
      </w:r>
    </w:p>
    <w:p>
      <w:pPr>
        <w:pStyle w:val="Compact"/>
        <w:numPr>
          <w:ilvl w:val="0"/>
          <w:numId w:val="1026"/>
        </w:numPr>
      </w:pPr>
      <w:r>
        <w:t xml:space="preserve">Plot uses:</w:t>
      </w:r>
    </w:p>
    <w:p>
      <w:pPr>
        <w:pStyle w:val="Compact"/>
        <w:numPr>
          <w:ilvl w:val="1"/>
          <w:numId w:val="1027"/>
        </w:numPr>
      </w:pPr>
      <w:r>
        <w:t xml:space="preserve">Vigil learns not everything is predestined.</w:t>
      </w:r>
    </w:p>
    <w:p>
      <w:pPr>
        <w:pStyle w:val="Compact"/>
        <w:numPr>
          <w:ilvl w:val="1"/>
          <w:numId w:val="1027"/>
        </w:numPr>
      </w:pPr>
      <w:r>
        <w:t xml:space="preserve">Trigon exploits gaps in Morgan’s foresight.</w:t>
      </w:r>
    </w:p>
    <w:p>
      <w:r>
        <w:pict>
          <v:rect style="width:0;height:1.5pt" o:hralign="center" o:hrstd="t" o:hr="t"/>
        </w:pict>
      </w:r>
    </w:p>
    <w:bookmarkEnd w:id="31"/>
    <w:bookmarkStart w:id="32" w:name="the-boon-is-separate-from-the-oath"/>
    <w:p>
      <w:pPr>
        <w:pStyle w:val="Heading3"/>
      </w:pPr>
      <w:r>
        <w:t xml:space="preserve">11. The Boon Is Separate from the Oath</w:t>
      </w:r>
    </w:p>
    <w:p>
      <w:pPr>
        <w:pStyle w:val="Compact"/>
        <w:numPr>
          <w:ilvl w:val="0"/>
          <w:numId w:val="1028"/>
        </w:numPr>
      </w:pPr>
      <w:r>
        <w:t xml:space="preserve">Power is granted as a</w:t>
      </w:r>
      <w:r>
        <w:t xml:space="preserve"> </w:t>
      </w:r>
      <w:r>
        <w:rPr>
          <w:b/>
          <w:bCs/>
        </w:rPr>
        <w:t xml:space="preserve">boon</w:t>
      </w:r>
      <w:r>
        <w:t xml:space="preserve">, not as an intrinsic consequence of the oath.</w:t>
      </w:r>
    </w:p>
    <w:p>
      <w:pPr>
        <w:pStyle w:val="Compact"/>
        <w:numPr>
          <w:ilvl w:val="0"/>
          <w:numId w:val="1028"/>
        </w:numPr>
      </w:pPr>
      <w:r>
        <w:t xml:space="preserve">Plot uses:</w:t>
      </w:r>
    </w:p>
    <w:p>
      <w:pPr>
        <w:pStyle w:val="Compact"/>
        <w:numPr>
          <w:ilvl w:val="1"/>
          <w:numId w:val="1029"/>
        </w:numPr>
      </w:pPr>
      <w:r>
        <w:t xml:space="preserve">Vigil can renounce power without breaking the oath.</w:t>
      </w:r>
    </w:p>
    <w:p>
      <w:pPr>
        <w:pStyle w:val="Compact"/>
        <w:numPr>
          <w:ilvl w:val="1"/>
          <w:numId w:val="1029"/>
        </w:numPr>
      </w:pPr>
      <w:r>
        <w:t xml:space="preserve">Morgan can revoke power but not undo the binding.</w:t>
      </w:r>
    </w:p>
    <w:p>
      <w:pPr>
        <w:pStyle w:val="Compact"/>
        <w:numPr>
          <w:ilvl w:val="1"/>
          <w:numId w:val="1029"/>
        </w:numPr>
      </w:pPr>
      <w:r>
        <w:t xml:space="preserve">Central heroic moment: choosing freedom over power.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v.-father-thomas-the-priest"/>
    <w:p>
      <w:pPr>
        <w:pStyle w:val="Heading2"/>
      </w:pPr>
      <w:r>
        <w:t xml:space="preserve">IV. Father Thomas / The Priest</w:t>
      </w:r>
    </w:p>
    <w:bookmarkStart w:id="34" w:name="protected-witness"/>
    <w:p>
      <w:pPr>
        <w:pStyle w:val="Heading3"/>
      </w:pPr>
      <w:r>
        <w:t xml:space="preserve">12. Protected Witness</w:t>
      </w:r>
    </w:p>
    <w:p>
      <w:pPr>
        <w:pStyle w:val="Compact"/>
        <w:numPr>
          <w:ilvl w:val="0"/>
          <w:numId w:val="1030"/>
        </w:numPr>
      </w:pPr>
      <w:r>
        <w:t xml:space="preserve">Hears the oath and witnesses supernatural effects.</w:t>
      </w:r>
    </w:p>
    <w:p>
      <w:pPr>
        <w:pStyle w:val="Compact"/>
        <w:numPr>
          <w:ilvl w:val="0"/>
          <w:numId w:val="1030"/>
        </w:numPr>
      </w:pPr>
      <w:r>
        <w:t xml:space="preserve">Cannot hear Morgan’s voice.</w:t>
      </w:r>
    </w:p>
    <w:p>
      <w:pPr>
        <w:pStyle w:val="Compact"/>
        <w:numPr>
          <w:ilvl w:val="0"/>
          <w:numId w:val="1030"/>
        </w:numPr>
      </w:pPr>
      <w:r>
        <w:t xml:space="preserve">Explicitly protected by the spell.</w:t>
      </w:r>
    </w:p>
    <w:p>
      <w:pPr>
        <w:pStyle w:val="Compact"/>
        <w:numPr>
          <w:ilvl w:val="0"/>
          <w:numId w:val="1030"/>
        </w:numPr>
      </w:pPr>
      <w:r>
        <w:t xml:space="preserve">Plot uses:</w:t>
      </w:r>
    </w:p>
    <w:p>
      <w:pPr>
        <w:pStyle w:val="Compact"/>
        <w:numPr>
          <w:ilvl w:val="1"/>
          <w:numId w:val="1031"/>
        </w:numPr>
      </w:pPr>
      <w:r>
        <w:t xml:space="preserve">Moral anchor and confessor.</w:t>
      </w:r>
    </w:p>
    <w:p>
      <w:pPr>
        <w:pStyle w:val="Compact"/>
        <w:numPr>
          <w:ilvl w:val="1"/>
          <w:numId w:val="1031"/>
        </w:numPr>
      </w:pPr>
      <w:r>
        <w:t xml:space="preserve">Morgan is barred from removing him without advancing the end.</w:t>
      </w:r>
    </w:p>
    <w:p>
      <w:pPr>
        <w:pStyle w:val="Compact"/>
        <w:numPr>
          <w:ilvl w:val="1"/>
          <w:numId w:val="1031"/>
        </w:numPr>
      </w:pPr>
      <w:r>
        <w:t xml:space="preserve">His death (if it ever occurs) would destabilize the enchantment.</w:t>
      </w:r>
    </w:p>
    <w:p>
      <w:r>
        <w:pict>
          <v:rect style="width:0;height:1.5pt" o:hralign="center" o:hrstd="t" o:hr="t"/>
        </w:pict>
      </w:r>
    </w:p>
    <w:bookmarkEnd w:id="34"/>
    <w:bookmarkStart w:id="35" w:name="unwilling-participant"/>
    <w:p>
      <w:pPr>
        <w:pStyle w:val="Heading3"/>
      </w:pPr>
      <w:r>
        <w:t xml:space="preserve">13. Unwilling Participant</w:t>
      </w:r>
    </w:p>
    <w:p>
      <w:pPr>
        <w:pStyle w:val="Compact"/>
        <w:numPr>
          <w:ilvl w:val="0"/>
          <w:numId w:val="1032"/>
        </w:numPr>
      </w:pPr>
      <w:r>
        <w:t xml:space="preserve">Did not choose his role and does not understand it.</w:t>
      </w:r>
    </w:p>
    <w:p>
      <w:pPr>
        <w:pStyle w:val="Compact"/>
        <w:numPr>
          <w:ilvl w:val="0"/>
          <w:numId w:val="1032"/>
        </w:numPr>
      </w:pPr>
      <w:r>
        <w:t xml:space="preserve">Is now part of the myth regardless.</w:t>
      </w:r>
    </w:p>
    <w:p>
      <w:pPr>
        <w:pStyle w:val="Compact"/>
        <w:numPr>
          <w:ilvl w:val="0"/>
          <w:numId w:val="1032"/>
        </w:numPr>
      </w:pPr>
      <w:r>
        <w:t xml:space="preserve">Plot uses:</w:t>
      </w:r>
    </w:p>
    <w:p>
      <w:pPr>
        <w:pStyle w:val="Compact"/>
        <w:numPr>
          <w:ilvl w:val="1"/>
          <w:numId w:val="1033"/>
        </w:numPr>
      </w:pPr>
      <w:r>
        <w:t xml:space="preserve">Investigations, prayers, or seeking counsel.</w:t>
      </w:r>
    </w:p>
    <w:p>
      <w:pPr>
        <w:pStyle w:val="Compact"/>
        <w:numPr>
          <w:ilvl w:val="1"/>
          <w:numId w:val="1033"/>
        </w:numPr>
      </w:pPr>
      <w:r>
        <w:t xml:space="preserve">Attracts attention from Church or occult authorities.</w:t>
      </w:r>
    </w:p>
    <w:p>
      <w:pPr>
        <w:pStyle w:val="Compact"/>
        <w:numPr>
          <w:ilvl w:val="1"/>
          <w:numId w:val="1033"/>
        </w:numPr>
      </w:pPr>
      <w:r>
        <w:t xml:space="preserve">Faith tested without full knowledge.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v.-environmental-symbolic-hooks"/>
    <w:p>
      <w:pPr>
        <w:pStyle w:val="Heading2"/>
      </w:pPr>
      <w:r>
        <w:t xml:space="preserve">V. Environmental / Symbolic Hooks</w:t>
      </w:r>
    </w:p>
    <w:bookmarkStart w:id="37" w:name="the-wind-as-spell-indicator"/>
    <w:p>
      <w:pPr>
        <w:pStyle w:val="Heading3"/>
      </w:pPr>
      <w:r>
        <w:t xml:space="preserve">14. The Wind as Spell Indicator</w:t>
      </w:r>
    </w:p>
    <w:p>
      <w:pPr>
        <w:pStyle w:val="Compact"/>
        <w:numPr>
          <w:ilvl w:val="0"/>
          <w:numId w:val="1034"/>
        </w:numPr>
      </w:pPr>
      <w:r>
        <w:t xml:space="preserve">Wind responds to Vigil’s consent and intensifies with commitment.</w:t>
      </w:r>
    </w:p>
    <w:p>
      <w:pPr>
        <w:pStyle w:val="Compact"/>
        <w:numPr>
          <w:ilvl w:val="0"/>
          <w:numId w:val="1034"/>
        </w:numPr>
      </w:pPr>
      <w:r>
        <w:t xml:space="preserve">Dies when binding completes.</w:t>
      </w:r>
    </w:p>
    <w:p>
      <w:pPr>
        <w:pStyle w:val="Compact"/>
        <w:numPr>
          <w:ilvl w:val="0"/>
          <w:numId w:val="1034"/>
        </w:numPr>
      </w:pPr>
      <w:r>
        <w:t xml:space="preserve">Plot uses:</w:t>
      </w:r>
    </w:p>
    <w:p>
      <w:pPr>
        <w:pStyle w:val="Compact"/>
        <w:numPr>
          <w:ilvl w:val="1"/>
          <w:numId w:val="1035"/>
        </w:numPr>
      </w:pPr>
      <w:r>
        <w:t xml:space="preserve">Recurrent environmental signs at future bindings.</w:t>
      </w:r>
    </w:p>
    <w:p>
      <w:pPr>
        <w:pStyle w:val="Compact"/>
        <w:numPr>
          <w:ilvl w:val="1"/>
          <w:numId w:val="1035"/>
        </w:numPr>
      </w:pPr>
      <w:r>
        <w:t xml:space="preserve">Vigil learns to feel spell pressure.</w:t>
      </w:r>
    </w:p>
    <w:p>
      <w:pPr>
        <w:pStyle w:val="Compact"/>
        <w:numPr>
          <w:ilvl w:val="1"/>
          <w:numId w:val="1035"/>
        </w:numPr>
      </w:pPr>
      <w:r>
        <w:t xml:space="preserve">Others sense disturbance without understanding it.</w:t>
      </w:r>
    </w:p>
    <w:p>
      <w:r>
        <w:pict>
          <v:rect style="width:0;height:1.5pt" o:hralign="center" o:hrstd="t" o:hr="t"/>
        </w:pict>
      </w:r>
    </w:p>
    <w:bookmarkEnd w:id="37"/>
    <w:bookmarkStart w:id="38" w:name="water-lady-of-the-lake-imagery"/>
    <w:p>
      <w:pPr>
        <w:pStyle w:val="Heading3"/>
      </w:pPr>
      <w:r>
        <w:t xml:space="preserve">15. Water / Lady of the Lake Imagery</w:t>
      </w:r>
    </w:p>
    <w:p>
      <w:pPr>
        <w:pStyle w:val="Compact"/>
        <w:numPr>
          <w:ilvl w:val="0"/>
          <w:numId w:val="1036"/>
        </w:numPr>
      </w:pPr>
      <w:r>
        <w:t xml:space="preserve">Morgan rises from water, not land.</w:t>
      </w:r>
    </w:p>
    <w:p>
      <w:pPr>
        <w:pStyle w:val="Compact"/>
        <w:numPr>
          <w:ilvl w:val="0"/>
          <w:numId w:val="1036"/>
        </w:numPr>
      </w:pPr>
      <w:r>
        <w:t xml:space="preserve">Chapel explicitly</w:t>
      </w:r>
      <w:r>
        <w:t xml:space="preserve"> </w:t>
      </w:r>
      <w:r>
        <w:t xml:space="preserve">“on the water.”</w:t>
      </w:r>
    </w:p>
    <w:p>
      <w:pPr>
        <w:pStyle w:val="Compact"/>
        <w:numPr>
          <w:ilvl w:val="0"/>
          <w:numId w:val="1036"/>
        </w:numPr>
      </w:pPr>
      <w:r>
        <w:t xml:space="preserve">Plot uses:</w:t>
      </w:r>
    </w:p>
    <w:p>
      <w:pPr>
        <w:pStyle w:val="Compact"/>
        <w:numPr>
          <w:ilvl w:val="1"/>
          <w:numId w:val="1037"/>
        </w:numPr>
      </w:pPr>
      <w:r>
        <w:t xml:space="preserve">Later reenactment by Lady Xanadu.</w:t>
      </w:r>
    </w:p>
    <w:p>
      <w:pPr>
        <w:pStyle w:val="Compact"/>
        <w:numPr>
          <w:ilvl w:val="1"/>
          <w:numId w:val="1037"/>
        </w:numPr>
      </w:pPr>
      <w:r>
        <w:t xml:space="preserve">Granting of a physical sword from the water.</w:t>
      </w:r>
    </w:p>
    <w:p>
      <w:pPr>
        <w:pStyle w:val="Compact"/>
        <w:numPr>
          <w:ilvl w:val="1"/>
          <w:numId w:val="1037"/>
        </w:numPr>
      </w:pPr>
      <w:r>
        <w:t xml:space="preserve">Water as recurring liminal threshold.</w:t>
      </w:r>
    </w:p>
    <w:p>
      <w:r>
        <w:pict>
          <v:rect style="width:0;height:1.5pt" o:hralign="center" o:hrstd="t" o:hr="t"/>
        </w:pict>
      </w:r>
    </w:p>
    <w:bookmarkEnd w:id="38"/>
    <w:bookmarkStart w:id="39" w:name="sacred-site-layering"/>
    <w:p>
      <w:pPr>
        <w:pStyle w:val="Heading3"/>
      </w:pPr>
      <w:r>
        <w:t xml:space="preserve">16. Sacred Site Layering</w:t>
      </w:r>
    </w:p>
    <w:p>
      <w:pPr>
        <w:pStyle w:val="Compact"/>
        <w:numPr>
          <w:ilvl w:val="0"/>
          <w:numId w:val="1038"/>
        </w:numPr>
      </w:pPr>
      <w:r>
        <w:t xml:space="preserve">Implicit ancient significance predating the chapel.</w:t>
      </w:r>
    </w:p>
    <w:p>
      <w:pPr>
        <w:pStyle w:val="Compact"/>
        <w:numPr>
          <w:ilvl w:val="0"/>
          <w:numId w:val="1038"/>
        </w:numPr>
      </w:pPr>
      <w:r>
        <w:t xml:space="preserve">Possible relics, bones, ley resonance, or portals.</w:t>
      </w:r>
    </w:p>
    <w:p>
      <w:pPr>
        <w:pStyle w:val="Compact"/>
        <w:numPr>
          <w:ilvl w:val="0"/>
          <w:numId w:val="1038"/>
        </w:numPr>
      </w:pPr>
      <w:r>
        <w:t xml:space="preserve">Plot uses:</w:t>
      </w:r>
    </w:p>
    <w:p>
      <w:pPr>
        <w:pStyle w:val="Compact"/>
        <w:numPr>
          <w:ilvl w:val="1"/>
          <w:numId w:val="1039"/>
        </w:numPr>
      </w:pPr>
      <w:r>
        <w:t xml:space="preserve">Undercroft discoveries.</w:t>
      </w:r>
    </w:p>
    <w:p>
      <w:pPr>
        <w:pStyle w:val="Compact"/>
        <w:numPr>
          <w:ilvl w:val="1"/>
          <w:numId w:val="1039"/>
        </w:numPr>
      </w:pPr>
      <w:r>
        <w:t xml:space="preserve">Extradimensional sanctum potential.</w:t>
      </w:r>
    </w:p>
    <w:p>
      <w:pPr>
        <w:pStyle w:val="Compact"/>
        <w:numPr>
          <w:ilvl w:val="1"/>
          <w:numId w:val="1039"/>
        </w:numPr>
      </w:pPr>
      <w:r>
        <w:t xml:space="preserve">Ritual reenactments with altered outcomes.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vi.-future-arc-hooks-big-picture"/>
    <w:p>
      <w:pPr>
        <w:pStyle w:val="Heading2"/>
      </w:pPr>
      <w:r>
        <w:t xml:space="preserve">VI. Future Arc Hooks (Big Picture)</w:t>
      </w:r>
    </w:p>
    <w:bookmarkStart w:id="41" w:name="interpretive-authority-conflict"/>
    <w:p>
      <w:pPr>
        <w:pStyle w:val="Heading3"/>
      </w:pPr>
      <w:r>
        <w:t xml:space="preserve">17. Interpretive Authority Conflict</w:t>
      </w:r>
    </w:p>
    <w:p>
      <w:pPr>
        <w:pStyle w:val="Compact"/>
        <w:numPr>
          <w:ilvl w:val="0"/>
          <w:numId w:val="1040"/>
        </w:numPr>
      </w:pPr>
      <w:r>
        <w:t xml:space="preserve">Morgan: enforcer.</w:t>
      </w:r>
    </w:p>
    <w:p>
      <w:pPr>
        <w:pStyle w:val="Compact"/>
        <w:numPr>
          <w:ilvl w:val="0"/>
          <w:numId w:val="1040"/>
        </w:numPr>
      </w:pPr>
      <w:r>
        <w:t xml:space="preserve">Lady Xanadu: interpreter.</w:t>
      </w:r>
    </w:p>
    <w:p>
      <w:pPr>
        <w:pStyle w:val="Compact"/>
        <w:numPr>
          <w:ilvl w:val="0"/>
          <w:numId w:val="1040"/>
        </w:numPr>
      </w:pPr>
      <w:r>
        <w:t xml:space="preserve">Vigil: bound subject.</w:t>
      </w:r>
    </w:p>
    <w:p>
      <w:pPr>
        <w:pStyle w:val="Compact"/>
        <w:numPr>
          <w:ilvl w:val="0"/>
          <w:numId w:val="1040"/>
        </w:numPr>
      </w:pPr>
      <w:r>
        <w:t xml:space="preserve">Plot uses:</w:t>
      </w:r>
    </w:p>
    <w:p>
      <w:pPr>
        <w:pStyle w:val="Compact"/>
        <w:numPr>
          <w:ilvl w:val="1"/>
          <w:numId w:val="1041"/>
        </w:numPr>
      </w:pPr>
      <w:r>
        <w:t xml:space="preserve">Competing readings of identical events.</w:t>
      </w:r>
    </w:p>
    <w:p>
      <w:pPr>
        <w:pStyle w:val="Compact"/>
        <w:numPr>
          <w:ilvl w:val="1"/>
          <w:numId w:val="1041"/>
        </w:numPr>
      </w:pPr>
      <w:r>
        <w:t xml:space="preserve">Vigil chooses which myth he inhabits.</w:t>
      </w:r>
    </w:p>
    <w:p>
      <w:r>
        <w:pict>
          <v:rect style="width:0;height:1.5pt" o:hralign="center" o:hrstd="t" o:hr="t"/>
        </w:pict>
      </w:r>
    </w:p>
    <w:bookmarkEnd w:id="41"/>
    <w:bookmarkStart w:id="42" w:name="trigon-as-the-deeper-spider"/>
    <w:p>
      <w:pPr>
        <w:pStyle w:val="Heading3"/>
      </w:pPr>
      <w:r>
        <w:t xml:space="preserve">18. Trigon as the Deeper Spider</w:t>
      </w:r>
    </w:p>
    <w:p>
      <w:pPr>
        <w:pStyle w:val="Compact"/>
        <w:numPr>
          <w:ilvl w:val="0"/>
          <w:numId w:val="1042"/>
        </w:numPr>
      </w:pPr>
      <w:r>
        <w:t xml:space="preserve">Morgan’s web is revealed first.</w:t>
      </w:r>
    </w:p>
    <w:p>
      <w:pPr>
        <w:pStyle w:val="Compact"/>
        <w:numPr>
          <w:ilvl w:val="0"/>
          <w:numId w:val="1042"/>
        </w:numPr>
      </w:pPr>
      <w:r>
        <w:t xml:space="preserve">Trigon later claims deeper ownership as biological father.</w:t>
      </w:r>
    </w:p>
    <w:p>
      <w:pPr>
        <w:pStyle w:val="Compact"/>
        <w:numPr>
          <w:ilvl w:val="0"/>
          <w:numId w:val="1042"/>
        </w:numPr>
      </w:pPr>
      <w:r>
        <w:t xml:space="preserve">Plot uses:</w:t>
      </w:r>
    </w:p>
    <w:p>
      <w:pPr>
        <w:pStyle w:val="Compact"/>
        <w:numPr>
          <w:ilvl w:val="1"/>
          <w:numId w:val="1043"/>
        </w:numPr>
      </w:pPr>
      <w:r>
        <w:t xml:space="preserve">Forced alliance between Vigil and Morgan.</w:t>
      </w:r>
    </w:p>
    <w:p>
      <w:pPr>
        <w:pStyle w:val="Compact"/>
        <w:numPr>
          <w:ilvl w:val="1"/>
          <w:numId w:val="1043"/>
        </w:numPr>
      </w:pPr>
      <w:r>
        <w:t xml:space="preserve">Attempt to seize the enchantment itself.</w:t>
      </w:r>
    </w:p>
    <w:p>
      <w:pPr>
        <w:pStyle w:val="Compact"/>
        <w:numPr>
          <w:ilvl w:val="1"/>
          <w:numId w:val="1043"/>
        </w:numPr>
      </w:pPr>
      <w:r>
        <w:t xml:space="preserve">Baptism or symbolic cleansing breaks Trigon’s claim.</w:t>
      </w:r>
    </w:p>
    <w:p>
      <w:r>
        <w:pict>
          <v:rect style="width:0;height:1.5pt" o:hralign="center" o:hrstd="t" o:hr="t"/>
        </w:pict>
      </w:r>
    </w:p>
    <w:bookmarkEnd w:id="42"/>
    <w:bookmarkStart w:id="43" w:name="the-spell-that-never-ends"/>
    <w:p>
      <w:pPr>
        <w:pStyle w:val="Heading3"/>
      </w:pPr>
      <w:r>
        <w:t xml:space="preserve">19. The Spell That Never Ends</w:t>
      </w:r>
    </w:p>
    <w:p>
      <w:pPr>
        <w:pStyle w:val="Compact"/>
        <w:numPr>
          <w:ilvl w:val="0"/>
          <w:numId w:val="1044"/>
        </w:numPr>
      </w:pPr>
      <w:r>
        <w:t xml:space="preserve">Possible resolution:</w:t>
      </w:r>
    </w:p>
    <w:p>
      <w:pPr>
        <w:pStyle w:val="Compact"/>
        <w:numPr>
          <w:ilvl w:val="1"/>
          <w:numId w:val="1045"/>
        </w:numPr>
      </w:pPr>
      <w:r>
        <w:t xml:space="preserve">Narrative end fulfilled, mechanical spell persists.</w:t>
      </w:r>
    </w:p>
    <w:p>
      <w:pPr>
        <w:pStyle w:val="Compact"/>
        <w:numPr>
          <w:ilvl w:val="1"/>
          <w:numId w:val="1045"/>
        </w:numPr>
      </w:pPr>
      <w:r>
        <w:t xml:space="preserve">Vigil lives the role willingly.</w:t>
      </w:r>
    </w:p>
    <w:p>
      <w:pPr>
        <w:pStyle w:val="Compact"/>
        <w:numPr>
          <w:ilvl w:val="1"/>
          <w:numId w:val="1045"/>
        </w:numPr>
      </w:pPr>
      <w:r>
        <w:t xml:space="preserve">Power accessible as long as rules are honored.</w:t>
      </w:r>
    </w:p>
    <w:p>
      <w:pPr>
        <w:pStyle w:val="Compact"/>
        <w:numPr>
          <w:ilvl w:val="0"/>
          <w:numId w:val="1044"/>
        </w:numPr>
      </w:pPr>
      <w:r>
        <w:t xml:space="preserve">Plot uses:</w:t>
      </w:r>
    </w:p>
    <w:p>
      <w:pPr>
        <w:pStyle w:val="Compact"/>
        <w:numPr>
          <w:ilvl w:val="1"/>
          <w:numId w:val="1046"/>
        </w:numPr>
      </w:pPr>
      <w:r>
        <w:t xml:space="preserve">Vigil becomes unprecedented: bound, but not owned.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vii.-table-facing-meta-hooks"/>
    <w:p>
      <w:pPr>
        <w:pStyle w:val="Heading2"/>
      </w:pPr>
      <w:r>
        <w:t xml:space="preserve">VII. Table-Facing / Meta Hooks</w:t>
      </w:r>
    </w:p>
    <w:bookmarkStart w:id="45" w:name="other-pcs-can-engage"/>
    <w:p>
      <w:pPr>
        <w:pStyle w:val="Heading3"/>
      </w:pPr>
      <w:r>
        <w:t xml:space="preserve">20. Other PCs Can Engage</w:t>
      </w:r>
    </w:p>
    <w:p>
      <w:pPr>
        <w:pStyle w:val="Compact"/>
        <w:numPr>
          <w:ilvl w:val="0"/>
          <w:numId w:val="1047"/>
        </w:numPr>
      </w:pPr>
      <w:r>
        <w:t xml:space="preserve">The oath is memorable, debatable, and relevant.</w:t>
      </w:r>
    </w:p>
    <w:p>
      <w:pPr>
        <w:pStyle w:val="Compact"/>
        <w:numPr>
          <w:ilvl w:val="0"/>
          <w:numId w:val="1047"/>
        </w:numPr>
      </w:pPr>
      <w:r>
        <w:t xml:space="preserve">Plot uses:</w:t>
      </w:r>
    </w:p>
    <w:p>
      <w:pPr>
        <w:pStyle w:val="Compact"/>
        <w:numPr>
          <w:ilvl w:val="1"/>
          <w:numId w:val="1048"/>
        </w:numPr>
      </w:pPr>
      <w:r>
        <w:t xml:space="preserve">PCs argue interpretations.</w:t>
      </w:r>
    </w:p>
    <w:p>
      <w:pPr>
        <w:pStyle w:val="Compact"/>
        <w:numPr>
          <w:ilvl w:val="1"/>
          <w:numId w:val="1048"/>
        </w:numPr>
      </w:pPr>
      <w:r>
        <w:t xml:space="preserve">Party decisions affect Vigil’s standing.</w:t>
      </w:r>
    </w:p>
    <w:p>
      <w:pPr>
        <w:pStyle w:val="Compact"/>
        <w:numPr>
          <w:ilvl w:val="1"/>
          <w:numId w:val="1048"/>
        </w:numPr>
      </w:pPr>
      <w:r>
        <w:t xml:space="preserve">Oath becomes shared table fiction, not solo lore.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intentionally exhaustive and non-prescriptive. Any element may be activated, ignored, reinterpreted, or superseded as play demands.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2025-12-24T22:10:47Z</dcterms:created>
  <dcterms:modified xsi:type="dcterms:W3CDTF">2025-12-24T22:10:47Z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