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Memorial de raciocínio da matriz de exames</w:t>
      </w:r>
    </w:p>
    <w:p>
      <w:r>
        <w:t>Empresa: RICCO · Obra: HETRIM · Data: 30/09/2026</w:t>
      </w:r>
    </w:p>
    <w:p>
      <w:r>
        <w:t>Anexo de conferência da matriz, não assinado. Para cada exame: por que foi pedido, com que base e com que grau de certeza. Quando mais de uma regra pede o mesmo exame, vale a menor periodicidade e a soma dos momentos. Nas tabelas por GHE aparece o motivo em uma frase; a norma e a origem de cada conduta estão na seção 3. Para corrigir, escreva na coluna Correção; a correção volta para o sistema e ajusta a regra citada em "ref.".</w:t>
      </w:r>
    </w:p>
    <w:p>
      <w:r>
        <w:t>Momentos: ADM admissional; PER periódico (anual quando não traz meses); MRO mudança de riscos ocupacionais; RET retorno ao trabalho; DEM demissional.</w:t>
      </w:r>
    </w:p>
    <w:p>
      <w:pPr>
        <w:pStyle w:val="Heading1"/>
      </w:pPr>
      <w:r>
        <w:t>Resumo</w:t>
      </w:r>
    </w:p>
    <w:p>
      <w:r>
        <w:t>264 exames na matriz, em 30 GHEs. Base de cada um:</w:t>
      </w:r>
    </w:p>
    <w:p>
      <w:pPr>
        <w:pStyle w:val="ListBullet"/>
      </w:pPr>
      <w:r>
        <w:t>Protocolo validado pela coordenação: 179</w:t>
      </w:r>
    </w:p>
    <w:p>
      <w:pPr>
        <w:pStyle w:val="ListBullet"/>
      </w:pPr>
      <w:r>
        <w:t>Norma ou matrizes de referência: 85</w:t>
      </w:r>
    </w:p>
    <w:p>
      <w:pPr>
        <w:pStyle w:val="ListBullet"/>
      </w:pPr>
      <w:r>
        <w:t>Riscos do PGR que o sistema não reconheceu — nenhum exame sai deles: 422, em GHE-01, GHE-02, GHE-03, GHE-04, GHE-05, GHE-06, GHE-07, GHE-08, GHE-09, GHE-10, GHE-11, GHE-12, GHE-13, GHE-14, GHE-15, GHE-16, GHE-17, GHE-18, GHE-19, GHE-20, GHE-21, GHE-22, GHE-23, GHE-24, GHE-25, GHE-26, GHE-27, GHE-28, GHE-29, GHE-30. Conferir antes de validar.</w:t>
      </w:r>
    </w:p>
    <w:p>
      <w:pPr>
        <w:pStyle w:val="Heading1"/>
      </w:pPr>
      <w:r>
        <w:t>1. Confirmar primeiro — decisões sem base direta em norma ou protocolo</w:t>
      </w:r>
    </w:p>
    <w:p>
      <w:r>
        <w:t>Nenhum exame depende só de interpretação do sistema.</w:t>
      </w:r>
    </w:p>
    <w:p>
      <w:pPr>
        <w:pStyle w:val="Heading1"/>
      </w:pPr>
      <w:r>
        <w:t>2. Matriz completa, por GHE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(BRAÇO E MÃOS)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– SILICA — PGR;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Sílica ou asbesto sem avaliação ambiental no PGR → RX de tórax (padrão OIT) a cada 2 anos, anual após 15 anos de exposição. Origem: POEIRA – SILICA — PGR. [pede: ADM, PER 24 meses, MRO, DEM] (ref. R-RX-01-sem)</w:t>
              <w:br/>
              <w:t>Poeira não classificada (PNOS) sem medição → RX de tórax (padrão OIT) no admissional e a cada 5 anos. Origem: POEIRA - PNOS — PGR. [pede: ADM, PER 60 meses, MRO, DEM] (ref. R-RX-01-pnos-sem)</w:t>
              <w:br/>
              <w:t>Mais de uma regra pede este exame: vale a menor periodicidade (24 meses) e a soma dos momentos.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(GESSO - SULFATO DE CALCIO): sem correspondência no vocabulário de agentes.</w:t>
      </w:r>
    </w:p>
    <w:p>
      <w:pPr>
        <w:pStyle w:val="ListBullet"/>
      </w:pPr>
      <w:r>
        <w:t>PRODUTOS QUÍMICOS (HIDRÓXIDO DE CÁLCIO: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–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–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PRODUTOS QUÍMICOS (HIDRÓXIDO DE CÁLCIO):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(TINTAS E VERNIZES):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Porteiro → acuidade visual anual, sem demissional. [pede: ADM, PER 12 meses, MRO] (ref. R-VIS-02)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SENTADA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*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*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 *: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INTEMPÉRIE*: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ESCORIAÇÕES*: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1"/>
      </w:pPr>
      <w:r>
        <w:t>3. Regras usadas nesta matriz — norma e origem de cada conduta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1"/>
        <w:gridCol w:w="2551"/>
        <w:gridCol w:w="1984"/>
      </w:tblGrid>
      <w:tr>
        <w:tc>
          <w:tcPr>
            <w:tcW w:type="dxa" w:w="958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255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operação de equipamento pesado ou agente ototóxico → audiometria anual. Para o ruído, NR-07, Anexo II; os outros dois gatilhos são protocolo da coordenação. (ref. R-AUD-01)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ou ruído combinado com agente ototóxico e vibração → audiometria também no demissional. Para o ruído, NR-07, Anexo II, item 4.1; a combinação é protocolo da coordenação. (ref. R-AUD-02)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Acetona no PGR → acetona na urina, no periódico, a cada 6 meses. Indicador biológico de exposição da NR-07, Anexo I, Quadro 1. (ref. R-BIO-04-acetona)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Ciclohexanona no PGR → ciclohexanol na urina, no periódico, a cada 6 meses. Indicador biológico de exposição da NR-07, Anexo I, Quadro 1. (ref. R-BIO-04-ciclohexanona)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Metil-etil-cetona (MEK) no PGR → metil-etil-cetona (MEK) na urina, no periódico, a cada 6 meses. Indicador biológico de exposição da NR-07, Anexo I, Quadro 1. (ref. R-BIO-04-metil_etil_cetona)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Tetrahidrofurano no PGR → tetrahidrofurano na urina, no periódico, a cada 6 meses. Indicador biológico de exposição da NR-07, Anexo I, Quadro 1. (ref. R-BIO-04-tetrahidrofurano)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É o piso do PCMSO (NR-07); protocolo da coordenação. (ref. R-CLI-01)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mineral (sílica, asbesto, poeira não classificada, gesso) no PGR → espirometria a cada 2 anos. NR-07, Anexo III, item 3.1; mudança de risco e demissional seguem as matrizes das coordenadoras. (ref. R-ESP-02)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Protocolo da coordenação. (ref. R-PKG-ATIVCRIT)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Trabalho em altura ou em espaço confinado → avaliação psicossocial anual. A NR-35 (item 35.4.4) e a NR-33 (item 33.5.19.1) mandam considerar os fatores psicossociais na avaliação de aptidão; a avaliação é feita por psicólogo (Resolução CFP n.º 2/2022). (ref. R-PSY-04)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não classificada (PNOS) sem medição → RX de tórax (padrão OIT) no admissional e a cada 5 anos. NR-07, Anexo III, Quadro 2; mudança de risco e demissional seguem as matrizes das coordenadoras. (ref. R-RX-01-pnos-sem)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Sílica ou asbesto sem avaliação ambiental no PGR → RX de tórax (padrão OIT) a cada 2 anos, anual após 15 anos de exposição. NR-07, Anexo III, Quadro 1. (ref. R-RX-01-sem)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Vibração de corpo inteiro → RX de coluna lombossacra no admissional e na mudança de risco. Protocolo da coordenação. (ref. R-VIB-01)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Qualquer vibração (corpo inteiro ou mãos e braços) → audiometria anual, mesmo abaixo do nível de ação. Protocolo da coordenação. (ref. R-VIB-02)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Porteiro → acuidade visual anual, sem demissional. Nenhuma NR exige; NR-07, item 7.5.18. Protocolo da coordenação. (ref. R-VIS-02)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