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Kybalion - Facilitator Lesson Plans</w:t>
      </w:r>
    </w:p>
    <w:p>
      <w:pPr>
        <w:jc w:val="center"/>
      </w:pPr>
      <w:r>
        <w:rPr>
          <w:i/>
          <w:color w:val="B38B00"/>
          <w:sz w:val="24"/>
        </w:rPr>
        <w:t>Sessions 01-15 | Introduction &amp; Chapters I-XV</w:t>
      </w:r>
    </w:p>
    <w:p>
      <w:pPr>
        <w:jc w:val="center"/>
      </w:pPr>
      <w:r>
        <w:rPr>
          <w:color w:val="5A5A5A"/>
          <w:sz w:val="20"/>
        </w:rPr>
        <w:t>Facilitator Edition</w:t>
      </w:r>
    </w:p>
    <w:p>
      <w:pPr>
        <w:jc w:val="center"/>
      </w:pPr>
      <w:r>
        <w:rPr>
          <w:color w:val="5A5A5A"/>
          <w:sz w:val="20"/>
        </w:rPr>
        <w:t>Full consolidated lesson-plan set</w:t>
      </w:r>
    </w:p>
    <w:p>
      <w:pPr>
        <w:spacing w:after="160" w:before="80"/>
        <w:pBdr>
          <w:bottom w:val="single" w:sz="8" w:space="1" w:color="003464"/>
        </w:pBdr>
      </w:pPr>
    </w:p>
    <w:p>
      <w:pPr>
        <w:pStyle w:val="Heading1"/>
      </w:pPr>
      <w:r>
        <w:t>How to Use This Facilitator Guide</w:t>
      </w:r>
    </w:p>
    <w:p>
      <w:r>
        <w:t>This consolidated facilitator guide gives each session a distinct teaching frame, human-centered emphasis, guided discussion path, activity, caution note, and closing script. It is designed to preserve a consistent structure while avoiding repetitive language that makes sessions feel interchangeable.</w:t>
      </w:r>
    </w:p>
    <w:p>
      <w:pPr>
        <w:pStyle w:val="Heading1"/>
      </w:pPr>
      <w:r>
        <w:t>Session Inventory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SESSION</w:t>
            </w:r>
          </w:p>
        </w:tc>
        <w:tc>
          <w:tcPr>
            <w:tcW w:type="dxa" w:w="3360"/>
            <w:shd w:fill="003464"/>
            <w:tcMar>
              <w:top w:w="100" w:type="dxa"/>
              <w:start w:w="100" w:type="dxa"/>
              <w:bottom w:w="100" w:type="dxa"/>
              <w:end w:w="100" w:type="dxa"/>
            </w:tcMar>
            <w:vAlign w:val="center"/>
          </w:tcPr>
          <w:p>
            <w:r>
              <w:rPr>
                <w:b/>
                <w:color w:val="FFFFFF"/>
                <w:sz w:val="18"/>
              </w:rPr>
              <w:t>READING</w:t>
            </w:r>
          </w:p>
        </w:tc>
        <w:tc>
          <w:tcPr>
            <w:tcW w:type="dxa" w:w="3360"/>
            <w:shd w:fill="003464"/>
            <w:tcMar>
              <w:top w:w="100" w:type="dxa"/>
              <w:start w:w="100" w:type="dxa"/>
              <w:bottom w:w="100" w:type="dxa"/>
              <w:end w:w="100" w:type="dxa"/>
            </w:tcMar>
            <w:vAlign w:val="center"/>
          </w:tcPr>
          <w:p>
            <w:r>
              <w:rPr>
                <w:b/>
                <w:color w:val="FFFFFF"/>
                <w:sz w:val="18"/>
              </w:rPr>
              <w:t>FACILITATOR EMPHASIS</w:t>
            </w:r>
          </w:p>
        </w:tc>
      </w:tr>
      <w:tr>
        <w:trPr>
          <w:cantSplit/>
        </w:trPr>
        <w:tc>
          <w:tcPr>
            <w:tcW w:type="dxa" w:w="3360"/>
            <w:tcMar>
              <w:top w:w="100" w:type="dxa"/>
              <w:start w:w="100" w:type="dxa"/>
              <w:bottom w:w="100" w:type="dxa"/>
              <w:end w:w="100" w:type="dxa"/>
            </w:tcMar>
          </w:tcPr>
          <w:p>
            <w:r>
              <w:rPr>
                <w:sz w:val="18"/>
              </w:rPr>
              <w:t>Session 01</w:t>
            </w:r>
          </w:p>
        </w:tc>
        <w:tc>
          <w:tcPr>
            <w:tcW w:type="dxa" w:w="3360"/>
            <w:tcMar>
              <w:top w:w="100" w:type="dxa"/>
              <w:start w:w="100" w:type="dxa"/>
              <w:bottom w:w="100" w:type="dxa"/>
              <w:end w:w="100" w:type="dxa"/>
            </w:tcMar>
          </w:tcPr>
          <w:p>
            <w:r>
              <w:rPr>
                <w:sz w:val="18"/>
              </w:rPr>
              <w:t>Introduction &amp; Chapter I: The Hermetic Philosophy</w:t>
            </w:r>
          </w:p>
        </w:tc>
        <w:tc>
          <w:tcPr>
            <w:tcW w:type="dxa" w:w="3360"/>
            <w:tcMar>
              <w:top w:w="100" w:type="dxa"/>
              <w:start w:w="100" w:type="dxa"/>
              <w:bottom w:w="100" w:type="dxa"/>
              <w:end w:w="100" w:type="dxa"/>
            </w:tcMar>
          </w:tcPr>
          <w:p>
            <w:r>
              <w:rPr>
                <w:sz w:val="18"/>
              </w:rPr>
              <w:t>Orient the group to the tone, vocabulary, and study posture of The Kybalion. Help students understand that the text uses historical, symbolic, occult, and spiritual language. The goal is not to prove every historical claim, but to help participants engage the text thoughtfully, respectfully, and critically.</w:t>
            </w:r>
          </w:p>
        </w:tc>
      </w:tr>
      <w:tr>
        <w:trPr>
          <w:cantSplit/>
        </w:trPr>
        <w:tc>
          <w:tcPr>
            <w:tcW w:type="dxa" w:w="3360"/>
            <w:tcMar>
              <w:top w:w="100" w:type="dxa"/>
              <w:start w:w="100" w:type="dxa"/>
              <w:bottom w:w="100" w:type="dxa"/>
              <w:end w:w="100" w:type="dxa"/>
            </w:tcMar>
            <w:shd w:fill="F3F5F7"/>
          </w:tcPr>
          <w:p>
            <w:r>
              <w:rPr>
                <w:sz w:val="18"/>
              </w:rPr>
              <w:t>Session 02</w:t>
            </w:r>
          </w:p>
        </w:tc>
        <w:tc>
          <w:tcPr>
            <w:tcW w:type="dxa" w:w="3360"/>
            <w:tcMar>
              <w:top w:w="100" w:type="dxa"/>
              <w:start w:w="100" w:type="dxa"/>
              <w:bottom w:w="100" w:type="dxa"/>
              <w:end w:w="100" w:type="dxa"/>
            </w:tcMar>
            <w:shd w:fill="F3F5F7"/>
          </w:tcPr>
          <w:p>
            <w:r>
              <w:rPr>
                <w:sz w:val="18"/>
              </w:rPr>
              <w:t>Chapter II: The Seven Hermetic Principles</w:t>
            </w:r>
          </w:p>
        </w:tc>
        <w:tc>
          <w:tcPr>
            <w:tcW w:type="dxa" w:w="3360"/>
            <w:tcMar>
              <w:top w:w="100" w:type="dxa"/>
              <w:start w:w="100" w:type="dxa"/>
              <w:bottom w:w="100" w:type="dxa"/>
              <w:end w:w="100" w:type="dxa"/>
            </w:tcMar>
            <w:shd w:fill="F3F5F7"/>
          </w:tcPr>
          <w:p>
            <w:r>
              <w:rPr>
                <w:sz w:val="18"/>
              </w:rPr>
              <w:t>Guide students through the seven principles without overwhelming them. Focus on plain-language meaning, everyday examples, and the way each principle prepares the group for later chapters. The objective is orientation, not mastery in one sitting.</w:t>
            </w:r>
          </w:p>
        </w:tc>
      </w:tr>
      <w:tr>
        <w:trPr>
          <w:cantSplit/>
        </w:trPr>
        <w:tc>
          <w:tcPr>
            <w:tcW w:type="dxa" w:w="3360"/>
            <w:tcMar>
              <w:top w:w="100" w:type="dxa"/>
              <w:start w:w="100" w:type="dxa"/>
              <w:bottom w:w="100" w:type="dxa"/>
              <w:end w:w="100" w:type="dxa"/>
            </w:tcMar>
          </w:tcPr>
          <w:p>
            <w:r>
              <w:rPr>
                <w:sz w:val="18"/>
              </w:rPr>
              <w:t>Session 03</w:t>
            </w:r>
          </w:p>
        </w:tc>
        <w:tc>
          <w:tcPr>
            <w:tcW w:type="dxa" w:w="3360"/>
            <w:tcMar>
              <w:top w:w="100" w:type="dxa"/>
              <w:start w:w="100" w:type="dxa"/>
              <w:bottom w:w="100" w:type="dxa"/>
              <w:end w:w="100" w:type="dxa"/>
            </w:tcMar>
          </w:tcPr>
          <w:p>
            <w:r>
              <w:rPr>
                <w:sz w:val="18"/>
              </w:rPr>
              <w:t>Chapter III: Mental Transmutation</w:t>
            </w:r>
          </w:p>
        </w:tc>
        <w:tc>
          <w:tcPr>
            <w:tcW w:type="dxa" w:w="3360"/>
            <w:tcMar>
              <w:top w:w="100" w:type="dxa"/>
              <w:start w:w="100" w:type="dxa"/>
              <w:bottom w:w="100" w:type="dxa"/>
              <w:end w:w="100" w:type="dxa"/>
            </w:tcMar>
          </w:tcPr>
          <w:p>
            <w:r>
              <w:rPr>
                <w:sz w:val="18"/>
              </w:rPr>
              <w:t>Help the group understand Mental Transmutation as disciplined self-awareness and inner practice. Keep the conversation practical and ethical, especially when the chapter discusses influence, mental power, and the possibility of affecting others.</w:t>
            </w:r>
          </w:p>
        </w:tc>
      </w:tr>
      <w:tr>
        <w:trPr>
          <w:cantSplit/>
        </w:trPr>
        <w:tc>
          <w:tcPr>
            <w:tcW w:type="dxa" w:w="3360"/>
            <w:tcMar>
              <w:top w:w="100" w:type="dxa"/>
              <w:start w:w="100" w:type="dxa"/>
              <w:bottom w:w="100" w:type="dxa"/>
              <w:end w:w="100" w:type="dxa"/>
            </w:tcMar>
            <w:shd w:fill="F3F5F7"/>
          </w:tcPr>
          <w:p>
            <w:r>
              <w:rPr>
                <w:sz w:val="18"/>
              </w:rPr>
              <w:t>Session 04</w:t>
            </w:r>
          </w:p>
        </w:tc>
        <w:tc>
          <w:tcPr>
            <w:tcW w:type="dxa" w:w="3360"/>
            <w:tcMar>
              <w:top w:w="100" w:type="dxa"/>
              <w:start w:w="100" w:type="dxa"/>
              <w:bottom w:w="100" w:type="dxa"/>
              <w:end w:w="100" w:type="dxa"/>
            </w:tcMar>
            <w:shd w:fill="F3F5F7"/>
          </w:tcPr>
          <w:p>
            <w:r>
              <w:rPr>
                <w:sz w:val="18"/>
              </w:rPr>
              <w:t>Chapter IV: The All</w:t>
            </w:r>
          </w:p>
        </w:tc>
        <w:tc>
          <w:tcPr>
            <w:tcW w:type="dxa" w:w="3360"/>
            <w:tcMar>
              <w:top w:w="100" w:type="dxa"/>
              <w:start w:w="100" w:type="dxa"/>
              <w:bottom w:w="100" w:type="dxa"/>
              <w:end w:w="100" w:type="dxa"/>
            </w:tcMar>
            <w:shd w:fill="F3F5F7"/>
          </w:tcPr>
          <w:p>
            <w:r>
              <w:rPr>
                <w:sz w:val="18"/>
              </w:rPr>
              <w:t>Guide the group through a grounded conversation about mystery, language, and ultimate reality. The goal is not to force agreement about The All, but to help participants notice how the text builds a disciplined way of thinking about what cannot be fully defined.</w:t>
            </w:r>
          </w:p>
        </w:tc>
      </w:tr>
      <w:tr>
        <w:trPr>
          <w:cantSplit/>
        </w:trPr>
        <w:tc>
          <w:tcPr>
            <w:tcW w:type="dxa" w:w="3360"/>
            <w:tcMar>
              <w:top w:w="100" w:type="dxa"/>
              <w:start w:w="100" w:type="dxa"/>
              <w:bottom w:w="100" w:type="dxa"/>
              <w:end w:w="100" w:type="dxa"/>
            </w:tcMar>
          </w:tcPr>
          <w:p>
            <w:r>
              <w:rPr>
                <w:sz w:val="18"/>
              </w:rPr>
              <w:t>Session 05</w:t>
            </w:r>
          </w:p>
        </w:tc>
        <w:tc>
          <w:tcPr>
            <w:tcW w:type="dxa" w:w="3360"/>
            <w:tcMar>
              <w:top w:w="100" w:type="dxa"/>
              <w:start w:w="100" w:type="dxa"/>
              <w:bottom w:w="100" w:type="dxa"/>
              <w:end w:w="100" w:type="dxa"/>
            </w:tcMar>
          </w:tcPr>
          <w:p>
            <w:r>
              <w:rPr>
                <w:sz w:val="18"/>
              </w:rPr>
              <w:t>Chapter V: The Mental Universe</w:t>
            </w:r>
          </w:p>
        </w:tc>
        <w:tc>
          <w:tcPr>
            <w:tcW w:type="dxa" w:w="3360"/>
            <w:tcMar>
              <w:top w:w="100" w:type="dxa"/>
              <w:start w:w="100" w:type="dxa"/>
              <w:bottom w:w="100" w:type="dxa"/>
              <w:end w:w="100" w:type="dxa"/>
            </w:tcMar>
          </w:tcPr>
          <w:p>
            <w:r>
              <w:rPr>
                <w:sz w:val="18"/>
              </w:rPr>
              <w:t>Help the group explore the mental-universe claim as a philosophical model, not a demand for literal agreement. Keep attention on the analogy, its usefulness, and its limits.</w:t>
            </w:r>
          </w:p>
        </w:tc>
      </w:tr>
      <w:tr>
        <w:trPr>
          <w:cantSplit/>
        </w:trPr>
        <w:tc>
          <w:tcPr>
            <w:tcW w:type="dxa" w:w="3360"/>
            <w:tcMar>
              <w:top w:w="100" w:type="dxa"/>
              <w:start w:w="100" w:type="dxa"/>
              <w:bottom w:w="100" w:type="dxa"/>
              <w:end w:w="100" w:type="dxa"/>
            </w:tcMar>
            <w:shd w:fill="F3F5F7"/>
          </w:tcPr>
          <w:p>
            <w:r>
              <w:rPr>
                <w:sz w:val="18"/>
              </w:rPr>
              <w:t>Session 06</w:t>
            </w:r>
          </w:p>
        </w:tc>
        <w:tc>
          <w:tcPr>
            <w:tcW w:type="dxa" w:w="3360"/>
            <w:tcMar>
              <w:top w:w="100" w:type="dxa"/>
              <w:start w:w="100" w:type="dxa"/>
              <w:bottom w:w="100" w:type="dxa"/>
              <w:end w:w="100" w:type="dxa"/>
            </w:tcMar>
            <w:shd w:fill="F3F5F7"/>
          </w:tcPr>
          <w:p>
            <w:r>
              <w:rPr>
                <w:sz w:val="18"/>
              </w:rPr>
              <w:t>Chapter VI: The Divine Paradox</w:t>
            </w:r>
          </w:p>
        </w:tc>
        <w:tc>
          <w:tcPr>
            <w:tcW w:type="dxa" w:w="3360"/>
            <w:tcMar>
              <w:top w:w="100" w:type="dxa"/>
              <w:start w:w="100" w:type="dxa"/>
              <w:bottom w:w="100" w:type="dxa"/>
              <w:end w:w="100" w:type="dxa"/>
            </w:tcMar>
            <w:shd w:fill="F3F5F7"/>
          </w:tcPr>
          <w:p>
            <w:r>
              <w:rPr>
                <w:sz w:val="18"/>
              </w:rPr>
              <w:t>Lead the group into a practical conversation about paradox. Emphasize that the chapter is not encouraging escapism, denial, or fantasy. It is teaching disciplined engagement with life.</w:t>
            </w:r>
          </w:p>
        </w:tc>
      </w:tr>
      <w:tr>
        <w:trPr>
          <w:cantSplit/>
        </w:trPr>
        <w:tc>
          <w:tcPr>
            <w:tcW w:type="dxa" w:w="3360"/>
            <w:tcMar>
              <w:top w:w="100" w:type="dxa"/>
              <w:start w:w="100" w:type="dxa"/>
              <w:bottom w:w="100" w:type="dxa"/>
              <w:end w:w="100" w:type="dxa"/>
            </w:tcMar>
          </w:tcPr>
          <w:p>
            <w:r>
              <w:rPr>
                <w:sz w:val="18"/>
              </w:rPr>
              <w:t>Session 07</w:t>
            </w:r>
          </w:p>
        </w:tc>
        <w:tc>
          <w:tcPr>
            <w:tcW w:type="dxa" w:w="3360"/>
            <w:tcMar>
              <w:top w:w="100" w:type="dxa"/>
              <w:start w:w="100" w:type="dxa"/>
              <w:bottom w:w="100" w:type="dxa"/>
              <w:end w:w="100" w:type="dxa"/>
            </w:tcMar>
          </w:tcPr>
          <w:p>
            <w:r>
              <w:rPr>
                <w:sz w:val="18"/>
              </w:rPr>
              <w:t>Chapter VII: The All in All</w:t>
            </w:r>
          </w:p>
        </w:tc>
        <w:tc>
          <w:tcPr>
            <w:tcW w:type="dxa" w:w="3360"/>
            <w:tcMar>
              <w:top w:w="100" w:type="dxa"/>
              <w:start w:w="100" w:type="dxa"/>
              <w:bottom w:w="100" w:type="dxa"/>
              <w:end w:w="100" w:type="dxa"/>
            </w:tcMar>
          </w:tcPr>
          <w:p>
            <w:r>
              <w:rPr>
                <w:sz w:val="18"/>
              </w:rPr>
              <w:t>Guide participants through the difference between “The All is in me” and the inflated claim “I am The All.” The goal is reverence, not ego inflation.</w:t>
            </w:r>
          </w:p>
        </w:tc>
      </w:tr>
      <w:tr>
        <w:trPr>
          <w:cantSplit/>
        </w:trPr>
        <w:tc>
          <w:tcPr>
            <w:tcW w:type="dxa" w:w="3360"/>
            <w:tcMar>
              <w:top w:w="100" w:type="dxa"/>
              <w:start w:w="100" w:type="dxa"/>
              <w:bottom w:w="100" w:type="dxa"/>
              <w:end w:w="100" w:type="dxa"/>
            </w:tcMar>
            <w:shd w:fill="F3F5F7"/>
          </w:tcPr>
          <w:p>
            <w:r>
              <w:rPr>
                <w:sz w:val="18"/>
              </w:rPr>
              <w:t>Session 08</w:t>
            </w:r>
          </w:p>
        </w:tc>
        <w:tc>
          <w:tcPr>
            <w:tcW w:type="dxa" w:w="3360"/>
            <w:tcMar>
              <w:top w:w="100" w:type="dxa"/>
              <w:start w:w="100" w:type="dxa"/>
              <w:bottom w:w="100" w:type="dxa"/>
              <w:end w:w="100" w:type="dxa"/>
            </w:tcMar>
            <w:shd w:fill="F3F5F7"/>
          </w:tcPr>
          <w:p>
            <w:r>
              <w:rPr>
                <w:sz w:val="18"/>
              </w:rPr>
              <w:t>Chapter VIII: The Planes of Correspondence</w:t>
            </w:r>
          </w:p>
        </w:tc>
        <w:tc>
          <w:tcPr>
            <w:tcW w:type="dxa" w:w="3360"/>
            <w:tcMar>
              <w:top w:w="100" w:type="dxa"/>
              <w:start w:w="100" w:type="dxa"/>
              <w:bottom w:w="100" w:type="dxa"/>
              <w:end w:w="100" w:type="dxa"/>
            </w:tcMar>
            <w:shd w:fill="F3F5F7"/>
          </w:tcPr>
          <w:p>
            <w:r>
              <w:rPr>
                <w:sz w:val="18"/>
              </w:rPr>
              <w:t>Help the group use the planes as a study framework without getting lost in technical classification. Keep the focus on correspondence, pattern recognition, and humility about unseen dimensions of life.</w:t>
            </w:r>
          </w:p>
        </w:tc>
      </w:tr>
      <w:tr>
        <w:trPr>
          <w:cantSplit/>
        </w:trPr>
        <w:tc>
          <w:tcPr>
            <w:tcW w:type="dxa" w:w="3360"/>
            <w:tcMar>
              <w:top w:w="100" w:type="dxa"/>
              <w:start w:w="100" w:type="dxa"/>
              <w:bottom w:w="100" w:type="dxa"/>
              <w:end w:w="100" w:type="dxa"/>
            </w:tcMar>
          </w:tcPr>
          <w:p>
            <w:r>
              <w:rPr>
                <w:sz w:val="18"/>
              </w:rPr>
              <w:t>Session 09</w:t>
            </w:r>
          </w:p>
        </w:tc>
        <w:tc>
          <w:tcPr>
            <w:tcW w:type="dxa" w:w="3360"/>
            <w:tcMar>
              <w:top w:w="100" w:type="dxa"/>
              <w:start w:w="100" w:type="dxa"/>
              <w:bottom w:w="100" w:type="dxa"/>
              <w:end w:w="100" w:type="dxa"/>
            </w:tcMar>
          </w:tcPr>
          <w:p>
            <w:r>
              <w:rPr>
                <w:sz w:val="18"/>
              </w:rPr>
              <w:t>Chapter IX: Vibration</w:t>
            </w:r>
          </w:p>
        </w:tc>
        <w:tc>
          <w:tcPr>
            <w:tcW w:type="dxa" w:w="3360"/>
            <w:tcMar>
              <w:top w:w="100" w:type="dxa"/>
              <w:start w:w="100" w:type="dxa"/>
              <w:bottom w:w="100" w:type="dxa"/>
              <w:end w:w="100" w:type="dxa"/>
            </w:tcMar>
          </w:tcPr>
          <w:p>
            <w:r>
              <w:rPr>
                <w:sz w:val="18"/>
              </w:rPr>
              <w:t>Lead the group from abstract vibration theory into practical self-awareness. Emphasize that the value of this chapter is not labeling people as high or low, but learning how states shift.</w:t>
            </w:r>
          </w:p>
        </w:tc>
      </w:tr>
      <w:tr>
        <w:trPr>
          <w:cantSplit/>
        </w:trPr>
        <w:tc>
          <w:tcPr>
            <w:tcW w:type="dxa" w:w="3360"/>
            <w:tcMar>
              <w:top w:w="100" w:type="dxa"/>
              <w:start w:w="100" w:type="dxa"/>
              <w:bottom w:w="100" w:type="dxa"/>
              <w:end w:w="100" w:type="dxa"/>
            </w:tcMar>
            <w:shd w:fill="F3F5F7"/>
          </w:tcPr>
          <w:p>
            <w:r>
              <w:rPr>
                <w:sz w:val="18"/>
              </w:rPr>
              <w:t>Session 10</w:t>
            </w:r>
          </w:p>
        </w:tc>
        <w:tc>
          <w:tcPr>
            <w:tcW w:type="dxa" w:w="3360"/>
            <w:tcMar>
              <w:top w:w="100" w:type="dxa"/>
              <w:start w:w="100" w:type="dxa"/>
              <w:bottom w:w="100" w:type="dxa"/>
              <w:end w:w="100" w:type="dxa"/>
            </w:tcMar>
            <w:shd w:fill="F3F5F7"/>
          </w:tcPr>
          <w:p>
            <w:r>
              <w:rPr>
                <w:sz w:val="18"/>
              </w:rPr>
              <w:t>Chapter X: Polarity</w:t>
            </w:r>
          </w:p>
        </w:tc>
        <w:tc>
          <w:tcPr>
            <w:tcW w:type="dxa" w:w="3360"/>
            <w:tcMar>
              <w:top w:w="100" w:type="dxa"/>
              <w:start w:w="100" w:type="dxa"/>
              <w:bottom w:w="100" w:type="dxa"/>
              <w:end w:w="100" w:type="dxa"/>
            </w:tcMar>
            <w:shd w:fill="F3F5F7"/>
          </w:tcPr>
          <w:p>
            <w:r>
              <w:rPr>
                <w:sz w:val="18"/>
              </w:rPr>
              <w:t>Guide students into nuanced thinking. The chapter is powerful because it gives language for transformation without pretending that opposites are meaningless or that harm is the same as healing.</w:t>
            </w:r>
          </w:p>
        </w:tc>
      </w:tr>
      <w:tr>
        <w:trPr>
          <w:cantSplit/>
        </w:trPr>
        <w:tc>
          <w:tcPr>
            <w:tcW w:type="dxa" w:w="3360"/>
            <w:tcMar>
              <w:top w:w="100" w:type="dxa"/>
              <w:start w:w="100" w:type="dxa"/>
              <w:bottom w:w="100" w:type="dxa"/>
              <w:end w:w="100" w:type="dxa"/>
            </w:tcMar>
          </w:tcPr>
          <w:p>
            <w:r>
              <w:rPr>
                <w:sz w:val="18"/>
              </w:rPr>
              <w:t>Session 11</w:t>
            </w:r>
          </w:p>
        </w:tc>
        <w:tc>
          <w:tcPr>
            <w:tcW w:type="dxa" w:w="3360"/>
            <w:tcMar>
              <w:top w:w="100" w:type="dxa"/>
              <w:start w:w="100" w:type="dxa"/>
              <w:bottom w:w="100" w:type="dxa"/>
              <w:end w:w="100" w:type="dxa"/>
            </w:tcMar>
          </w:tcPr>
          <w:p>
            <w:r>
              <w:rPr>
                <w:sz w:val="18"/>
              </w:rPr>
              <w:t>Chapter XI: Rhythm</w:t>
            </w:r>
          </w:p>
        </w:tc>
        <w:tc>
          <w:tcPr>
            <w:tcW w:type="dxa" w:w="3360"/>
            <w:tcMar>
              <w:top w:w="100" w:type="dxa"/>
              <w:start w:w="100" w:type="dxa"/>
              <w:bottom w:w="100" w:type="dxa"/>
              <w:end w:w="100" w:type="dxa"/>
            </w:tcMar>
          </w:tcPr>
          <w:p>
            <w:r>
              <w:rPr>
                <w:sz w:val="18"/>
              </w:rPr>
              <w:t>Help the group name real rhythms in life while avoiding fatalism. The goal is steady awareness, not pretending to be above ordinary human cycles.</w:t>
            </w:r>
          </w:p>
        </w:tc>
      </w:tr>
      <w:tr>
        <w:trPr>
          <w:cantSplit/>
        </w:trPr>
        <w:tc>
          <w:tcPr>
            <w:tcW w:type="dxa" w:w="3360"/>
            <w:tcMar>
              <w:top w:w="100" w:type="dxa"/>
              <w:start w:w="100" w:type="dxa"/>
              <w:bottom w:w="100" w:type="dxa"/>
              <w:end w:w="100" w:type="dxa"/>
            </w:tcMar>
            <w:shd w:fill="F3F5F7"/>
          </w:tcPr>
          <w:p>
            <w:r>
              <w:rPr>
                <w:sz w:val="18"/>
              </w:rPr>
              <w:t>Session 12</w:t>
            </w:r>
          </w:p>
        </w:tc>
        <w:tc>
          <w:tcPr>
            <w:tcW w:type="dxa" w:w="3360"/>
            <w:tcMar>
              <w:top w:w="100" w:type="dxa"/>
              <w:start w:w="100" w:type="dxa"/>
              <w:bottom w:w="100" w:type="dxa"/>
              <w:end w:w="100" w:type="dxa"/>
            </w:tcMar>
            <w:shd w:fill="F3F5F7"/>
          </w:tcPr>
          <w:p>
            <w:r>
              <w:rPr>
                <w:sz w:val="18"/>
              </w:rPr>
              <w:t>Chapter XII: Causation</w:t>
            </w:r>
          </w:p>
        </w:tc>
        <w:tc>
          <w:tcPr>
            <w:tcW w:type="dxa" w:w="3360"/>
            <w:tcMar>
              <w:top w:w="100" w:type="dxa"/>
              <w:start w:w="100" w:type="dxa"/>
              <w:bottom w:w="100" w:type="dxa"/>
              <w:end w:w="100" w:type="dxa"/>
            </w:tcMar>
            <w:shd w:fill="F3F5F7"/>
          </w:tcPr>
          <w:p>
            <w:r>
              <w:rPr>
                <w:sz w:val="18"/>
              </w:rPr>
              <w:t>Lead a balanced conversation about cause, agency, and limitation. The chapter should empower students, not encourage harsh self-blame or simplistic explanations for complex life events.</w:t>
            </w:r>
          </w:p>
        </w:tc>
      </w:tr>
      <w:tr>
        <w:trPr>
          <w:cantSplit/>
        </w:trPr>
        <w:tc>
          <w:tcPr>
            <w:tcW w:type="dxa" w:w="3360"/>
            <w:tcMar>
              <w:top w:w="100" w:type="dxa"/>
              <w:start w:w="100" w:type="dxa"/>
              <w:bottom w:w="100" w:type="dxa"/>
              <w:end w:w="100" w:type="dxa"/>
            </w:tcMar>
          </w:tcPr>
          <w:p>
            <w:r>
              <w:rPr>
                <w:sz w:val="18"/>
              </w:rPr>
              <w:t>Session 13</w:t>
            </w:r>
          </w:p>
        </w:tc>
        <w:tc>
          <w:tcPr>
            <w:tcW w:type="dxa" w:w="3360"/>
            <w:tcMar>
              <w:top w:w="100" w:type="dxa"/>
              <w:start w:w="100" w:type="dxa"/>
              <w:bottom w:w="100" w:type="dxa"/>
              <w:end w:w="100" w:type="dxa"/>
            </w:tcMar>
          </w:tcPr>
          <w:p>
            <w:r>
              <w:rPr>
                <w:sz w:val="18"/>
              </w:rPr>
              <w:t>Chapter XIII: Gender</w:t>
            </w:r>
          </w:p>
        </w:tc>
        <w:tc>
          <w:tcPr>
            <w:tcW w:type="dxa" w:w="3360"/>
            <w:tcMar>
              <w:top w:w="100" w:type="dxa"/>
              <w:start w:w="100" w:type="dxa"/>
              <w:bottom w:w="100" w:type="dxa"/>
              <w:end w:w="100" w:type="dxa"/>
            </w:tcMar>
          </w:tcPr>
          <w:p>
            <w:r>
              <w:rPr>
                <w:sz w:val="18"/>
              </w:rPr>
              <w:t>Hold this chapter carefully. Clarify early that the text’s use of masculine and feminine language is symbolic and historical. The purpose is to explore creative polarity without reinforcing rigid gender assumptions.</w:t>
            </w:r>
          </w:p>
        </w:tc>
      </w:tr>
      <w:tr>
        <w:trPr>
          <w:cantSplit/>
        </w:trPr>
        <w:tc>
          <w:tcPr>
            <w:tcW w:type="dxa" w:w="3360"/>
            <w:tcMar>
              <w:top w:w="100" w:type="dxa"/>
              <w:start w:w="100" w:type="dxa"/>
              <w:bottom w:w="100" w:type="dxa"/>
              <w:end w:w="100" w:type="dxa"/>
            </w:tcMar>
            <w:shd w:fill="F3F5F7"/>
          </w:tcPr>
          <w:p>
            <w:r>
              <w:rPr>
                <w:sz w:val="18"/>
              </w:rPr>
              <w:t>Session 14</w:t>
            </w:r>
          </w:p>
        </w:tc>
        <w:tc>
          <w:tcPr>
            <w:tcW w:type="dxa" w:w="3360"/>
            <w:tcMar>
              <w:top w:w="100" w:type="dxa"/>
              <w:start w:w="100" w:type="dxa"/>
              <w:bottom w:w="100" w:type="dxa"/>
              <w:end w:w="100" w:type="dxa"/>
            </w:tcMar>
            <w:shd w:fill="F3F5F7"/>
          </w:tcPr>
          <w:p>
            <w:r>
              <w:rPr>
                <w:sz w:val="18"/>
              </w:rPr>
              <w:t>Chapter XIV: Mental Gender</w:t>
            </w:r>
          </w:p>
        </w:tc>
        <w:tc>
          <w:tcPr>
            <w:tcW w:type="dxa" w:w="3360"/>
            <w:tcMar>
              <w:top w:w="100" w:type="dxa"/>
              <w:start w:w="100" w:type="dxa"/>
              <w:bottom w:w="100" w:type="dxa"/>
              <w:end w:w="100" w:type="dxa"/>
            </w:tcMar>
            <w:shd w:fill="F3F5F7"/>
          </w:tcPr>
          <w:p>
            <w:r>
              <w:rPr>
                <w:sz w:val="18"/>
              </w:rPr>
              <w:t>Help the group explore “I” and “Me” as an introspective tool. Keep the language practical: awareness, attention, suggestion, impression, and self-direction.</w:t>
            </w:r>
          </w:p>
        </w:tc>
      </w:tr>
      <w:tr>
        <w:trPr>
          <w:cantSplit/>
        </w:trPr>
        <w:tc>
          <w:tcPr>
            <w:tcW w:type="dxa" w:w="3360"/>
            <w:tcMar>
              <w:top w:w="100" w:type="dxa"/>
              <w:start w:w="100" w:type="dxa"/>
              <w:bottom w:w="100" w:type="dxa"/>
              <w:end w:w="100" w:type="dxa"/>
            </w:tcMar>
          </w:tcPr>
          <w:p>
            <w:r>
              <w:rPr>
                <w:sz w:val="18"/>
              </w:rPr>
              <w:t>Session 15</w:t>
            </w:r>
          </w:p>
        </w:tc>
        <w:tc>
          <w:tcPr>
            <w:tcW w:type="dxa" w:w="3360"/>
            <w:tcMar>
              <w:top w:w="100" w:type="dxa"/>
              <w:start w:w="100" w:type="dxa"/>
              <w:bottom w:w="100" w:type="dxa"/>
              <w:end w:w="100" w:type="dxa"/>
            </w:tcMar>
          </w:tcPr>
          <w:p>
            <w:r>
              <w:rPr>
                <w:sz w:val="18"/>
              </w:rPr>
              <w:t>Chapter XV: Hermetic Axioms</w:t>
            </w:r>
          </w:p>
        </w:tc>
        <w:tc>
          <w:tcPr>
            <w:tcW w:type="dxa" w:w="3360"/>
            <w:tcMar>
              <w:top w:w="100" w:type="dxa"/>
              <w:start w:w="100" w:type="dxa"/>
              <w:bottom w:w="100" w:type="dxa"/>
              <w:end w:w="100" w:type="dxa"/>
            </w:tcMar>
          </w:tcPr>
          <w:p>
            <w:r>
              <w:rPr>
                <w:sz w:val="18"/>
              </w:rPr>
              <w:t>Close the series by helping participants synthesize without rushing. Encourage them to name one practical commitment and one principle they want to keep studying.</w:t>
            </w:r>
          </w:p>
        </w:tc>
      </w:tr>
    </w:tbl>
    <w:p/>
    <w:p>
      <w:pPr>
        <w:pStyle w:val="Heading1"/>
      </w:pPr>
      <w:r>
        <w:t>Session 01: Introduction &amp; Chapter I - The Hermetic Philosophy</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The lips of wisdom are closed, except to the ears of Understanding.</w:t>
            </w:r>
          </w:p>
        </w:tc>
      </w:tr>
    </w:tbl>
    <w:p/>
    <w:p>
      <w:pPr>
        <w:pStyle w:val="Heading2"/>
      </w:pPr>
      <w:r>
        <w:t>Facilitator Purpose</w:t>
      </w:r>
    </w:p>
    <w:p>
      <w:r>
        <w:t>Orient the group to the tone, vocabulary, and study posture of The Kybalion. Help students understand that the text uses historical, symbolic, occult, and spiritual language. The goal is not to prove every historical claim, but to help participants engage the text thoughtfully, respectfully, and critically.</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The opening material frames Hermetic study as a disciplined path of readiness, discernment, and inner application rather than a collection of abstract ideas.</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opening session helps students enter the study with humility, curiosity, and discernment. Students learn the difference between reading for information and reading for transformation. They also begin to understand why the text emphasizes readiness, secrecy, careful transmission, and the danger of turning living wisdom into rigid belief.</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Introduction &amp; Chapter I: The Hermetic Philosophy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The opening material frames Hermetic study as a disciplined path of readiness, discernment, and inner application rather than a collection of abstract ideas.</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Study Posture Covenant.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beginning The Kybalion by learning how to approach the text before trying to master it. The Introduction and Chapter I give us the study posture: patience, discernment, humility, and honest inquiry. We do not have to agree with every claim in order to learn from the structure of the teaching. Our task is to listen carefully, ask grounded questions, and notice what the text invites us to practice.</w:t>
      </w:r>
    </w:p>
    <w:p>
      <w:pPr>
        <w:pStyle w:val="Heading2"/>
      </w:pPr>
      <w:r>
        <w:t>Teaching Notes</w:t>
      </w:r>
    </w:p>
    <w:p>
      <w:pPr>
        <w:pStyle w:val="ListBullet"/>
      </w:pPr>
      <w:r>
        <w:rPr>
          <w:b/>
        </w:rPr>
        <w:t xml:space="preserve">Hermetic Philosophy: </w:t>
      </w:r>
      <w:r>
        <w:t>The wisdom tradition the text associates with Hermes Trismegistus and the hidden teachings of ancient Egypt and Greece.</w:t>
      </w:r>
    </w:p>
    <w:p>
      <w:pPr>
        <w:pStyle w:val="ListBullet"/>
      </w:pPr>
      <w:r>
        <w:rPr>
          <w:b/>
        </w:rPr>
        <w:t xml:space="preserve">Hermes Trismegistus: </w:t>
      </w:r>
      <w:r>
        <w:t>The symbolic figure presented as the Master of Masters and the fountainhead of Hermetic wisdom.</w:t>
      </w:r>
    </w:p>
    <w:p>
      <w:pPr>
        <w:pStyle w:val="ListBullet"/>
      </w:pPr>
      <w:r>
        <w:rPr>
          <w:b/>
        </w:rPr>
        <w:t xml:space="preserve">Master-Key: </w:t>
      </w:r>
      <w:r>
        <w:t>A central metaphor for principles that help students unlock deeper meanings across spiritual and philosophical teachings.</w:t>
      </w:r>
    </w:p>
    <w:p>
      <w:pPr>
        <w:pStyle w:val="ListBullet"/>
      </w:pPr>
      <w:r>
        <w:rPr>
          <w:b/>
        </w:rPr>
        <w:t xml:space="preserve">Readiness: </w:t>
      </w:r>
      <w:r>
        <w:t>The idea that teachings become meaningful only when the student has the maturity and openness to receive them.</w:t>
      </w:r>
    </w:p>
    <w:p>
      <w:pPr>
        <w:pStyle w:val="ListBullet"/>
      </w:pPr>
      <w:r>
        <w:rPr>
          <w:b/>
        </w:rPr>
        <w:t xml:space="preserve">Secrecy and Discernment: </w:t>
      </w:r>
      <w:r>
        <w:t>The practice of sharing deeper teachings carefully so they are not distorted, misused, or reduced to slogans.</w:t>
      </w:r>
    </w:p>
    <w:p>
      <w:pPr>
        <w:pStyle w:val="ListBullet"/>
      </w:pPr>
      <w:r>
        <w:rPr>
          <w:b/>
        </w:rPr>
        <w:t xml:space="preserve">Mental Alchemy: </w:t>
      </w:r>
      <w:r>
        <w:t>The transformation of mental states and vibrations rather than the literal turning of metals into gold.</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What does it mean to be ready for a teaching, and how is readiness different from intelligence?</w:t>
            </w:r>
          </w:p>
        </w:tc>
        <w:tc>
          <w:tcPr>
            <w:tcW w:type="dxa" w:w="5040"/>
            <w:tcMar>
              <w:top w:w="100" w:type="dxa"/>
              <w:start w:w="100" w:type="dxa"/>
              <w:bottom w:w="100" w:type="dxa"/>
              <w:end w:w="100" w:type="dxa"/>
            </w:tcMar>
          </w:tcPr>
          <w:p>
            <w:r>
              <w:rPr>
                <w:sz w:val="18"/>
              </w:rPr>
              <w:t>Ask students to name what kind of learning environment would make honest exploration possible, then connect the answer back to readiness and discernment.</w:t>
            </w:r>
          </w:p>
        </w:tc>
      </w:tr>
      <w:tr>
        <w:trPr>
          <w:cantSplit/>
        </w:trPr>
        <w:tc>
          <w:tcPr>
            <w:tcW w:type="dxa" w:w="5040"/>
            <w:tcMar>
              <w:top w:w="100" w:type="dxa"/>
              <w:start w:w="100" w:type="dxa"/>
              <w:bottom w:w="100" w:type="dxa"/>
              <w:end w:w="100" w:type="dxa"/>
            </w:tcMar>
            <w:shd w:fill="F3F5F7"/>
          </w:tcPr>
          <w:p>
            <w:r>
              <w:rPr>
                <w:sz w:val="18"/>
              </w:rPr>
              <w:t>Why might the text describe itself as a Master-Key rather than a complete system?</w:t>
            </w:r>
          </w:p>
        </w:tc>
        <w:tc>
          <w:tcPr>
            <w:tcW w:type="dxa" w:w="5040"/>
            <w:tcMar>
              <w:top w:w="100" w:type="dxa"/>
              <w:start w:w="100" w:type="dxa"/>
              <w:bottom w:w="100" w:type="dxa"/>
              <w:end w:w="100" w:type="dxa"/>
            </w:tcMar>
            <w:shd w:fill="F3F5F7"/>
          </w:tcPr>
          <w:p>
            <w:r>
              <w:rPr>
                <w:sz w:val="18"/>
              </w:rPr>
              <w:t>Ask students to name what kind of learning environment would make honest exploration possible, then connect the answer back to readiness and discernment.</w:t>
            </w:r>
          </w:p>
        </w:tc>
      </w:tr>
      <w:tr>
        <w:trPr>
          <w:cantSplit/>
        </w:trPr>
        <w:tc>
          <w:tcPr>
            <w:tcW w:type="dxa" w:w="5040"/>
            <w:tcMar>
              <w:top w:w="100" w:type="dxa"/>
              <w:start w:w="100" w:type="dxa"/>
              <w:bottom w:w="100" w:type="dxa"/>
              <w:end w:w="100" w:type="dxa"/>
            </w:tcMar>
          </w:tcPr>
          <w:p>
            <w:r>
              <w:rPr>
                <w:sz w:val="18"/>
              </w:rPr>
              <w:t>How can a group study hidden or esoteric language without becoming elitist or careless?</w:t>
            </w:r>
          </w:p>
        </w:tc>
        <w:tc>
          <w:tcPr>
            <w:tcW w:type="dxa" w:w="5040"/>
            <w:tcMar>
              <w:top w:w="100" w:type="dxa"/>
              <w:start w:w="100" w:type="dxa"/>
              <w:bottom w:w="100" w:type="dxa"/>
              <w:end w:w="100" w:type="dxa"/>
            </w:tcMar>
          </w:tcPr>
          <w:p>
            <w:r>
              <w:rPr>
                <w:sz w:val="18"/>
              </w:rPr>
              <w:t>Ask students to name what kind of learning environment would make honest exploration possible, then connect the answer back to readiness and discernment.</w:t>
            </w:r>
          </w:p>
        </w:tc>
      </w:tr>
      <w:tr>
        <w:trPr>
          <w:cantSplit/>
        </w:trPr>
        <w:tc>
          <w:tcPr>
            <w:tcW w:type="dxa" w:w="5040"/>
            <w:tcMar>
              <w:top w:w="100" w:type="dxa"/>
              <w:start w:w="100" w:type="dxa"/>
              <w:bottom w:w="100" w:type="dxa"/>
              <w:end w:w="100" w:type="dxa"/>
            </w:tcMar>
            <w:shd w:fill="F3F5F7"/>
          </w:tcPr>
          <w:p>
            <w:r>
              <w:rPr>
                <w:sz w:val="18"/>
              </w:rPr>
              <w:t>Where do you see the danger of turning living wisdom into rigid doctrine?</w:t>
            </w:r>
          </w:p>
        </w:tc>
        <w:tc>
          <w:tcPr>
            <w:tcW w:type="dxa" w:w="5040"/>
            <w:tcMar>
              <w:top w:w="100" w:type="dxa"/>
              <w:start w:w="100" w:type="dxa"/>
              <w:bottom w:w="100" w:type="dxa"/>
              <w:end w:w="100" w:type="dxa"/>
            </w:tcMar>
            <w:shd w:fill="F3F5F7"/>
          </w:tcPr>
          <w:p>
            <w:r>
              <w:rPr>
                <w:sz w:val="18"/>
              </w:rPr>
              <w:t>Ask students to name what kind of learning environment would make honest exploration possible, then connect the answer back to readiness and discernment.</w:t>
            </w:r>
          </w:p>
        </w:tc>
      </w:tr>
      <w:tr>
        <w:trPr>
          <w:cantSplit/>
        </w:trPr>
        <w:tc>
          <w:tcPr>
            <w:tcW w:type="dxa" w:w="5040"/>
            <w:tcMar>
              <w:top w:w="100" w:type="dxa"/>
              <w:start w:w="100" w:type="dxa"/>
              <w:bottom w:w="100" w:type="dxa"/>
              <w:end w:w="100" w:type="dxa"/>
            </w:tcMar>
          </w:tcPr>
          <w:p>
            <w:r>
              <w:rPr>
                <w:sz w:val="18"/>
              </w:rPr>
              <w:t>What study posture would help this group stay open, grounded, and honest?</w:t>
            </w:r>
          </w:p>
        </w:tc>
        <w:tc>
          <w:tcPr>
            <w:tcW w:type="dxa" w:w="5040"/>
            <w:tcMar>
              <w:top w:w="100" w:type="dxa"/>
              <w:start w:w="100" w:type="dxa"/>
              <w:bottom w:w="100" w:type="dxa"/>
              <w:end w:w="100" w:type="dxa"/>
            </w:tcMar>
          </w:tcPr>
          <w:p>
            <w:r>
              <w:rPr>
                <w:sz w:val="18"/>
              </w:rPr>
              <w:t>Ask students to name what kind of learning environment would make honest exploration possible, then connect the answer back to readiness and discernment.</w:t>
            </w:r>
          </w:p>
        </w:tc>
      </w:tr>
    </w:tbl>
    <w:p/>
    <w:p>
      <w:pPr>
        <w:pStyle w:val="Heading2"/>
      </w:pPr>
      <w:r>
        <w:t>Activity Instructions</w:t>
      </w:r>
    </w:p>
    <w:p>
      <w:r>
        <w:rPr>
          <w:b/>
        </w:rPr>
        <w:t xml:space="preserve">Study Posture Covenant: </w:t>
      </w:r>
      <w:r>
        <w:t>Students identify three commitments they want to bring into the study group, such as patience, humility, honest questioning, confidentiality, respectful disagreement, or personal application. The group then creates a short shared covenant for how discussions will be held.</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Keep the room grounded. Some participants may romanticize secrecy while others may distrust occult language. Normalize both reactions and bring the group back to careful reading, lived application, and psychological safety.</w:t>
            </w:r>
          </w:p>
        </w:tc>
      </w:tr>
    </w:tbl>
    <w:p/>
    <w:p>
      <w:pPr>
        <w:pStyle w:val="Heading2"/>
      </w:pPr>
      <w:r>
        <w:t>Closing Script</w:t>
      </w:r>
    </w:p>
    <w:p>
      <w:r>
        <w:t>As we close The Hermetic Philosophy, the goal is not to leave with perfect comprehension. The goal is to leave with a clearer question, a more honest observation, and one way to apply the teaching. The opening session is less about mastering content and more about becoming the kind of student who can receive, question, and apply the teaching wisely.</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02: Chapter II - The Seven Hermetic Principles</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The Principles of Truth are Seven; he who knows these, understandingly, possesses the Magic Key before whose touch all the Doors of the Temple fly open.</w:t>
            </w:r>
          </w:p>
        </w:tc>
      </w:tr>
    </w:tbl>
    <w:p/>
    <w:p>
      <w:pPr>
        <w:pStyle w:val="Heading2"/>
      </w:pPr>
      <w:r>
        <w:t>Facilitator Purpose</w:t>
      </w:r>
    </w:p>
    <w:p>
      <w:r>
        <w:t>Guide students through the seven principles without overwhelming them. Focus on plain-language meaning, everyday examples, and the way each principle prepares the group for later chapters. The objective is orientation, not mastery in one sitting.</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The seven principles are the organizing framework of The Kybalion and serve as lenses for interpreting mind, nature, change, relationship, consequence, and creation.</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build the foundation for the whole study. Students learn the seven principles as practical lenses rather than isolated definitions, so later chapters can be understood as deeper applications of the same framework.</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II: The Seven Hermetic Principles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The seven principles are the organizing framework of The Kybalion and serve as lenses for interpreting mind, nature, change, relationship, consequence, and creation.</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Seven Principles Lens Map.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II: The Seven Hermetic Principles.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Mentalism: </w:t>
      </w:r>
      <w:r>
        <w:t>All reality is presented as mental in nature, held in the Mind of The All.</w:t>
      </w:r>
    </w:p>
    <w:p>
      <w:pPr>
        <w:pStyle w:val="ListBullet"/>
      </w:pPr>
      <w:r>
        <w:rPr>
          <w:b/>
        </w:rPr>
        <w:t xml:space="preserve">Correspondence: </w:t>
      </w:r>
      <w:r>
        <w:t>Patterns repeat across planes: as above, so below; as below, so above.</w:t>
      </w:r>
    </w:p>
    <w:p>
      <w:pPr>
        <w:pStyle w:val="ListBullet"/>
      </w:pPr>
      <w:r>
        <w:rPr>
          <w:b/>
        </w:rPr>
        <w:t xml:space="preserve">Vibration: </w:t>
      </w:r>
      <w:r>
        <w:t>Everything is in motion, and differences arise through different rates of vibration.</w:t>
      </w:r>
    </w:p>
    <w:p>
      <w:pPr>
        <w:pStyle w:val="ListBullet"/>
      </w:pPr>
      <w:r>
        <w:rPr>
          <w:b/>
        </w:rPr>
        <w:t xml:space="preserve">Polarity: </w:t>
      </w:r>
      <w:r>
        <w:t>Opposites are poles of the same underlying thing, differing in degree.</w:t>
      </w:r>
    </w:p>
    <w:p>
      <w:pPr>
        <w:pStyle w:val="ListBullet"/>
      </w:pPr>
      <w:r>
        <w:rPr>
          <w:b/>
        </w:rPr>
        <w:t xml:space="preserve">Rhythm: </w:t>
      </w:r>
      <w:r>
        <w:t>Everything moves through cycles, swings, tides, rise and fall.</w:t>
      </w:r>
    </w:p>
    <w:p>
      <w:pPr>
        <w:pStyle w:val="ListBullet"/>
      </w:pPr>
      <w:r>
        <w:rPr>
          <w:b/>
        </w:rPr>
        <w:t xml:space="preserve">Cause and Effect: </w:t>
      </w:r>
      <w:r>
        <w:t>Nothing merely happens; every effect has a cause and every cause has an effect.</w:t>
      </w:r>
    </w:p>
    <w:p>
      <w:pPr>
        <w:pStyle w:val="ListBullet"/>
      </w:pPr>
      <w:r>
        <w:rPr>
          <w:b/>
        </w:rPr>
        <w:t xml:space="preserve">Gender: </w:t>
      </w:r>
      <w:r>
        <w:t>Creation requires generative principles, symbolized as masculine and feminine on all planes.</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Which of the seven principles feels easiest to understand from everyday life?</w:t>
            </w:r>
          </w:p>
        </w:tc>
        <w:tc>
          <w:tcPr>
            <w:tcW w:type="dxa" w:w="5040"/>
            <w:tcMar>
              <w:top w:w="100" w:type="dxa"/>
              <w:start w:w="100" w:type="dxa"/>
              <w:bottom w:w="100" w:type="dxa"/>
              <w:end w:w="100" w:type="dxa"/>
            </w:tcMar>
          </w:tcPr>
          <w:p>
            <w:r>
              <w:rPr>
                <w:sz w:val="18"/>
              </w:rPr>
              <w:t>Ask students to offer one everyday example of the principle and one question they still have about it.</w:t>
            </w:r>
          </w:p>
        </w:tc>
      </w:tr>
      <w:tr>
        <w:trPr>
          <w:cantSplit/>
        </w:trPr>
        <w:tc>
          <w:tcPr>
            <w:tcW w:type="dxa" w:w="5040"/>
            <w:tcMar>
              <w:top w:w="100" w:type="dxa"/>
              <w:start w:w="100" w:type="dxa"/>
              <w:bottom w:w="100" w:type="dxa"/>
              <w:end w:w="100" w:type="dxa"/>
            </w:tcMar>
            <w:shd w:fill="F3F5F7"/>
          </w:tcPr>
          <w:p>
            <w:r>
              <w:rPr>
                <w:sz w:val="18"/>
              </w:rPr>
              <w:t>Which principle feels most abstract, confusing, or provocative?</w:t>
            </w:r>
          </w:p>
        </w:tc>
        <w:tc>
          <w:tcPr>
            <w:tcW w:type="dxa" w:w="5040"/>
            <w:tcMar>
              <w:top w:w="100" w:type="dxa"/>
              <w:start w:w="100" w:type="dxa"/>
              <w:bottom w:w="100" w:type="dxa"/>
              <w:end w:w="100" w:type="dxa"/>
            </w:tcMar>
            <w:shd w:fill="F3F5F7"/>
          </w:tcPr>
          <w:p>
            <w:r>
              <w:rPr>
                <w:sz w:val="18"/>
              </w:rPr>
              <w:t>Ask students to offer one everyday example of the principle and one question they still have about it.</w:t>
            </w:r>
          </w:p>
        </w:tc>
      </w:tr>
      <w:tr>
        <w:trPr>
          <w:cantSplit/>
        </w:trPr>
        <w:tc>
          <w:tcPr>
            <w:tcW w:type="dxa" w:w="5040"/>
            <w:tcMar>
              <w:top w:w="100" w:type="dxa"/>
              <w:start w:w="100" w:type="dxa"/>
              <w:bottom w:w="100" w:type="dxa"/>
              <w:end w:w="100" w:type="dxa"/>
            </w:tcMar>
          </w:tcPr>
          <w:p>
            <w:r>
              <w:rPr>
                <w:sz w:val="18"/>
              </w:rPr>
              <w:t>How might these principles work together rather than separately?</w:t>
            </w:r>
          </w:p>
        </w:tc>
        <w:tc>
          <w:tcPr>
            <w:tcW w:type="dxa" w:w="5040"/>
            <w:tcMar>
              <w:top w:w="100" w:type="dxa"/>
              <w:start w:w="100" w:type="dxa"/>
              <w:bottom w:w="100" w:type="dxa"/>
              <w:end w:w="100" w:type="dxa"/>
            </w:tcMar>
          </w:tcPr>
          <w:p>
            <w:r>
              <w:rPr>
                <w:sz w:val="18"/>
              </w:rPr>
              <w:t>Ask students to offer one everyday example of the principle and one question they still have about it.</w:t>
            </w:r>
          </w:p>
        </w:tc>
      </w:tr>
      <w:tr>
        <w:trPr>
          <w:cantSplit/>
        </w:trPr>
        <w:tc>
          <w:tcPr>
            <w:tcW w:type="dxa" w:w="5040"/>
            <w:tcMar>
              <w:top w:w="100" w:type="dxa"/>
              <w:start w:w="100" w:type="dxa"/>
              <w:bottom w:w="100" w:type="dxa"/>
              <w:end w:w="100" w:type="dxa"/>
            </w:tcMar>
            <w:shd w:fill="F3F5F7"/>
          </w:tcPr>
          <w:p>
            <w:r>
              <w:rPr>
                <w:sz w:val="18"/>
              </w:rPr>
              <w:t>What is the risk of treating a principle as a slogan instead of a practice?</w:t>
            </w:r>
          </w:p>
        </w:tc>
        <w:tc>
          <w:tcPr>
            <w:tcW w:type="dxa" w:w="5040"/>
            <w:tcMar>
              <w:top w:w="100" w:type="dxa"/>
              <w:start w:w="100" w:type="dxa"/>
              <w:bottom w:w="100" w:type="dxa"/>
              <w:end w:w="100" w:type="dxa"/>
            </w:tcMar>
            <w:shd w:fill="F3F5F7"/>
          </w:tcPr>
          <w:p>
            <w:r>
              <w:rPr>
                <w:sz w:val="18"/>
              </w:rPr>
              <w:t>Ask students to offer one everyday example of the principle and one question they still have about it.</w:t>
            </w:r>
          </w:p>
        </w:tc>
      </w:tr>
      <w:tr>
        <w:trPr>
          <w:cantSplit/>
        </w:trPr>
        <w:tc>
          <w:tcPr>
            <w:tcW w:type="dxa" w:w="5040"/>
            <w:tcMar>
              <w:top w:w="100" w:type="dxa"/>
              <w:start w:w="100" w:type="dxa"/>
              <w:bottom w:w="100" w:type="dxa"/>
              <w:end w:w="100" w:type="dxa"/>
            </w:tcMar>
          </w:tcPr>
          <w:p>
            <w:r>
              <w:rPr>
                <w:sz w:val="18"/>
              </w:rPr>
              <w:t>Which principle do you already see operating in your thoughts, relationships, or habits?</w:t>
            </w:r>
          </w:p>
        </w:tc>
        <w:tc>
          <w:tcPr>
            <w:tcW w:type="dxa" w:w="5040"/>
            <w:tcMar>
              <w:top w:w="100" w:type="dxa"/>
              <w:start w:w="100" w:type="dxa"/>
              <w:bottom w:w="100" w:type="dxa"/>
              <w:end w:w="100" w:type="dxa"/>
            </w:tcMar>
          </w:tcPr>
          <w:p>
            <w:r>
              <w:rPr>
                <w:sz w:val="18"/>
              </w:rPr>
              <w:t>Ask students to offer one everyday example of the principle and one question they still have about it.</w:t>
            </w:r>
          </w:p>
        </w:tc>
      </w:tr>
    </w:tbl>
    <w:p/>
    <w:p>
      <w:pPr>
        <w:pStyle w:val="Heading2"/>
      </w:pPr>
      <w:r>
        <w:t>Activity Instructions</w:t>
      </w:r>
    </w:p>
    <w:p>
      <w:r>
        <w:rPr>
          <w:b/>
        </w:rPr>
        <w:t xml:space="preserve">Seven Principles Lens Map: </w:t>
      </w:r>
      <w:r>
        <w:t>Students choose one ordinary life situation, such as a conflict, decision, repeated habit, creative project, or emotional cycle. They briefly view the situation through each of the seven principles and note which principle gives the clearest insight.</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Do not try to make participants master all seven principles in one session. Keep the pace generous, invite examples, and remind students that later chapters will revisit each principle in greater depth.</w:t>
            </w:r>
          </w:p>
        </w:tc>
      </w:tr>
    </w:tbl>
    <w:p/>
    <w:p>
      <w:pPr>
        <w:pStyle w:val="Heading2"/>
      </w:pPr>
      <w:r>
        <w:t>Closing Script</w:t>
      </w:r>
    </w:p>
    <w:p>
      <w:r>
        <w:t>As we close The Seven Hermetic Principles, the goal is not to leave with perfect comprehension. The goal is to leave with a clearer question, a more honest observation, and one way to apply the teaching. Chapter II gives the group the working vocabulary for the rest of the book. The principles become more useful as students test them patiently in lived experience.</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03: Chapter III - Mental Transmutation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Mind may be transmuted, from state to state; degree to degree; condition to condition; pole to pole; vibration to vibration. True Hermetic Transmutation is a Mental Art.</w:t>
            </w:r>
          </w:p>
        </w:tc>
      </w:tr>
    </w:tbl>
    <w:p/>
    <w:p>
      <w:pPr>
        <w:pStyle w:val="Heading2"/>
      </w:pPr>
      <w:r>
        <w:t>Facilitator Purpose</w:t>
      </w:r>
    </w:p>
    <w:p>
      <w:r>
        <w:t>Help the group understand Mental Transmutation as disciplined self-awareness and inner practice. Keep the conversation practical and ethical, especially when the chapter discusses influence, mental power, and the possibility of affecting others.</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Mental Transmutation is the art of consciously changing mental states and using mind as an active force in growth, healing, and self-mastery.</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move from concept to practice. Students explore how inner states can be observed, named, shifted, and refined without pretending that difficult emotions vanish by force or denial.</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III: Mental Transmutation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Mental Transmutation is the art of consciously changing mental states and using mind as an active force in growth, healing, and self-mastery.</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State-to-State Practice Map.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III: Mental Transmutation.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Transmutation: </w:t>
      </w:r>
      <w:r>
        <w:t>Changing one state, form, condition, degree, or vibration into another.</w:t>
      </w:r>
    </w:p>
    <w:p>
      <w:pPr>
        <w:pStyle w:val="ListBullet"/>
      </w:pPr>
      <w:r>
        <w:rPr>
          <w:b/>
        </w:rPr>
        <w:t xml:space="preserve">Mental Chemistry: </w:t>
      </w:r>
      <w:r>
        <w:t>A metaphor for inner transformation through attention, will, and principle.</w:t>
      </w:r>
    </w:p>
    <w:p>
      <w:pPr>
        <w:pStyle w:val="ListBullet"/>
      </w:pPr>
      <w:r>
        <w:rPr>
          <w:b/>
        </w:rPr>
        <w:t xml:space="preserve">Mentalism as Foundation: </w:t>
      </w:r>
      <w:r>
        <w:t>The claim that mental change matters deeply because the universe itself is mental in nature.</w:t>
      </w:r>
    </w:p>
    <w:p>
      <w:pPr>
        <w:pStyle w:val="ListBullet"/>
      </w:pPr>
      <w:r>
        <w:rPr>
          <w:b/>
        </w:rPr>
        <w:t xml:space="preserve">Mental State: </w:t>
      </w:r>
      <w:r>
        <w:t>A condition of thought, feeling, attitude, or attention.</w:t>
      </w:r>
    </w:p>
    <w:p>
      <w:pPr>
        <w:pStyle w:val="ListBullet"/>
      </w:pPr>
      <w:r>
        <w:rPr>
          <w:b/>
        </w:rPr>
        <w:t xml:space="preserve">Polarity in Practice: </w:t>
      </w:r>
      <w:r>
        <w:t>The possibility of moving from one pole of a mental condition toward another.</w:t>
      </w:r>
    </w:p>
    <w:p>
      <w:pPr>
        <w:pStyle w:val="ListBullet"/>
      </w:pPr>
      <w:r>
        <w:rPr>
          <w:b/>
        </w:rPr>
        <w:t xml:space="preserve">Ethical Influence: </w:t>
      </w:r>
      <w:r>
        <w:t>The responsibility that comes with any practice that affects self or others mentally.</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What is the difference between transforming a mental state and denying a mental state?</w:t>
            </w:r>
          </w:p>
        </w:tc>
        <w:tc>
          <w:tcPr>
            <w:tcW w:type="dxa" w:w="5040"/>
            <w:tcMar>
              <w:top w:w="100" w:type="dxa"/>
              <w:start w:w="100" w:type="dxa"/>
              <w:bottom w:w="100" w:type="dxa"/>
              <w:end w:w="100" w:type="dxa"/>
            </w:tcMar>
          </w:tcPr>
          <w:p>
            <w:r>
              <w:rPr>
                <w:sz w:val="18"/>
              </w:rPr>
              <w:t>Ask students to distinguish between healthy transformation, denial, and control. Keep the discussion practical and ethical.</w:t>
            </w:r>
          </w:p>
        </w:tc>
      </w:tr>
      <w:tr>
        <w:trPr>
          <w:cantSplit/>
        </w:trPr>
        <w:tc>
          <w:tcPr>
            <w:tcW w:type="dxa" w:w="5040"/>
            <w:tcMar>
              <w:top w:w="100" w:type="dxa"/>
              <w:start w:w="100" w:type="dxa"/>
              <w:bottom w:w="100" w:type="dxa"/>
              <w:end w:w="100" w:type="dxa"/>
            </w:tcMar>
            <w:shd w:fill="F3F5F7"/>
          </w:tcPr>
          <w:p>
            <w:r>
              <w:rPr>
                <w:sz w:val="18"/>
              </w:rPr>
              <w:t>Where have you experienced a shift from one inner state to another?</w:t>
            </w:r>
          </w:p>
        </w:tc>
        <w:tc>
          <w:tcPr>
            <w:tcW w:type="dxa" w:w="5040"/>
            <w:tcMar>
              <w:top w:w="100" w:type="dxa"/>
              <w:start w:w="100" w:type="dxa"/>
              <w:bottom w:w="100" w:type="dxa"/>
              <w:end w:w="100" w:type="dxa"/>
            </w:tcMar>
            <w:shd w:fill="F3F5F7"/>
          </w:tcPr>
          <w:p>
            <w:r>
              <w:rPr>
                <w:sz w:val="18"/>
              </w:rPr>
              <w:t>Ask students to distinguish between healthy transformation, denial, and control. Keep the discussion practical and ethical.</w:t>
            </w:r>
          </w:p>
        </w:tc>
      </w:tr>
      <w:tr>
        <w:trPr>
          <w:cantSplit/>
        </w:trPr>
        <w:tc>
          <w:tcPr>
            <w:tcW w:type="dxa" w:w="5040"/>
            <w:tcMar>
              <w:top w:w="100" w:type="dxa"/>
              <w:start w:w="100" w:type="dxa"/>
              <w:bottom w:w="100" w:type="dxa"/>
              <w:end w:w="100" w:type="dxa"/>
            </w:tcMar>
          </w:tcPr>
          <w:p>
            <w:r>
              <w:rPr>
                <w:sz w:val="18"/>
              </w:rPr>
              <w:t>What practices help you move from reaction to choice?</w:t>
            </w:r>
          </w:p>
        </w:tc>
        <w:tc>
          <w:tcPr>
            <w:tcW w:type="dxa" w:w="5040"/>
            <w:tcMar>
              <w:top w:w="100" w:type="dxa"/>
              <w:start w:w="100" w:type="dxa"/>
              <w:bottom w:w="100" w:type="dxa"/>
              <w:end w:w="100" w:type="dxa"/>
            </w:tcMar>
          </w:tcPr>
          <w:p>
            <w:r>
              <w:rPr>
                <w:sz w:val="18"/>
              </w:rPr>
              <w:t>Ask students to distinguish between healthy transformation, denial, and control. Keep the discussion practical and ethical.</w:t>
            </w:r>
          </w:p>
        </w:tc>
      </w:tr>
      <w:tr>
        <w:trPr>
          <w:cantSplit/>
        </w:trPr>
        <w:tc>
          <w:tcPr>
            <w:tcW w:type="dxa" w:w="5040"/>
            <w:tcMar>
              <w:top w:w="100" w:type="dxa"/>
              <w:start w:w="100" w:type="dxa"/>
              <w:bottom w:w="100" w:type="dxa"/>
              <w:end w:w="100" w:type="dxa"/>
            </w:tcMar>
            <w:shd w:fill="F3F5F7"/>
          </w:tcPr>
          <w:p>
            <w:r>
              <w:rPr>
                <w:sz w:val="18"/>
              </w:rPr>
              <w:t>How should a student think ethically about influence, persuasion, suggestion, or mental power?</w:t>
            </w:r>
          </w:p>
        </w:tc>
        <w:tc>
          <w:tcPr>
            <w:tcW w:type="dxa" w:w="5040"/>
            <w:tcMar>
              <w:top w:w="100" w:type="dxa"/>
              <w:start w:w="100" w:type="dxa"/>
              <w:bottom w:w="100" w:type="dxa"/>
              <w:end w:w="100" w:type="dxa"/>
            </w:tcMar>
            <w:shd w:fill="F3F5F7"/>
          </w:tcPr>
          <w:p>
            <w:r>
              <w:rPr>
                <w:sz w:val="18"/>
              </w:rPr>
              <w:t>Ask students to distinguish between healthy transformation, denial, and control. Keep the discussion practical and ethical.</w:t>
            </w:r>
          </w:p>
        </w:tc>
      </w:tr>
      <w:tr>
        <w:trPr>
          <w:cantSplit/>
        </w:trPr>
        <w:tc>
          <w:tcPr>
            <w:tcW w:type="dxa" w:w="5040"/>
            <w:tcMar>
              <w:top w:w="100" w:type="dxa"/>
              <w:start w:w="100" w:type="dxa"/>
              <w:bottom w:w="100" w:type="dxa"/>
              <w:end w:w="100" w:type="dxa"/>
            </w:tcMar>
          </w:tcPr>
          <w:p>
            <w:r>
              <w:rPr>
                <w:sz w:val="18"/>
              </w:rPr>
              <w:t>How does Mental Transmutation connect back to Mentalism, Vibration, and Polarity?</w:t>
            </w:r>
          </w:p>
        </w:tc>
        <w:tc>
          <w:tcPr>
            <w:tcW w:type="dxa" w:w="5040"/>
            <w:tcMar>
              <w:top w:w="100" w:type="dxa"/>
              <w:start w:w="100" w:type="dxa"/>
              <w:bottom w:w="100" w:type="dxa"/>
              <w:end w:w="100" w:type="dxa"/>
            </w:tcMar>
          </w:tcPr>
          <w:p>
            <w:r>
              <w:rPr>
                <w:sz w:val="18"/>
              </w:rPr>
              <w:t>Ask students to distinguish between healthy transformation, denial, and control. Keep the discussion practical and ethical.</w:t>
            </w:r>
          </w:p>
        </w:tc>
      </w:tr>
    </w:tbl>
    <w:p/>
    <w:p>
      <w:pPr>
        <w:pStyle w:val="Heading2"/>
      </w:pPr>
      <w:r>
        <w:t>Activity Instructions</w:t>
      </w:r>
    </w:p>
    <w:p>
      <w:r>
        <w:rPr>
          <w:b/>
        </w:rPr>
        <w:t xml:space="preserve">State-to-State Practice Map: </w:t>
      </w:r>
      <w:r>
        <w:t>Students identify one recurring mental state they want to work with, such as anxiety, resentment, discouragement, scattered attention, or fear. They name the current state, the desired direction, one supporting thought, one body-based practice, and one small action that would help shift the state by degrees.</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Avoid framing mental transmutation as a cure-all. Some emotional patterns involve trauma, grief, depression, or health concerns that require care beyond study-group practice. Keep the language empowering without becoming dismissive.</w:t>
            </w:r>
          </w:p>
        </w:tc>
      </w:tr>
    </w:tbl>
    <w:p/>
    <w:p>
      <w:pPr>
        <w:pStyle w:val="Heading2"/>
      </w:pPr>
      <w:r>
        <w:t>Closing Script</w:t>
      </w:r>
    </w:p>
    <w:p>
      <w:r>
        <w:t>As we close Mental Transmutation, the goal is not to leave with perfect comprehension. The goal is to leave with a clearer question, a more honest observation, and one way to apply the teaching. Mental Transmutation asks students to become active participants in their inner life. The work is not force. It is conscious, patient, ethical transformation.</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04: Chapter IV - The All</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Under, and back of, the Universe of Time, Space and Change, is ever to be found The Substantial Reality - the Fundamental Truth.</w:t>
            </w:r>
          </w:p>
        </w:tc>
      </w:tr>
    </w:tbl>
    <w:p/>
    <w:p>
      <w:pPr>
        <w:pStyle w:val="Heading2"/>
      </w:pPr>
      <w:r>
        <w:t>Facilitator Purpose</w:t>
      </w:r>
    </w:p>
    <w:p>
      <w:r>
        <w:t>Guide the group through a grounded conversation about mystery, language, and ultimate reality. The goal is not to force agreement about The All, but to help participants notice how the text builds a disciplined way of thinking about what cannot be fully defined.</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The All is presented as the unchanging reality behind all changing appearances, but its inner nature remains unknowable.</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practice intellectual humility. Instead of rushing to explain God, Spirit, Reality, or Source, students learn to distinguish what can be reasoned about from what must be approached with reverence, mystery, and restraint.</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IV: The All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The All is presented as the unchanging reality behind all changing appearances, but its inner nature remains unknowable.</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Known, Unknown, and Unknowable Map.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IV: The All.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Substantial Reality: </w:t>
      </w:r>
      <w:r>
        <w:t>The underlying reality beneath outward appearances and change.</w:t>
      </w:r>
    </w:p>
    <w:p>
      <w:pPr>
        <w:pStyle w:val="ListBullet"/>
      </w:pPr>
      <w:r>
        <w:rPr>
          <w:b/>
        </w:rPr>
        <w:t xml:space="preserve">The All: </w:t>
      </w:r>
      <w:r>
        <w:t>The text’s name for the Infinite, Absolute, Eternal, and Unchangeable source of all that is.</w:t>
      </w:r>
    </w:p>
    <w:p>
      <w:pPr>
        <w:pStyle w:val="ListBullet"/>
      </w:pPr>
      <w:r>
        <w:rPr>
          <w:b/>
        </w:rPr>
        <w:t xml:space="preserve">Unknowable Essence: </w:t>
      </w:r>
      <w:r>
        <w:t>The idea that the deepest nature of The All cannot be fully grasped by finite human thought.</w:t>
      </w:r>
    </w:p>
    <w:p>
      <w:pPr>
        <w:pStyle w:val="ListBullet"/>
      </w:pPr>
      <w:r>
        <w:rPr>
          <w:b/>
        </w:rPr>
        <w:t xml:space="preserve">Religion vs. Theology: </w:t>
      </w:r>
      <w:r>
        <w:t>The text distinguishes direct spiritual realization from human attempts to define divine personality and intention.</w:t>
      </w:r>
    </w:p>
    <w:p>
      <w:pPr>
        <w:pStyle w:val="ListBullet"/>
      </w:pPr>
      <w:r>
        <w:rPr>
          <w:b/>
        </w:rPr>
        <w:t xml:space="preserve">Philosophy vs. Metaphysics: </w:t>
      </w:r>
      <w:r>
        <w:t>The text values inquiry into what can be known while cautioning against speculation beyond human understanding.</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Where does language help spiritual understanding, and where does it start to limit or distort it?</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How does the idea of an unknowable essence challenge the desire to have certainty?</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What is the difference between respecting mystery and avoiding inquiry?</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How might this chapter help someone stay humble when discussing spiritual truth?</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Known, Unknown, and Unknowable Map: </w:t>
      </w:r>
      <w:r>
        <w:t>Create three columns: what I can observe, what I can reasonably infer, and what I must hold as mystery. Students place examples from the chapter into each column, then add one example from their own life.</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Some participants may bring strong religious or nonreligious frameworks. Keep the discussion comparative and reflective rather than corrective. Let the text be examined without requiring anyone to adopt its language.</w:t>
            </w:r>
          </w:p>
        </w:tc>
      </w:tr>
    </w:tbl>
    <w:p/>
    <w:p>
      <w:pPr>
        <w:pStyle w:val="Heading2"/>
      </w:pPr>
      <w:r>
        <w:t>Closing Script</w:t>
      </w:r>
    </w:p>
    <w:p>
      <w:r>
        <w:t>As we close The All, the goal is not to leave with perfect comprehension. The goal is to leave with a clearer question, a more honest observation, and one way to apply the teaching. The All invites reverence without requiring intellectual possession. This chapter is a lesson in humility before mystery.</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05: Chapter V - The Mental Universe</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The Universe is Mental - held in the Mind of The All.</w:t>
            </w:r>
          </w:p>
        </w:tc>
      </w:tr>
    </w:tbl>
    <w:p/>
    <w:p>
      <w:pPr>
        <w:pStyle w:val="Heading2"/>
      </w:pPr>
      <w:r>
        <w:t>Facilitator Purpose</w:t>
      </w:r>
    </w:p>
    <w:p>
      <w:r>
        <w:t>Help the group explore the mental-universe claim as a philosophical model, not a demand for literal agreement. Keep attention on the analogy, its usefulness, and its limits.</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The universe is described as a mental creation within The All, similar in kind but infinitely different in degree from human mental creation.</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explore what it means to live in a reality shaped by mind, imagination, and creative principle. Students are invited to consider how thought creates inner worlds without confusing the human mind with The All.</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V: The Mental Universe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The universe is described as a mental creation within The All, similar in kind but infinitely different in degree from human mental creation.</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Mental Creation Analogy Map.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V: The Mental Universe.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Mental Creation: </w:t>
      </w:r>
      <w:r>
        <w:t>The universe is presented as existing in the Infinite Mind of The All.</w:t>
      </w:r>
    </w:p>
    <w:p>
      <w:pPr>
        <w:pStyle w:val="ListBullet"/>
      </w:pPr>
      <w:r>
        <w:rPr>
          <w:b/>
        </w:rPr>
        <w:t xml:space="preserve">Spirit: </w:t>
      </w:r>
      <w:r>
        <w:t>A term used for Infinite Living Mind, beyond ordinary human definition.</w:t>
      </w:r>
    </w:p>
    <w:p>
      <w:pPr>
        <w:pStyle w:val="ListBullet"/>
      </w:pPr>
      <w:r>
        <w:rPr>
          <w:b/>
        </w:rPr>
        <w:t xml:space="preserve">Correspondence: </w:t>
      </w:r>
      <w:r>
        <w:t>The text reasons from human mental creation to divine creation by analogy.</w:t>
      </w:r>
    </w:p>
    <w:p>
      <w:pPr>
        <w:pStyle w:val="ListBullet"/>
      </w:pPr>
      <w:r>
        <w:rPr>
          <w:b/>
        </w:rPr>
        <w:t xml:space="preserve">Father-Mother Mind: </w:t>
      </w:r>
      <w:r>
        <w:t>A symbolic way of describing creative aspects within manifestation.</w:t>
      </w:r>
    </w:p>
    <w:p>
      <w:pPr>
        <w:pStyle w:val="ListBullet"/>
      </w:pPr>
      <w:r>
        <w:rPr>
          <w:b/>
        </w:rPr>
        <w:t xml:space="preserve">Gender as Creation: </w:t>
      </w:r>
      <w:r>
        <w:t>Gender is used here as a principle of generation, not merely physical sex.</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What does the analogy of human imagination help clarify about the text’s view of creation?</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Where does the analogy break down?</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How does this chapter challenge ordinary assumptions about matter, mind, and reality?</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does it mean to feel “at home” in a universe understood as living mind?</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Mental Creation Analogy Map: </w:t>
      </w:r>
      <w:r>
        <w:t>Students choose a simple example of mental creation, such as planning a room, writing a scene, or imagining a conversation. They map the stages from inner image to outer action, then compare that process to the chapter’s claim about universal creation.</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Use care with the Father-Mother language. Clarify that the chapter uses gender symbolically and metaphysically, not as a social hierarchy or rigid role system.</w:t>
            </w:r>
          </w:p>
        </w:tc>
      </w:tr>
    </w:tbl>
    <w:p/>
    <w:p>
      <w:pPr>
        <w:pStyle w:val="Heading2"/>
      </w:pPr>
      <w:r>
        <w:t>Closing Script</w:t>
      </w:r>
    </w:p>
    <w:p>
      <w:r>
        <w:t>As we close The Mental Universe, the goal is not to leave with perfect comprehension. The goal is to leave with a clearer question, a more honest observation, and one way to apply the teaching. This chapter asks students to treat mind as creative, not passive. What we hold inwardly matters because mind is presented as the patterning ground of experience.</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06: Chapter VI - The Divine Paradox</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Transmutation, not presumptuous denial, is the weapon of the Master.</w:t>
            </w:r>
          </w:p>
        </w:tc>
      </w:tr>
    </w:tbl>
    <w:p/>
    <w:p>
      <w:pPr>
        <w:pStyle w:val="Heading2"/>
      </w:pPr>
      <w:r>
        <w:t>Facilitator Purpose</w:t>
      </w:r>
    </w:p>
    <w:p>
      <w:r>
        <w:t>Lead the group into a practical conversation about paradox. Emphasize that the chapter is not encouraging escapism, denial, or fantasy. It is teaching disciplined engagement with life.</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Wisdom holds Absolute and Relative truth together. Denying the relative world is not mastery; learning to use law wisely is mastery.</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avoid spiritual bypassing. Students learn to hold two truths at once: life may be temporary and relative, but their choices, responsibilities, and relationships still matter.</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VI: The Divine Paradox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Wisdom holds Absolute and Relative truth together. Denying the relative world is not mastery; learning to use law wisely is mastery.</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Star and Footsteps Practice.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VI: The Divine Paradox.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Absolute Truth: </w:t>
      </w:r>
      <w:r>
        <w:t>Truth from the highest or ultimate viewpoint.</w:t>
      </w:r>
    </w:p>
    <w:p>
      <w:pPr>
        <w:pStyle w:val="ListBullet"/>
      </w:pPr>
      <w:r>
        <w:rPr>
          <w:b/>
        </w:rPr>
        <w:t xml:space="preserve">Relative Truth: </w:t>
      </w:r>
      <w:r>
        <w:t>Truth as experienced and understood within human life and finite conditions.</w:t>
      </w:r>
    </w:p>
    <w:p>
      <w:pPr>
        <w:pStyle w:val="ListBullet"/>
      </w:pPr>
      <w:r>
        <w:rPr>
          <w:b/>
        </w:rPr>
        <w:t xml:space="preserve">Half-Wisdom: </w:t>
      </w:r>
      <w:r>
        <w:t>Partial insight that becomes dangerous when it ignores the other side of truth.</w:t>
      </w:r>
    </w:p>
    <w:p>
      <w:pPr>
        <w:pStyle w:val="ListBullet"/>
      </w:pPr>
      <w:r>
        <w:rPr>
          <w:b/>
        </w:rPr>
        <w:t xml:space="preserve">Law Against Laws: </w:t>
      </w:r>
      <w:r>
        <w:t>Using a higher law to redirect or overcome the effect of a lower law.</w:t>
      </w:r>
    </w:p>
    <w:p>
      <w:pPr>
        <w:pStyle w:val="ListBullet"/>
      </w:pPr>
      <w:r>
        <w:rPr>
          <w:b/>
        </w:rPr>
        <w:t xml:space="preserve">Spiritual Bypassing: </w:t>
      </w:r>
      <w:r>
        <w:t>Avoiding real life, pain, or responsibility by using spiritual ideas as escape.</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What happens when a person treats the world as “only an illusion” and stops taking action?</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How can a spiritual idea become harmful when it is used without balance?</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What is one example of using a “higher law” in ordinary life?</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How can students keep their eyes on the star while still watching their footsteps?</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Star and Footsteps Practice: </w:t>
      </w:r>
      <w:r>
        <w:t>Students write one higher ideal they want to live by, then list three practical footsteps required to honor that ideal in the real world. The exercise helps integrate vision and responsibility.</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This chapter can trigger strong conversation around pain, injustice, and responsibility. Do not let the group use “everything is mental” to minimize real suffering or material conditions.</w:t>
            </w:r>
          </w:p>
        </w:tc>
      </w:tr>
    </w:tbl>
    <w:p/>
    <w:p>
      <w:pPr>
        <w:pStyle w:val="Heading2"/>
      </w:pPr>
      <w:r>
        <w:t>Closing Script</w:t>
      </w:r>
    </w:p>
    <w:p>
      <w:r>
        <w:t>As we close The Divine Paradox, the goal is not to leave with perfect comprehension. The goal is to leave with a clearer question, a more honest observation, and one way to apply the teaching. The chapter’s medicine is balance. Look upward, but do not abandon the ground beneath your feet.</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07: Chapter VII - The All in All</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While All is in The All, it is equally true that The All is in All.</w:t>
            </w:r>
          </w:p>
        </w:tc>
      </w:tr>
    </w:tbl>
    <w:p/>
    <w:p>
      <w:pPr>
        <w:pStyle w:val="Heading2"/>
      </w:pPr>
      <w:r>
        <w:t>Facilitator Purpose</w:t>
      </w:r>
    </w:p>
    <w:p>
      <w:r>
        <w:t>Guide participants through the difference between “The All is in me” and the inflated claim “I am The All.” The goal is reverence, not ego inflation.</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The All contains all things, and The All is also immanent within all things. Spiritual development means realizing and expressing that indwelling presence.</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think about sacred presence within ordinary life. The chapter invites them to reflect on spiritual development as recognizing, realizing, and expressing the indwelling Spirit.</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VII: The All in All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The All contains all things, and The All is also immanent within all things. Spiritual development means realizing and expressing that indwelling presence.</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Immanence Reflection Map.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VII: The All in All.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Immanence: </w:t>
      </w:r>
      <w:r>
        <w:t>The presence of the divine or ultimate reality within creation.</w:t>
      </w:r>
    </w:p>
    <w:p>
      <w:pPr>
        <w:pStyle w:val="ListBullet"/>
      </w:pPr>
      <w:r>
        <w:rPr>
          <w:b/>
        </w:rPr>
        <w:t xml:space="preserve">Indwelling Spirit: </w:t>
      </w:r>
      <w:r>
        <w:t>The inner spiritual presence that the text says lives within each being.</w:t>
      </w:r>
    </w:p>
    <w:p>
      <w:pPr>
        <w:pStyle w:val="ListBullet"/>
      </w:pPr>
      <w:r>
        <w:rPr>
          <w:b/>
        </w:rPr>
        <w:t xml:space="preserve">Involution: </w:t>
      </w:r>
      <w:r>
        <w:t>The movement of Spirit into denser forms of manifestation.</w:t>
      </w:r>
    </w:p>
    <w:p>
      <w:pPr>
        <w:pStyle w:val="ListBullet"/>
      </w:pPr>
      <w:r>
        <w:rPr>
          <w:b/>
        </w:rPr>
        <w:t xml:space="preserve">Evolution: </w:t>
      </w:r>
      <w:r>
        <w:t>The return movement of life toward higher expression and realization.</w:t>
      </w:r>
    </w:p>
    <w:p>
      <w:pPr>
        <w:pStyle w:val="ListBullet"/>
      </w:pPr>
      <w:r>
        <w:rPr>
          <w:b/>
        </w:rPr>
        <w:t xml:space="preserve">Individualization: </w:t>
      </w:r>
      <w:r>
        <w:t>The process by which universal life expresses through distinct units of being.</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How is “The All is in all” different from saying “I am the whole of The All”?</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does the author-and-character analogy help clarify?</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How might recognizing indwelling Spirit change how a person sees others?</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does spiritual development look like if it means recognition, realization, and manifestation?</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Immanence Reflection Map: </w:t>
      </w:r>
      <w:r>
        <w:t>Students draw three circles labeled Self, Others, and World. In each circle they write one way sacred presence might be recognized there, then one behavior that would better honor that presence.</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Watch for grandiose interpretations. Redirect toward humility, responsibility, and reverence for all beings rather than claims of personal divinity as superiority.</w:t>
            </w:r>
          </w:p>
        </w:tc>
      </w:tr>
    </w:tbl>
    <w:p/>
    <w:p>
      <w:pPr>
        <w:pStyle w:val="Heading2"/>
      </w:pPr>
      <w:r>
        <w:t>Closing Script</w:t>
      </w:r>
    </w:p>
    <w:p>
      <w:r>
        <w:t>As we close The All in All, the goal is not to leave with perfect comprehension. The goal is to leave with a clearer question, a more honest observation, and one way to apply the teaching. The chapter turns mystery inward. The sacred is not only beyond; it is also within, asking to be recognized and lived.</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08: Chapter VIII - The Planes of Correspondence</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As above, so below; as below, so above.</w:t>
            </w:r>
          </w:p>
        </w:tc>
      </w:tr>
    </w:tbl>
    <w:p/>
    <w:p>
      <w:pPr>
        <w:pStyle w:val="Heading2"/>
      </w:pPr>
      <w:r>
        <w:t>Facilitator Purpose</w:t>
      </w:r>
    </w:p>
    <w:p>
      <w:r>
        <w:t>Help the group use the planes as a study framework without getting lost in technical classification. Keep the focus on correspondence, pattern recognition, and humility about unseen dimensions of life.</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The planes describe degrees of manifestation, and correspondence allows students to reason from known patterns to unknown ones.</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build a mental map for the rest of the book. Instead of treating spiritual, mental, and physical life as disconnected, students examine how patterns repeat across levels of experience.</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VIII: The Planes of Correspondence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The planes describe degrees of manifestation, and correspondence allows students to reason from known patterns to unknown ones.</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Plane Ladder Matrix.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VIII: The Planes of Correspondence.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Great Physical Plane: </w:t>
      </w:r>
      <w:r>
        <w:t>The range of material forms, energies, and forces.</w:t>
      </w:r>
    </w:p>
    <w:p>
      <w:pPr>
        <w:pStyle w:val="ListBullet"/>
      </w:pPr>
      <w:r>
        <w:rPr>
          <w:b/>
        </w:rPr>
        <w:t xml:space="preserve">Great Mental Plane: </w:t>
      </w:r>
      <w:r>
        <w:t>The range of mind, thought, and mental life.</w:t>
      </w:r>
    </w:p>
    <w:p>
      <w:pPr>
        <w:pStyle w:val="ListBullet"/>
      </w:pPr>
      <w:r>
        <w:rPr>
          <w:b/>
        </w:rPr>
        <w:t xml:space="preserve">Great Spiritual Plane: </w:t>
      </w:r>
      <w:r>
        <w:t>The higher planes of being closest to Spirit.</w:t>
      </w:r>
    </w:p>
    <w:p>
      <w:pPr>
        <w:pStyle w:val="ListBullet"/>
      </w:pPr>
      <w:r>
        <w:rPr>
          <w:b/>
        </w:rPr>
        <w:t xml:space="preserve">Dimension of Vibration: </w:t>
      </w:r>
      <w:r>
        <w:t>The text’s way of describing degrees of reality by vibratory rate.</w:t>
      </w:r>
    </w:p>
    <w:p>
      <w:pPr>
        <w:pStyle w:val="ListBullet"/>
      </w:pPr>
      <w:r>
        <w:rPr>
          <w:b/>
        </w:rPr>
        <w:t xml:space="preserve">Correspondence as Method: </w:t>
      </w:r>
      <w:r>
        <w:t>Using patterns on one plane to understand patterns on another.</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Why does the text say planes are helpful but not absolute divisions?</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are examples of a pattern that appears physically, mentally, and spiritually?</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How can correspondence help without becoming overinterpretation?</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does it mean to treat reality as a scale rather than a set of separate boxes?</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Plane Ladder Matrix: </w:t>
      </w:r>
      <w:r>
        <w:t>Students select one experience, such as stress, creativity, grief, or discipline. They describe how it appears physically, mentally, and spiritually, then identify a correspondence across the three planes.</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Avoid letting the discussion become a speculative taxonomy exercise. Bring the group back to lived examples and practical pattern recognition.</w:t>
            </w:r>
          </w:p>
        </w:tc>
      </w:tr>
    </w:tbl>
    <w:p/>
    <w:p>
      <w:pPr>
        <w:pStyle w:val="Heading2"/>
      </w:pPr>
      <w:r>
        <w:t>Closing Script</w:t>
      </w:r>
    </w:p>
    <w:p>
      <w:r>
        <w:t>As we close The Planes of Correspondence, the goal is not to leave with perfect comprehension. The goal is to leave with a clearer question, a more honest observation, and one way to apply the teaching. This chapter gives students a map. The map is not the territory, but it can help them move with more awareness.</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09: Chapter IX - Vibration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Nothing rests; everything moves; everything vibrates.</w:t>
            </w:r>
          </w:p>
        </w:tc>
      </w:tr>
    </w:tbl>
    <w:p/>
    <w:p>
      <w:pPr>
        <w:pStyle w:val="Heading2"/>
      </w:pPr>
      <w:r>
        <w:t>Facilitator Purpose</w:t>
      </w:r>
    </w:p>
    <w:p>
      <w:r>
        <w:t>Lead the group from abstract vibration theory into practical self-awareness. Emphasize that the value of this chapter is not labeling people as high or low, but learning how states shift.</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Everything is in motion, and mastery begins when students learn to observe and intentionally shift their own mental and emotional states.</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see inner states as dynamic rather than permanent. The chapter gives language for noticing the “frequency” of thoughts, moods, environments, and habits without turning that language into judgment.</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IX: Vibration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Everything is in motion, and mastery begins when students learn to observe and intentionally shift their own mental and emotional states.</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Vibration Audit.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IX: Vibration.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Vibration: </w:t>
      </w:r>
      <w:r>
        <w:t>The motion or rate of movement underlying forms, forces, and states.</w:t>
      </w:r>
    </w:p>
    <w:p>
      <w:pPr>
        <w:pStyle w:val="ListBullet"/>
      </w:pPr>
      <w:r>
        <w:rPr>
          <w:b/>
        </w:rPr>
        <w:t xml:space="preserve">Rate of Vibration: </w:t>
      </w:r>
      <w:r>
        <w:t>The degree or speed of vibratory expression.</w:t>
      </w:r>
    </w:p>
    <w:p>
      <w:pPr>
        <w:pStyle w:val="ListBullet"/>
      </w:pPr>
      <w:r>
        <w:rPr>
          <w:b/>
        </w:rPr>
        <w:t xml:space="preserve">Mental State: </w:t>
      </w:r>
      <w:r>
        <w:t>A condition of thought, mood, attention, or feeling.</w:t>
      </w:r>
    </w:p>
    <w:p>
      <w:pPr>
        <w:pStyle w:val="ListBullet"/>
      </w:pPr>
      <w:r>
        <w:rPr>
          <w:b/>
        </w:rPr>
        <w:t xml:space="preserve">Change of State: </w:t>
      </w:r>
      <w:r>
        <w:t>The possibility of moving from one inner condition to another.</w:t>
      </w:r>
    </w:p>
    <w:p>
      <w:pPr>
        <w:pStyle w:val="ListBullet"/>
      </w:pPr>
      <w:r>
        <w:rPr>
          <w:b/>
        </w:rPr>
        <w:t xml:space="preserve">Mastery of State: </w:t>
      </w:r>
      <w:r>
        <w:t>Conscious participation in one’s own mental and emotional movement.</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What inner states feel heavy, stuck, or dense to you?</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practices reliably shift your state in a healthier direction?</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How can vibration language be helpful without becoming spiritually judgmental?</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does the chapter suggest about the relationship between thought and environment?</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Vibration Audit: </w:t>
      </w:r>
      <w:r>
        <w:t>Students list three recurring states: one draining, one neutral, and one life-giving. For each, they identify triggers, body signals, thoughts, and one practice that could shift the state by one degree.</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Do not let the group use vibration language to shame pain, grief, depression, or trauma. Keep the frame compassionate: states can shift, but people should not be blamed for having difficult states.</w:t>
            </w:r>
          </w:p>
        </w:tc>
      </w:tr>
    </w:tbl>
    <w:p/>
    <w:p>
      <w:pPr>
        <w:pStyle w:val="Heading2"/>
      </w:pPr>
      <w:r>
        <w:t>Closing Script</w:t>
      </w:r>
    </w:p>
    <w:p>
      <w:r>
        <w:t>As we close Vibration, the goal is not to leave with perfect comprehension. The goal is to leave with a clearer question, a more honest observation, and one way to apply the teaching. Vibration is not just a cosmic idea in this chapter. It becomes a daily practice of noticing movement and choosing the next movement wisely.</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10: Chapter X - Polarity</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Everything is dual; everything has poles; everything has its pair of opposites.</w:t>
            </w:r>
          </w:p>
        </w:tc>
      </w:tr>
    </w:tbl>
    <w:p/>
    <w:p>
      <w:pPr>
        <w:pStyle w:val="Heading2"/>
      </w:pPr>
      <w:r>
        <w:t>Facilitator Purpose</w:t>
      </w:r>
    </w:p>
    <w:p>
      <w:r>
        <w:t>Guide students into nuanced thinking. The chapter is powerful because it gives language for transformation without pretending that opposites are meaningless or that harm is the same as healing.</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Opposites are often poles of one continuum, and mental alchemy involves shifting degree and direction along that continuum.</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replace all-or-nothing thinking with a more flexible view of growth. Polarity teaches that change often happens by degrees, not by instant transformation.</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X: Polarity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Opposites are often poles of one continuum, and mental alchemy involves shifting degree and direction along that continuum.</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Polarity Scale Practice.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X: Polarity.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Polarity: </w:t>
      </w:r>
      <w:r>
        <w:t>The presence of two poles or opposite aspects within the same underlying thing.</w:t>
      </w:r>
    </w:p>
    <w:p>
      <w:pPr>
        <w:pStyle w:val="ListBullet"/>
      </w:pPr>
      <w:r>
        <w:rPr>
          <w:b/>
        </w:rPr>
        <w:t xml:space="preserve">Degree: </w:t>
      </w:r>
      <w:r>
        <w:t>The amount or position along a continuum.</w:t>
      </w:r>
    </w:p>
    <w:p>
      <w:pPr>
        <w:pStyle w:val="ListBullet"/>
      </w:pPr>
      <w:r>
        <w:rPr>
          <w:b/>
        </w:rPr>
        <w:t xml:space="preserve">Pair of Opposites: </w:t>
      </w:r>
      <w:r>
        <w:t>Contrasting expressions that may share an underlying nature.</w:t>
      </w:r>
    </w:p>
    <w:p>
      <w:pPr>
        <w:pStyle w:val="ListBullet"/>
      </w:pPr>
      <w:r>
        <w:rPr>
          <w:b/>
        </w:rPr>
        <w:t xml:space="preserve">Polarization: </w:t>
      </w:r>
      <w:r>
        <w:t>The act of positioning or shifting oneself toward a chosen pole.</w:t>
      </w:r>
    </w:p>
    <w:p>
      <w:pPr>
        <w:pStyle w:val="ListBullet"/>
      </w:pPr>
      <w:r>
        <w:rPr>
          <w:b/>
        </w:rPr>
        <w:t xml:space="preserve">Mental Alchemy: </w:t>
      </w:r>
      <w:r>
        <w:t>The practice of changing inner states by working with principles such as polarity.</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What is one area where you tend to think in extremes?</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How does seeing a scale create more room for growth?</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Where should we be careful not to oversimplify harm, injustice, or moral responsibility?</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does it mean to shift a state by degree rather than deny it?</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Polarity Scale Practice: </w:t>
      </w:r>
      <w:r>
        <w:t>Students draw a line between two poles, such as fear and courage or resentment and forgiveness. They mark where they honestly are today, then identify one realistic movement toward the desired pole.</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Be careful with examples involving abuse, oppression, or serious harm. Polarity is useful for inner work, but it should not be used to flatten ethical differences or excuse wrongdoing.</w:t>
            </w:r>
          </w:p>
        </w:tc>
      </w:tr>
    </w:tbl>
    <w:p/>
    <w:p>
      <w:pPr>
        <w:pStyle w:val="Heading2"/>
      </w:pPr>
      <w:r>
        <w:t>Closing Script</w:t>
      </w:r>
    </w:p>
    <w:p>
      <w:r>
        <w:t>As we close Polarity, the goal is not to leave with perfect comprehension. The goal is to leave with a clearer question, a more honest observation, and one way to apply the teaching. Polarity turns transformation into movement. You do not have to become the opposite overnight; you can begin by shifting direction.</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11: Chapter XI - Rhythm</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Everything flows, out and in; everything has its tides; all things rise and fall.</w:t>
            </w:r>
          </w:p>
        </w:tc>
      </w:tr>
    </w:tbl>
    <w:p/>
    <w:p>
      <w:pPr>
        <w:pStyle w:val="Heading2"/>
      </w:pPr>
      <w:r>
        <w:t>Facilitator Purpose</w:t>
      </w:r>
    </w:p>
    <w:p>
      <w:r>
        <w:t>Help the group name real rhythms in life while avoiding fatalism. The goal is steady awareness, not pretending to be above ordinary human cycles.</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Rhythm moves through everything, but self-mastery grows when students learn to respond to the swing consciously instead of being carried by it blindly.</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normalize cycles without surrendering to them. They learn to observe personal rhythms in mood, energy, relationships, motivation, and spiritual practice.</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XI: Rhythm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Rhythm moves through everything, but self-mastery grows when students learn to respond to the swing consciously instead of being carried by it blindly.</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Pendulum Pattern Tracker.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XI: Rhythm.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Rhythm: </w:t>
      </w:r>
      <w:r>
        <w:t>The measured movement between poles, like a pendulum or tide.</w:t>
      </w:r>
    </w:p>
    <w:p>
      <w:pPr>
        <w:pStyle w:val="ListBullet"/>
      </w:pPr>
      <w:r>
        <w:rPr>
          <w:b/>
        </w:rPr>
        <w:t xml:space="preserve">Compensation: </w:t>
      </w:r>
      <w:r>
        <w:t>The idea that the swing in one direction is balanced by a swing in the other.</w:t>
      </w:r>
    </w:p>
    <w:p>
      <w:pPr>
        <w:pStyle w:val="ListBullet"/>
      </w:pPr>
      <w:r>
        <w:rPr>
          <w:b/>
        </w:rPr>
        <w:t xml:space="preserve">Neutralization: </w:t>
      </w:r>
      <w:r>
        <w:t>A method of reducing the unconscious effect of rhythmic swing.</w:t>
      </w:r>
    </w:p>
    <w:p>
      <w:pPr>
        <w:pStyle w:val="ListBullet"/>
      </w:pPr>
      <w:r>
        <w:rPr>
          <w:b/>
        </w:rPr>
        <w:t xml:space="preserve">Poise: </w:t>
      </w:r>
      <w:r>
        <w:t>Inner steadiness in the presence of changing conditions.</w:t>
      </w:r>
    </w:p>
    <w:p>
      <w:pPr>
        <w:pStyle w:val="ListBullet"/>
      </w:pPr>
      <w:r>
        <w:rPr>
          <w:b/>
        </w:rPr>
        <w:t xml:space="preserve">Pendulum Swing: </w:t>
      </w:r>
      <w:r>
        <w:t>The movement from one pole toward the opposite pole.</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What personal rhythms do you notice in energy, emotion, discipline, or creativity?</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How can awareness of rhythm reduce shame during a low point?</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What is the difference between accepting a rhythm and being controlled by it?</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practices help you remain steady during a swing?</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Pendulum Pattern Tracker: </w:t>
      </w:r>
      <w:r>
        <w:t>Students identify one recurring swing in their life. They name the two poles, list early warning signs of the swing, and choose one stabilizing practice for the next time the pattern appears.</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Keep the conversation grounded. If participants discuss clinical depression, mania, or serious emotional distress, encourage appropriate professional support rather than treating rhythm as a complete explanation.</w:t>
            </w:r>
          </w:p>
        </w:tc>
      </w:tr>
    </w:tbl>
    <w:p/>
    <w:p>
      <w:pPr>
        <w:pStyle w:val="Heading2"/>
      </w:pPr>
      <w:r>
        <w:t>Closing Script</w:t>
      </w:r>
    </w:p>
    <w:p>
      <w:r>
        <w:t>As we close Rhythm, the goal is not to leave with perfect comprehension. The goal is to leave with a clearer question, a more honest observation, and one way to apply the teaching. Rhythm teaches compassion for cycles and discipline within cycles. The swing may come, but it does not have to own you.</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12: Chapter XII - Causation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Every Cause has its Effect; every Effect has its Cause.</w:t>
            </w:r>
          </w:p>
        </w:tc>
      </w:tr>
    </w:tbl>
    <w:p/>
    <w:p>
      <w:pPr>
        <w:pStyle w:val="Heading2"/>
      </w:pPr>
      <w:r>
        <w:t>Facilitator Purpose</w:t>
      </w:r>
    </w:p>
    <w:p>
      <w:r>
        <w:t>Lead a balanced conversation about cause, agency, and limitation. The chapter should empower students, not encourage harsh self-blame or simplistic explanations for complex life events.</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Nothing is outside law, and freedom grows as students understand the causes shaping them and consciously choose better causes.</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examine responsibility without falling into blame. Causation asks them to notice patterns, influences, decisions, and consequences so they can become more intentional.</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XII: Causation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Nothing is outside law, and freedom grows as students understand the causes shaping them and consciously choose better causes.</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Cause Map.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XII: Causation.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Cause and Effect: </w:t>
      </w:r>
      <w:r>
        <w:t>Every effect arises from causes, and every cause produces effects.</w:t>
      </w:r>
    </w:p>
    <w:p>
      <w:pPr>
        <w:pStyle w:val="ListBullet"/>
      </w:pPr>
      <w:r>
        <w:rPr>
          <w:b/>
        </w:rPr>
        <w:t xml:space="preserve">Chance: </w:t>
      </w:r>
      <w:r>
        <w:t>A name given to causes not yet recognized or understood.</w:t>
      </w:r>
    </w:p>
    <w:p>
      <w:pPr>
        <w:pStyle w:val="ListBullet"/>
      </w:pPr>
      <w:r>
        <w:rPr>
          <w:b/>
        </w:rPr>
        <w:t xml:space="preserve">Planes of Causation: </w:t>
      </w:r>
      <w:r>
        <w:t>Different levels on which cause and effect operate.</w:t>
      </w:r>
    </w:p>
    <w:p>
      <w:pPr>
        <w:pStyle w:val="ListBullet"/>
      </w:pPr>
      <w:r>
        <w:rPr>
          <w:b/>
        </w:rPr>
        <w:t xml:space="preserve">Causer vs. Effect: </w:t>
      </w:r>
      <w:r>
        <w:t>The shift from being passively moved to consciously participating in what happens next.</w:t>
      </w:r>
    </w:p>
    <w:p>
      <w:pPr>
        <w:pStyle w:val="ListBullet"/>
      </w:pPr>
      <w:r>
        <w:rPr>
          <w:b/>
        </w:rPr>
        <w:t xml:space="preserve">Influence: </w:t>
      </w:r>
      <w:r>
        <w:t>Forces such as environment, suggestion, desire, habit, and will that shape outcomes.</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How does the chapter redefine “chance”?</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causes are shaping your current habits or decisions?</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How can students take responsibility without blaming themselves for everything?</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does it mean to become a “mover” rather than a pawn?</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Cause Map: </w:t>
      </w:r>
      <w:r>
        <w:t>Students choose one recurring outcome and map possible causes across four categories: environment, habits, beliefs, and choices. They then select one cause they can change this week.</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Avoid simplistic cause-and-effect claims about trauma, illness, poverty, or systemic harm. Emphasize layered causation and compassionate agency.</w:t>
            </w:r>
          </w:p>
        </w:tc>
      </w:tr>
    </w:tbl>
    <w:p/>
    <w:p>
      <w:pPr>
        <w:pStyle w:val="Heading2"/>
      </w:pPr>
      <w:r>
        <w:t>Closing Script</w:t>
      </w:r>
    </w:p>
    <w:p>
      <w:r>
        <w:t>As we close Causation, the goal is not to leave with perfect comprehension. The goal is to leave with a clearer question, a more honest observation, and one way to apply the teaching. Causation is not meant to make life feel mechanical. It is meant to make agency visible.</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13: Chapter XIII - Gender</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Gender is in everything; everything has its Masculine and Feminine Principles; Gender manifests on all planes.</w:t>
            </w:r>
          </w:p>
        </w:tc>
      </w:tr>
    </w:tbl>
    <w:p/>
    <w:p>
      <w:pPr>
        <w:pStyle w:val="Heading2"/>
      </w:pPr>
      <w:r>
        <w:t>Facilitator Purpose</w:t>
      </w:r>
    </w:p>
    <w:p>
      <w:r>
        <w:t>Hold this chapter carefully. Clarify early that the text’s use of masculine and feminine language is symbolic and historical. The purpose is to explore creative polarity without reinforcing rigid gender assumptions.</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The text uses gender to describe the creative interaction of complementary principles across physical, mental, and spiritual planes.</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examine creativity, attraction, receptivity, and expression as complementary principles. Students are encouraged to translate the chapter into human-centered language that honors wholeness rather than stereotypes.</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XIII: Gender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The text uses gender to describe the creative interaction of complementary principles across physical, mental, and spiritual planes.</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Creative Principle Map.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XIII: Gender.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Gender Principle: </w:t>
      </w:r>
      <w:r>
        <w:t>The principle of generation, regeneration, and creative interaction.</w:t>
      </w:r>
    </w:p>
    <w:p>
      <w:pPr>
        <w:pStyle w:val="ListBullet"/>
      </w:pPr>
      <w:r>
        <w:rPr>
          <w:b/>
        </w:rPr>
        <w:t xml:space="preserve">Masculine Principle: </w:t>
      </w:r>
      <w:r>
        <w:t>Symbolic active, projective, or initiating aspect in the text.</w:t>
      </w:r>
    </w:p>
    <w:p>
      <w:pPr>
        <w:pStyle w:val="ListBullet"/>
      </w:pPr>
      <w:r>
        <w:rPr>
          <w:b/>
        </w:rPr>
        <w:t xml:space="preserve">Feminine Principle: </w:t>
      </w:r>
      <w:r>
        <w:t>Symbolic receptive, formative, or generative aspect in the text.</w:t>
      </w:r>
    </w:p>
    <w:p>
      <w:pPr>
        <w:pStyle w:val="ListBullet"/>
      </w:pPr>
      <w:r>
        <w:rPr>
          <w:b/>
        </w:rPr>
        <w:t xml:space="preserve">Generation: </w:t>
      </w:r>
      <w:r>
        <w:t>The bringing forth of new form, life, thought, or expression.</w:t>
      </w:r>
    </w:p>
    <w:p>
      <w:pPr>
        <w:pStyle w:val="ListBullet"/>
      </w:pPr>
      <w:r>
        <w:rPr>
          <w:b/>
        </w:rPr>
        <w:t xml:space="preserve">Regeneration: </w:t>
      </w:r>
      <w:r>
        <w:t>Renewal or re-creation of life, energy, or form.</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How does the chapter define gender differently from ordinary modern usage?</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creative processes require both initiation and receptivity?</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How can we use the chapter’s symbolism without turning it into stereotypes?</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Where do you see generation or regeneration happening in your own life?</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Creative Principle Map: </w:t>
      </w:r>
      <w:r>
        <w:t>Students choose one creative process in their life. They identify the initiating force, the receptive/formative space, the generated outcome, and what needs renewal.</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State clearly that the session is not about ranking masculine and feminine, defining people by binary roles, or sexualizing the teaching. Keep the language inclusive and symbolic.</w:t>
            </w:r>
          </w:p>
        </w:tc>
      </w:tr>
    </w:tbl>
    <w:p/>
    <w:p>
      <w:pPr>
        <w:pStyle w:val="Heading2"/>
      </w:pPr>
      <w:r>
        <w:t>Closing Script</w:t>
      </w:r>
    </w:p>
    <w:p>
      <w:r>
        <w:t>As we close Gender, the goal is not to leave with perfect comprehension. The goal is to leave with a clearer question, a more honest observation, and one way to apply the teaching. Read carefully, this chapter is about creativity and wholeness. It asks students to notice the principles that bring new life into form.</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14: Chapter XIV - Mental Gender</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The “I” represents the Masculine Principle of Mental Gender; the “Me” represents the Feminine Principle.</w:t>
            </w:r>
          </w:p>
        </w:tc>
      </w:tr>
    </w:tbl>
    <w:p/>
    <w:p>
      <w:pPr>
        <w:pStyle w:val="Heading2"/>
      </w:pPr>
      <w:r>
        <w:t>Facilitator Purpose</w:t>
      </w:r>
    </w:p>
    <w:p>
      <w:r>
        <w:t>Help the group explore “I” and “Me” as an introspective tool. Keep the language practical: awareness, attention, suggestion, impression, and self-direction.</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Mental Gender describes two functions of mind: the witnessing/directing “I” and the receptive/generative “Me.” Self-mastery grows when students can distinguish and coordinate them.</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observe the difference between awareness and thought-content. Students practice noticing the part of self that witnesses, chooses, and directs, and the part that receives, forms, and produces mental images.</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XIV: Mental Gender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Mental Gender describes two functions of mind: the witnessing/directing “I” and the receptive/generative “Me.” Self-mastery grows when students can distinguish and coordinate them.</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I and Me Dialogue.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XIV: Mental Gender.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The I: </w:t>
      </w:r>
      <w:r>
        <w:t>The witnessing, choosing, and directing aspect of consciousness.</w:t>
      </w:r>
    </w:p>
    <w:p>
      <w:pPr>
        <w:pStyle w:val="ListBullet"/>
      </w:pPr>
      <w:r>
        <w:rPr>
          <w:b/>
        </w:rPr>
        <w:t xml:space="preserve">The Me: </w:t>
      </w:r>
      <w:r>
        <w:t>The field of thoughts, feelings, memories, images, and mental content.</w:t>
      </w:r>
    </w:p>
    <w:p>
      <w:pPr>
        <w:pStyle w:val="ListBullet"/>
      </w:pPr>
      <w:r>
        <w:rPr>
          <w:b/>
        </w:rPr>
        <w:t xml:space="preserve">Mental Suggestion: </w:t>
      </w:r>
      <w:r>
        <w:t>An impression placed into the receptive mind by self or others.</w:t>
      </w:r>
    </w:p>
    <w:p>
      <w:pPr>
        <w:pStyle w:val="ListBullet"/>
      </w:pPr>
      <w:r>
        <w:rPr>
          <w:b/>
        </w:rPr>
        <w:t xml:space="preserve">Mental Generation: </w:t>
      </w:r>
      <w:r>
        <w:t>The production of thoughts, images, beliefs, and inner experiences.</w:t>
      </w:r>
    </w:p>
    <w:p>
      <w:pPr>
        <w:pStyle w:val="ListBullet"/>
      </w:pPr>
      <w:r>
        <w:rPr>
          <w:b/>
        </w:rPr>
        <w:t xml:space="preserve">Self-Direction: </w:t>
      </w:r>
      <w:r>
        <w:t>The ability to guide attention and choose what one energizes mentally.</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How do you personally distinguish between “I am aware” and “I am having a thought”?</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kinds of suggestions do people absorb without noticing?</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How can the “I” guide the “Me” without becoming harsh or controlling?</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modern psychological ideas sound similar to this chapter?</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I and Me Dialogue: </w:t>
      </w:r>
      <w:r>
        <w:t>Students write two short columns. In the “Me” column, they name a recurring thought or impression. In the “I” column, they respond with conscious direction, compassion, and a chosen replacement focus.</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Avoid presenting this as clinical psychology. It is a metaphysical model with some parallels to modern self-observation practices, not a substitute for mental health care.</w:t>
            </w:r>
          </w:p>
        </w:tc>
      </w:tr>
    </w:tbl>
    <w:p/>
    <w:p>
      <w:pPr>
        <w:pStyle w:val="Heading2"/>
      </w:pPr>
      <w:r>
        <w:t>Closing Script</w:t>
      </w:r>
    </w:p>
    <w:p>
      <w:r>
        <w:t>As we close Mental Gender, the goal is not to leave with perfect comprehension. The goal is to leave with a clearer question, a more honest observation, and one way to apply the teaching. Mental Gender turns self-observation into self-leadership. The mind receives many impressions, but awareness can choose what to energize.</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1"/>
      </w:pPr>
      <w:r>
        <w:t>Session 15: Chapter XV - Hermetic Axioms</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Anchor Quote: </w:t>
            </w:r>
            <w:r>
              <w:t>The possession of Knowledge, unless accompanied by a manifestation and expression in Action, is like the hoarding of precious metals.</w:t>
            </w:r>
          </w:p>
        </w:tc>
      </w:tr>
    </w:tbl>
    <w:p/>
    <w:p>
      <w:pPr>
        <w:pStyle w:val="Heading2"/>
      </w:pPr>
      <w:r>
        <w:t>Facilitator Purpose</w:t>
      </w:r>
    </w:p>
    <w:p>
      <w:r>
        <w:t>Close the series by helping participants synthesize without rushing. Encourage them to name one practical commitment and one principle they want to keep studying.</w:t>
      </w:r>
    </w:p>
    <w:p>
      <w:pPr>
        <w:pStyle w:val="Heading2"/>
      </w:pPr>
      <w:r>
        <w:t>Chapter at a Glance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ELEMENT</w:t>
            </w:r>
          </w:p>
        </w:tc>
        <w:tc>
          <w:tcPr>
            <w:tcW w:type="dxa" w:w="5040"/>
            <w:shd w:fill="003464"/>
            <w:tcMar>
              <w:top w:w="100" w:type="dxa"/>
              <w:start w:w="100" w:type="dxa"/>
              <w:bottom w:w="100" w:type="dxa"/>
              <w:end w:w="100" w:type="dxa"/>
            </w:tcMar>
            <w:vAlign w:val="center"/>
          </w:tcPr>
          <w:p>
            <w:r>
              <w:rPr>
                <w:b/>
                <w:color w:val="FFFFFF"/>
                <w:sz w:val="18"/>
              </w:rPr>
              <w:t>FACILITATOR NOTES</w:t>
            </w:r>
          </w:p>
        </w:tc>
      </w:tr>
      <w:tr>
        <w:trPr>
          <w:cantSplit/>
        </w:trPr>
        <w:tc>
          <w:tcPr>
            <w:tcW w:type="dxa" w:w="5040"/>
            <w:tcMar>
              <w:top w:w="100" w:type="dxa"/>
              <w:start w:w="100" w:type="dxa"/>
              <w:bottom w:w="100" w:type="dxa"/>
              <w:end w:w="100" w:type="dxa"/>
            </w:tcMar>
          </w:tcPr>
          <w:p>
            <w:r>
              <w:rPr>
                <w:sz w:val="18"/>
              </w:rPr>
              <w:t>Core teaching</w:t>
            </w:r>
          </w:p>
        </w:tc>
        <w:tc>
          <w:tcPr>
            <w:tcW w:type="dxa" w:w="5040"/>
            <w:tcMar>
              <w:top w:w="100" w:type="dxa"/>
              <w:start w:w="100" w:type="dxa"/>
              <w:bottom w:w="100" w:type="dxa"/>
              <w:end w:w="100" w:type="dxa"/>
            </w:tcMar>
          </w:tcPr>
          <w:p>
            <w:r>
              <w:rPr>
                <w:sz w:val="18"/>
              </w:rPr>
              <w:t>The axioms insist that Hermetic knowledge is incomplete until it becomes lived practice.</w:t>
            </w:r>
          </w:p>
        </w:tc>
      </w:tr>
      <w:tr>
        <w:trPr>
          <w:cantSplit/>
        </w:trPr>
        <w:tc>
          <w:tcPr>
            <w:tcW w:type="dxa" w:w="5040"/>
            <w:tcMar>
              <w:top w:w="100" w:type="dxa"/>
              <w:start w:w="100" w:type="dxa"/>
              <w:bottom w:w="100" w:type="dxa"/>
              <w:end w:w="100" w:type="dxa"/>
            </w:tcMar>
            <w:shd w:fill="F3F5F7"/>
          </w:tcPr>
          <w:p>
            <w:r>
              <w:rPr>
                <w:sz w:val="18"/>
              </w:rPr>
              <w:t>Human-centered emphasis</w:t>
            </w:r>
          </w:p>
        </w:tc>
        <w:tc>
          <w:tcPr>
            <w:tcW w:type="dxa" w:w="5040"/>
            <w:tcMar>
              <w:top w:w="100" w:type="dxa"/>
              <w:start w:w="100" w:type="dxa"/>
              <w:bottom w:w="100" w:type="dxa"/>
              <w:end w:w="100" w:type="dxa"/>
            </w:tcMar>
            <w:shd w:fill="F3F5F7"/>
          </w:tcPr>
          <w:p>
            <w:r>
              <w:rPr>
                <w:sz w:val="18"/>
              </w:rPr>
              <w:t>This session helps students integrate the whole study. Students identify which principle is most alive for them, which one challenges them most, and how they will turn understanding into action.</w:t>
            </w:r>
          </w:p>
        </w:tc>
      </w:tr>
      <w:tr>
        <w:trPr>
          <w:cantSplit/>
        </w:trPr>
        <w:tc>
          <w:tcPr>
            <w:tcW w:type="dxa" w:w="5040"/>
            <w:tcMar>
              <w:top w:w="100" w:type="dxa"/>
              <w:start w:w="100" w:type="dxa"/>
              <w:bottom w:w="100" w:type="dxa"/>
              <w:end w:w="100" w:type="dxa"/>
            </w:tcMar>
          </w:tcPr>
          <w:p>
            <w:r>
              <w:rPr>
                <w:sz w:val="18"/>
              </w:rPr>
              <w:t>Common challenge</w:t>
            </w:r>
          </w:p>
        </w:tc>
        <w:tc>
          <w:tcPr>
            <w:tcW w:type="dxa" w:w="5040"/>
            <w:tcMar>
              <w:top w:w="100" w:type="dxa"/>
              <w:start w:w="100" w:type="dxa"/>
              <w:bottom w:w="100" w:type="dxa"/>
              <w:end w:w="100" w:type="dxa"/>
            </w:tcMar>
          </w:tcPr>
          <w:p>
            <w:r>
              <w:rPr>
                <w:sz w:val="18"/>
              </w:rPr>
              <w:t>Students may either over-literalize the metaphysical language or dismiss it too quickly. Slow the room down and keep bringing the conversation back to lived experience.</w:t>
            </w:r>
          </w:p>
        </w:tc>
      </w:tr>
      <w:tr>
        <w:trPr>
          <w:cantSplit/>
        </w:trPr>
        <w:tc>
          <w:tcPr>
            <w:tcW w:type="dxa" w:w="5040"/>
            <w:tcMar>
              <w:top w:w="100" w:type="dxa"/>
              <w:start w:w="100" w:type="dxa"/>
              <w:bottom w:w="100" w:type="dxa"/>
              <w:end w:w="100" w:type="dxa"/>
            </w:tcMar>
            <w:shd w:fill="F3F5F7"/>
          </w:tcPr>
          <w:p>
            <w:r>
              <w:rPr>
                <w:sz w:val="18"/>
              </w:rPr>
              <w:t>Facilitator posture</w:t>
            </w:r>
          </w:p>
        </w:tc>
        <w:tc>
          <w:tcPr>
            <w:tcW w:type="dxa" w:w="5040"/>
            <w:tcMar>
              <w:top w:w="100" w:type="dxa"/>
              <w:start w:w="100" w:type="dxa"/>
              <w:bottom w:w="100" w:type="dxa"/>
              <w:end w:w="100" w:type="dxa"/>
            </w:tcMar>
            <w:shd w:fill="F3F5F7"/>
          </w:tcPr>
          <w:p>
            <w:r>
              <w:rPr>
                <w:sz w:val="18"/>
              </w:rPr>
              <w:t>Guide understanding, protect psychological safety, invite interpretation, and avoid forcing agreement.</w:t>
            </w:r>
          </w:p>
        </w:tc>
      </w:tr>
    </w:tbl>
    <w:p/>
    <w:p>
      <w:pPr>
        <w:pStyle w:val="Heading2"/>
      </w:pPr>
      <w:r>
        <w:t>Learning Outcomes</w:t>
      </w:r>
    </w:p>
    <w:p>
      <w:pPr>
        <w:pStyle w:val="ListBullet"/>
      </w:pPr>
      <w:r>
        <w:t>Students can explain the central teaching of Chapter XV: Hermetic Axioms in plain language.</w:t>
      </w:r>
    </w:p>
    <w:p>
      <w:pPr>
        <w:pStyle w:val="ListBullet"/>
      </w:pPr>
      <w:r>
        <w:t>Students can identify at least three core terms from the session and explain why they matter.</w:t>
      </w:r>
    </w:p>
    <w:p>
      <w:pPr>
        <w:pStyle w:val="ListBullet"/>
      </w:pPr>
      <w:r>
        <w:t>Students can connect the session to one real-life example without reducing the teaching to a slogan.</w:t>
      </w:r>
    </w:p>
    <w:p>
      <w:pPr>
        <w:pStyle w:val="ListBullet"/>
      </w:pPr>
      <w:r>
        <w:t>Students can leave with one practical reflection or action step.</w:t>
      </w:r>
    </w:p>
    <w:p>
      <w:pPr>
        <w:pStyle w:val="Heading2"/>
      </w:pPr>
      <w:r>
        <w:t>Suggested 75-Minute Flow</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003464"/>
            <w:tcMar>
              <w:top w:w="100" w:type="dxa"/>
              <w:start w:w="100" w:type="dxa"/>
              <w:bottom w:w="100" w:type="dxa"/>
              <w:end w:w="100" w:type="dxa"/>
            </w:tcMar>
            <w:vAlign w:val="center"/>
          </w:tcPr>
          <w:p>
            <w:r>
              <w:rPr>
                <w:b/>
                <w:color w:val="FFFFFF"/>
                <w:sz w:val="18"/>
              </w:rPr>
              <w:t>TIME</w:t>
            </w:r>
          </w:p>
        </w:tc>
        <w:tc>
          <w:tcPr>
            <w:tcW w:type="dxa" w:w="3360"/>
            <w:shd w:fill="003464"/>
            <w:tcMar>
              <w:top w:w="100" w:type="dxa"/>
              <w:start w:w="100" w:type="dxa"/>
              <w:bottom w:w="100" w:type="dxa"/>
              <w:end w:w="100" w:type="dxa"/>
            </w:tcMar>
            <w:vAlign w:val="center"/>
          </w:tcPr>
          <w:p>
            <w:r>
              <w:rPr>
                <w:b/>
                <w:color w:val="FFFFFF"/>
                <w:sz w:val="18"/>
              </w:rPr>
              <w:t>SEGMENT</w:t>
            </w:r>
          </w:p>
        </w:tc>
        <w:tc>
          <w:tcPr>
            <w:tcW w:type="dxa" w:w="3360"/>
            <w:shd w:fill="003464"/>
            <w:tcMar>
              <w:top w:w="100" w:type="dxa"/>
              <w:start w:w="100" w:type="dxa"/>
              <w:bottom w:w="100" w:type="dxa"/>
              <w:end w:w="100" w:type="dxa"/>
            </w:tcMar>
            <w:vAlign w:val="center"/>
          </w:tcPr>
          <w:p>
            <w:r>
              <w:rPr>
                <w:b/>
                <w:color w:val="FFFFFF"/>
                <w:sz w:val="18"/>
              </w:rPr>
              <w:t>FACILITATOR MOVE</w:t>
            </w:r>
          </w:p>
        </w:tc>
      </w:tr>
      <w:tr>
        <w:trPr>
          <w:cantSplit/>
        </w:trPr>
        <w:tc>
          <w:tcPr>
            <w:tcW w:type="dxa" w:w="3360"/>
            <w:tcMar>
              <w:top w:w="100" w:type="dxa"/>
              <w:start w:w="100" w:type="dxa"/>
              <w:bottom w:w="100" w:type="dxa"/>
              <w:end w:w="100" w:type="dxa"/>
            </w:tcMar>
          </w:tcPr>
          <w:p>
            <w:r>
              <w:rPr>
                <w:sz w:val="18"/>
              </w:rPr>
              <w:t>0-5 min</w:t>
            </w:r>
          </w:p>
        </w:tc>
        <w:tc>
          <w:tcPr>
            <w:tcW w:type="dxa" w:w="3360"/>
            <w:tcMar>
              <w:top w:w="100" w:type="dxa"/>
              <w:start w:w="100" w:type="dxa"/>
              <w:bottom w:w="100" w:type="dxa"/>
              <w:end w:w="100" w:type="dxa"/>
            </w:tcMar>
          </w:tcPr>
          <w:p>
            <w:r>
              <w:rPr>
                <w:sz w:val="18"/>
              </w:rPr>
              <w:t>Arrival and grounding</w:t>
            </w:r>
          </w:p>
        </w:tc>
        <w:tc>
          <w:tcPr>
            <w:tcW w:type="dxa" w:w="3360"/>
            <w:tcMar>
              <w:top w:w="100" w:type="dxa"/>
              <w:start w:w="100" w:type="dxa"/>
              <w:bottom w:w="100" w:type="dxa"/>
              <w:end w:w="100" w:type="dxa"/>
            </w:tcMar>
          </w:tcPr>
          <w:p>
            <w:r>
              <w:rPr>
                <w:sz w:val="18"/>
              </w:rPr>
              <w:t>Welcome the group, invite one breath, and remind participants that abstract ideas are allowed to unfold slowly.</w:t>
            </w:r>
          </w:p>
        </w:tc>
      </w:tr>
      <w:tr>
        <w:trPr>
          <w:cantSplit/>
        </w:trPr>
        <w:tc>
          <w:tcPr>
            <w:tcW w:type="dxa" w:w="3360"/>
            <w:tcMar>
              <w:top w:w="100" w:type="dxa"/>
              <w:start w:w="100" w:type="dxa"/>
              <w:bottom w:w="100" w:type="dxa"/>
              <w:end w:w="100" w:type="dxa"/>
            </w:tcMar>
            <w:shd w:fill="F3F5F7"/>
          </w:tcPr>
          <w:p>
            <w:r>
              <w:rPr>
                <w:sz w:val="18"/>
              </w:rPr>
              <w:t>5-12 min</w:t>
            </w:r>
          </w:p>
        </w:tc>
        <w:tc>
          <w:tcPr>
            <w:tcW w:type="dxa" w:w="3360"/>
            <w:tcMar>
              <w:top w:w="100" w:type="dxa"/>
              <w:start w:w="100" w:type="dxa"/>
              <w:bottom w:w="100" w:type="dxa"/>
              <w:end w:w="100" w:type="dxa"/>
            </w:tcMar>
            <w:shd w:fill="F3F5F7"/>
          </w:tcPr>
          <w:p>
            <w:r>
              <w:rPr>
                <w:sz w:val="18"/>
              </w:rPr>
              <w:t>Opening frame</w:t>
            </w:r>
          </w:p>
        </w:tc>
        <w:tc>
          <w:tcPr>
            <w:tcW w:type="dxa" w:w="3360"/>
            <w:tcMar>
              <w:top w:w="100" w:type="dxa"/>
              <w:start w:w="100" w:type="dxa"/>
              <w:bottom w:w="100" w:type="dxa"/>
              <w:end w:w="100" w:type="dxa"/>
            </w:tcMar>
            <w:shd w:fill="F3F5F7"/>
          </w:tcPr>
          <w:p>
            <w:r>
              <w:rPr>
                <w:sz w:val="18"/>
              </w:rPr>
              <w:t>Read the anchor quote and introduce the session's human question: The axioms insist that Hermetic knowledge is incomplete until it becomes lived practice.</w:t>
            </w:r>
          </w:p>
        </w:tc>
      </w:tr>
      <w:tr>
        <w:trPr>
          <w:cantSplit/>
        </w:trPr>
        <w:tc>
          <w:tcPr>
            <w:tcW w:type="dxa" w:w="3360"/>
            <w:tcMar>
              <w:top w:w="100" w:type="dxa"/>
              <w:start w:w="100" w:type="dxa"/>
              <w:bottom w:w="100" w:type="dxa"/>
              <w:end w:w="100" w:type="dxa"/>
            </w:tcMar>
          </w:tcPr>
          <w:p>
            <w:r>
              <w:rPr>
                <w:sz w:val="18"/>
              </w:rPr>
              <w:t>12-25 min</w:t>
            </w:r>
          </w:p>
        </w:tc>
        <w:tc>
          <w:tcPr>
            <w:tcW w:type="dxa" w:w="3360"/>
            <w:tcMar>
              <w:top w:w="100" w:type="dxa"/>
              <w:start w:w="100" w:type="dxa"/>
              <w:bottom w:w="100" w:type="dxa"/>
              <w:end w:w="100" w:type="dxa"/>
            </w:tcMar>
          </w:tcPr>
          <w:p>
            <w:r>
              <w:rPr>
                <w:sz w:val="18"/>
              </w:rPr>
              <w:t>Plain-language teaching</w:t>
            </w:r>
          </w:p>
        </w:tc>
        <w:tc>
          <w:tcPr>
            <w:tcW w:type="dxa" w:w="3360"/>
            <w:tcMar>
              <w:top w:w="100" w:type="dxa"/>
              <w:start w:w="100" w:type="dxa"/>
              <w:bottom w:w="100" w:type="dxa"/>
              <w:end w:w="100" w:type="dxa"/>
            </w:tcMar>
          </w:tcPr>
          <w:p>
            <w:r>
              <w:rPr>
                <w:sz w:val="18"/>
              </w:rPr>
              <w:t>Summarize the chapter in practical language. Avoid reading long passages aloud unless the group needs the original wording.</w:t>
            </w:r>
          </w:p>
        </w:tc>
      </w:tr>
      <w:tr>
        <w:trPr>
          <w:cantSplit/>
        </w:trPr>
        <w:tc>
          <w:tcPr>
            <w:tcW w:type="dxa" w:w="3360"/>
            <w:tcMar>
              <w:top w:w="100" w:type="dxa"/>
              <w:start w:w="100" w:type="dxa"/>
              <w:bottom w:w="100" w:type="dxa"/>
              <w:end w:w="100" w:type="dxa"/>
            </w:tcMar>
            <w:shd w:fill="F3F5F7"/>
          </w:tcPr>
          <w:p>
            <w:r>
              <w:rPr>
                <w:sz w:val="18"/>
              </w:rPr>
              <w:t>25-45 min</w:t>
            </w:r>
          </w:p>
        </w:tc>
        <w:tc>
          <w:tcPr>
            <w:tcW w:type="dxa" w:w="3360"/>
            <w:tcMar>
              <w:top w:w="100" w:type="dxa"/>
              <w:start w:w="100" w:type="dxa"/>
              <w:bottom w:w="100" w:type="dxa"/>
              <w:end w:w="100" w:type="dxa"/>
            </w:tcMar>
            <w:shd w:fill="F3F5F7"/>
          </w:tcPr>
          <w:p>
            <w:r>
              <w:rPr>
                <w:sz w:val="18"/>
              </w:rPr>
              <w:t>Guided discussion</w:t>
            </w:r>
          </w:p>
        </w:tc>
        <w:tc>
          <w:tcPr>
            <w:tcW w:type="dxa" w:w="3360"/>
            <w:tcMar>
              <w:top w:w="100" w:type="dxa"/>
              <w:start w:w="100" w:type="dxa"/>
              <w:bottom w:w="100" w:type="dxa"/>
              <w:end w:w="100" w:type="dxa"/>
            </w:tcMar>
            <w:shd w:fill="F3F5F7"/>
          </w:tcPr>
          <w:p>
            <w:r>
              <w:rPr>
                <w:sz w:val="18"/>
              </w:rPr>
              <w:t>Use the chapter-specific discussion prompts. Ask follow-ups that move from theory to experience.</w:t>
            </w:r>
          </w:p>
        </w:tc>
      </w:tr>
      <w:tr>
        <w:trPr>
          <w:cantSplit/>
        </w:trPr>
        <w:tc>
          <w:tcPr>
            <w:tcW w:type="dxa" w:w="3360"/>
            <w:tcMar>
              <w:top w:w="100" w:type="dxa"/>
              <w:start w:w="100" w:type="dxa"/>
              <w:bottom w:w="100" w:type="dxa"/>
              <w:end w:w="100" w:type="dxa"/>
            </w:tcMar>
          </w:tcPr>
          <w:p>
            <w:r>
              <w:rPr>
                <w:sz w:val="18"/>
              </w:rPr>
              <w:t>45-60 min</w:t>
            </w:r>
          </w:p>
        </w:tc>
        <w:tc>
          <w:tcPr>
            <w:tcW w:type="dxa" w:w="3360"/>
            <w:tcMar>
              <w:top w:w="100" w:type="dxa"/>
              <w:start w:w="100" w:type="dxa"/>
              <w:bottom w:w="100" w:type="dxa"/>
              <w:end w:w="100" w:type="dxa"/>
            </w:tcMar>
          </w:tcPr>
          <w:p>
            <w:r>
              <w:rPr>
                <w:sz w:val="18"/>
              </w:rPr>
              <w:t>Practice activity</w:t>
            </w:r>
          </w:p>
        </w:tc>
        <w:tc>
          <w:tcPr>
            <w:tcW w:type="dxa" w:w="3360"/>
            <w:tcMar>
              <w:top w:w="100" w:type="dxa"/>
              <w:start w:w="100" w:type="dxa"/>
              <w:bottom w:w="100" w:type="dxa"/>
              <w:end w:w="100" w:type="dxa"/>
            </w:tcMar>
          </w:tcPr>
          <w:p>
            <w:r>
              <w:rPr>
                <w:sz w:val="18"/>
              </w:rPr>
              <w:t>Lead the activity: Personal Hermetic Operating System. Give students quiet writing time before discussion.</w:t>
            </w:r>
          </w:p>
        </w:tc>
      </w:tr>
      <w:tr>
        <w:trPr>
          <w:cantSplit/>
        </w:trPr>
        <w:tc>
          <w:tcPr>
            <w:tcW w:type="dxa" w:w="3360"/>
            <w:tcMar>
              <w:top w:w="100" w:type="dxa"/>
              <w:start w:w="100" w:type="dxa"/>
              <w:bottom w:w="100" w:type="dxa"/>
              <w:end w:w="100" w:type="dxa"/>
            </w:tcMar>
            <w:shd w:fill="F3F5F7"/>
          </w:tcPr>
          <w:p>
            <w:r>
              <w:rPr>
                <w:sz w:val="18"/>
              </w:rPr>
              <w:t>60-70 min</w:t>
            </w:r>
          </w:p>
        </w:tc>
        <w:tc>
          <w:tcPr>
            <w:tcW w:type="dxa" w:w="3360"/>
            <w:tcMar>
              <w:top w:w="100" w:type="dxa"/>
              <w:start w:w="100" w:type="dxa"/>
              <w:bottom w:w="100" w:type="dxa"/>
              <w:end w:w="100" w:type="dxa"/>
            </w:tcMar>
            <w:shd w:fill="F3F5F7"/>
          </w:tcPr>
          <w:p>
            <w:r>
              <w:rPr>
                <w:sz w:val="18"/>
              </w:rPr>
              <w:t>Integration round</w:t>
            </w:r>
          </w:p>
        </w:tc>
        <w:tc>
          <w:tcPr>
            <w:tcW w:type="dxa" w:w="3360"/>
            <w:tcMar>
              <w:top w:w="100" w:type="dxa"/>
              <w:start w:w="100" w:type="dxa"/>
              <w:bottom w:w="100" w:type="dxa"/>
              <w:end w:w="100" w:type="dxa"/>
            </w:tcMar>
            <w:shd w:fill="F3F5F7"/>
          </w:tcPr>
          <w:p>
            <w:r>
              <w:rPr>
                <w:sz w:val="18"/>
              </w:rPr>
              <w:t>Ask each participant to name one insight, one question, or one next action.</w:t>
            </w:r>
          </w:p>
        </w:tc>
      </w:tr>
      <w:tr>
        <w:trPr>
          <w:cantSplit/>
        </w:trPr>
        <w:tc>
          <w:tcPr>
            <w:tcW w:type="dxa" w:w="3360"/>
            <w:tcMar>
              <w:top w:w="100" w:type="dxa"/>
              <w:start w:w="100" w:type="dxa"/>
              <w:bottom w:w="100" w:type="dxa"/>
              <w:end w:w="100" w:type="dxa"/>
            </w:tcMar>
          </w:tcPr>
          <w:p>
            <w:r>
              <w:rPr>
                <w:sz w:val="18"/>
              </w:rPr>
              <w:t>70-75 min</w:t>
            </w:r>
          </w:p>
        </w:tc>
        <w:tc>
          <w:tcPr>
            <w:tcW w:type="dxa" w:w="3360"/>
            <w:tcMar>
              <w:top w:w="100" w:type="dxa"/>
              <w:start w:w="100" w:type="dxa"/>
              <w:bottom w:w="100" w:type="dxa"/>
              <w:end w:w="100" w:type="dxa"/>
            </w:tcMar>
          </w:tcPr>
          <w:p>
            <w:r>
              <w:rPr>
                <w:sz w:val="18"/>
              </w:rPr>
              <w:t>Closing</w:t>
            </w:r>
          </w:p>
        </w:tc>
        <w:tc>
          <w:tcPr>
            <w:tcW w:type="dxa" w:w="3360"/>
            <w:tcMar>
              <w:top w:w="100" w:type="dxa"/>
              <w:start w:w="100" w:type="dxa"/>
              <w:bottom w:w="100" w:type="dxa"/>
              <w:end w:w="100" w:type="dxa"/>
            </w:tcMar>
          </w:tcPr>
          <w:p>
            <w:r>
              <w:rPr>
                <w:sz w:val="18"/>
              </w:rPr>
              <w:t>Close with the chapter-specific reflection and preview the next session.</w:t>
            </w:r>
          </w:p>
        </w:tc>
      </w:tr>
    </w:tbl>
    <w:p/>
    <w:p>
      <w:pPr>
        <w:pStyle w:val="Heading2"/>
      </w:pPr>
      <w:r>
        <w:t>Opening Script</w:t>
      </w:r>
    </w:p>
    <w:p>
      <w:r>
        <w:t>Today we are working with Chapter XV: Hermetic Axioms. This chapter is not asking us to memorize a doctrine. It is asking us to notice a pattern and test whether that pattern helps us understand ourselves, our choices, and our spiritual development more honestly. As we discuss it, let's keep two commitments: first, we will respect the text; second, we will not force anyone to pretend certainty where they still have questions.</w:t>
      </w:r>
    </w:p>
    <w:p>
      <w:pPr>
        <w:pStyle w:val="Heading2"/>
      </w:pPr>
      <w:r>
        <w:t>Teaching Notes</w:t>
      </w:r>
    </w:p>
    <w:p>
      <w:pPr>
        <w:pStyle w:val="ListBullet"/>
      </w:pPr>
      <w:r>
        <w:rPr>
          <w:b/>
        </w:rPr>
        <w:t xml:space="preserve">Axiom: </w:t>
      </w:r>
      <w:r>
        <w:t>A concise principle or statement offered as a guide for understanding and action.</w:t>
      </w:r>
    </w:p>
    <w:p>
      <w:pPr>
        <w:pStyle w:val="ListBullet"/>
      </w:pPr>
      <w:r>
        <w:rPr>
          <w:b/>
        </w:rPr>
        <w:t xml:space="preserve">Action: </w:t>
      </w:r>
      <w:r>
        <w:t>The visible expression of knowledge in behavior and practice.</w:t>
      </w:r>
    </w:p>
    <w:p>
      <w:pPr>
        <w:pStyle w:val="ListBullet"/>
      </w:pPr>
      <w:r>
        <w:rPr>
          <w:b/>
        </w:rPr>
        <w:t xml:space="preserve">Mastery: </w:t>
      </w:r>
      <w:r>
        <w:t>The ability to work consciously with law instead of being blindly ruled by it.</w:t>
      </w:r>
    </w:p>
    <w:p>
      <w:pPr>
        <w:pStyle w:val="ListBullet"/>
      </w:pPr>
      <w:r>
        <w:rPr>
          <w:b/>
        </w:rPr>
        <w:t xml:space="preserve">Mental Transmutation: </w:t>
      </w:r>
      <w:r>
        <w:t>The art of changing mental states and conditions.</w:t>
      </w:r>
    </w:p>
    <w:p>
      <w:pPr>
        <w:pStyle w:val="ListBullet"/>
      </w:pPr>
      <w:r>
        <w:rPr>
          <w:b/>
        </w:rPr>
        <w:t xml:space="preserve">Integration: </w:t>
      </w:r>
      <w:r>
        <w:t>Bringing all principles together into a practical way of living.</w:t>
      </w:r>
    </w:p>
    <w:p>
      <w:pPr>
        <w:pStyle w:val="Heading2"/>
      </w:pPr>
      <w:r>
        <w:t>Discussion Guide with Facilitator Follow-Ups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003464"/>
            <w:tcMar>
              <w:top w:w="100" w:type="dxa"/>
              <w:start w:w="100" w:type="dxa"/>
              <w:bottom w:w="100" w:type="dxa"/>
              <w:end w:w="100" w:type="dxa"/>
            </w:tcMar>
            <w:vAlign w:val="center"/>
          </w:tcPr>
          <w:p>
            <w:r>
              <w:rPr>
                <w:b/>
                <w:color w:val="FFFFFF"/>
                <w:sz w:val="18"/>
              </w:rPr>
              <w:t>PROMPT</w:t>
            </w:r>
          </w:p>
        </w:tc>
        <w:tc>
          <w:tcPr>
            <w:tcW w:type="dxa" w:w="5040"/>
            <w:shd w:fill="003464"/>
            <w:tcMar>
              <w:top w:w="100" w:type="dxa"/>
              <w:start w:w="100" w:type="dxa"/>
              <w:bottom w:w="100" w:type="dxa"/>
              <w:end w:w="100" w:type="dxa"/>
            </w:tcMar>
            <w:vAlign w:val="center"/>
          </w:tcPr>
          <w:p>
            <w:r>
              <w:rPr>
                <w:b/>
                <w:color w:val="FFFFFF"/>
                <w:sz w:val="18"/>
              </w:rPr>
              <w:t>FACILITATOR FOLLOW-UP</w:t>
            </w:r>
          </w:p>
        </w:tc>
      </w:tr>
      <w:tr>
        <w:trPr>
          <w:cantSplit/>
        </w:trPr>
        <w:tc>
          <w:tcPr>
            <w:tcW w:type="dxa" w:w="5040"/>
            <w:tcMar>
              <w:top w:w="100" w:type="dxa"/>
              <w:start w:w="100" w:type="dxa"/>
              <w:bottom w:w="100" w:type="dxa"/>
              <w:end w:w="100" w:type="dxa"/>
            </w:tcMar>
          </w:tcPr>
          <w:p>
            <w:r>
              <w:rPr>
                <w:sz w:val="18"/>
              </w:rPr>
              <w:t>Which axiom feels most practical for everyday life?</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is one idea from the book that needs to become action now?</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tcPr>
          <w:p>
            <w:r>
              <w:rPr>
                <w:sz w:val="18"/>
              </w:rPr>
              <w:t>Which of the seven principles changed how you understand yourself?</w:t>
            </w:r>
          </w:p>
        </w:tc>
        <w:tc>
          <w:tcPr>
            <w:tcW w:type="dxa" w:w="5040"/>
            <w:tcMar>
              <w:top w:w="100" w:type="dxa"/>
              <w:start w:w="100" w:type="dxa"/>
              <w:bottom w:w="100" w:type="dxa"/>
              <w:end w:w="100" w:type="dxa"/>
            </w:tcMar>
          </w:tcPr>
          <w:p>
            <w:r>
              <w:rPr>
                <w:sz w:val="18"/>
              </w:rPr>
              <w:t>Ask students to give a concrete example, then invite them to name what changes when the idea is brought into everyday life.</w:t>
            </w:r>
          </w:p>
        </w:tc>
      </w:tr>
      <w:tr>
        <w:trPr>
          <w:cantSplit/>
        </w:trPr>
        <w:tc>
          <w:tcPr>
            <w:tcW w:type="dxa" w:w="5040"/>
            <w:tcMar>
              <w:top w:w="100" w:type="dxa"/>
              <w:start w:w="100" w:type="dxa"/>
              <w:bottom w:w="100" w:type="dxa"/>
              <w:end w:w="100" w:type="dxa"/>
            </w:tcMar>
            <w:shd w:fill="F3F5F7"/>
          </w:tcPr>
          <w:p>
            <w:r>
              <w:rPr>
                <w:sz w:val="18"/>
              </w:rPr>
              <w:t>What would it mean to keep studying without becoming trapped in theory?</w:t>
            </w:r>
          </w:p>
        </w:tc>
        <w:tc>
          <w:tcPr>
            <w:tcW w:type="dxa" w:w="5040"/>
            <w:tcMar>
              <w:top w:w="100" w:type="dxa"/>
              <w:start w:w="100" w:type="dxa"/>
              <w:bottom w:w="100" w:type="dxa"/>
              <w:end w:w="100" w:type="dxa"/>
            </w:tcMar>
            <w:shd w:fill="F3F5F7"/>
          </w:tcPr>
          <w:p>
            <w:r>
              <w:rPr>
                <w:sz w:val="18"/>
              </w:rPr>
              <w:t>Ask students to give a concrete example, then invite them to name what changes when the idea is brought into everyday life.</w:t>
            </w:r>
          </w:p>
        </w:tc>
      </w:tr>
    </w:tbl>
    <w:p/>
    <w:p>
      <w:pPr>
        <w:pStyle w:val="Heading2"/>
      </w:pPr>
      <w:r>
        <w:t>Activity Instructions</w:t>
      </w:r>
    </w:p>
    <w:p>
      <w:r>
        <w:rPr>
          <w:b/>
        </w:rPr>
        <w:t xml:space="preserve">Personal Hermetic Operating System: </w:t>
      </w:r>
      <w:r>
        <w:t>Students choose three principles from the book and write one daily practice for each. They then create a one-sentence commitment for how they will apply the study beyond the group.</w:t>
      </w:r>
    </w:p>
    <w:p>
      <w:pPr>
        <w:pStyle w:val="Heading3"/>
      </w:pPr>
      <w:r>
        <w:t>Debrief Questions</w:t>
      </w:r>
    </w:p>
    <w:p>
      <w:pPr>
        <w:pStyle w:val="ListBullet"/>
      </w:pPr>
      <w:r>
        <w:t>What did this exercise make easier to understand?</w:t>
      </w:r>
    </w:p>
    <w:p>
      <w:pPr>
        <w:pStyle w:val="ListBullet"/>
      </w:pPr>
      <w:r>
        <w:t>Where did the activity reveal resistance, confusion, or a new insight?</w:t>
      </w:r>
    </w:p>
    <w:p>
      <w:pPr>
        <w:pStyle w:val="ListBullet"/>
      </w:pPr>
      <w:r>
        <w:t>What would change if this idea became part of your weekly practice?</w:t>
      </w:r>
    </w:p>
    <w:p>
      <w:pPr>
        <w:pStyle w:val="Heading2"/>
      </w:pPr>
      <w:r>
        <w:t>Facilitator Caution</w:t>
      </w:r>
    </w:p>
    <w:tbl>
      <w:tblPr>
        <w:tblW w:type="auto" w:w="0"/>
        <w:jc w:val="center"/>
        <w:tblLook w:firstColumn="1" w:firstRow="1" w:lastColumn="0" w:lastRow="0" w:noHBand="0" w:noVBand="1" w:val="04A0"/>
      </w:tblPr>
      <w:tblGrid>
        <w:gridCol w:w="10080"/>
      </w:tblGrid>
      <w:tr>
        <w:tc>
          <w:tcPr>
            <w:tcW w:type="dxa" w:w="10080"/>
            <w:shd w:fill="FFF4D6"/>
            <w:tcMar>
              <w:top w:w="140" w:type="dxa"/>
              <w:start w:w="140" w:type="dxa"/>
              <w:bottom w:w="140" w:type="dxa"/>
              <w:end w:w="140" w:type="dxa"/>
            </w:tcMar>
          </w:tcPr>
          <w:p>
            <w:r>
              <w:rPr>
                <w:b/>
                <w:color w:val="003464"/>
              </w:rPr>
              <w:t xml:space="preserve">Handle With Care: </w:t>
            </w:r>
            <w:r>
              <w:t>Avoid turning the closing session into a performance of spiritual certainty. Give participants permission to leave with questions, partial understanding, and one honest next step.</w:t>
            </w:r>
          </w:p>
        </w:tc>
      </w:tr>
    </w:tbl>
    <w:p/>
    <w:p>
      <w:pPr>
        <w:pStyle w:val="Heading2"/>
      </w:pPr>
      <w:r>
        <w:t>Closing Script</w:t>
      </w:r>
    </w:p>
    <w:p>
      <w:r>
        <w:t>As we close Hermetic Axioms, the goal is not to leave with perfect comprehension. The goal is to leave with a clearer question, a more honest observation, and one way to apply the teaching. The final chapter is a threshold. The study does not end with understanding; it begins again as practice.</w:t>
      </w:r>
    </w:p>
    <w:p>
      <w:pPr>
        <w:pStyle w:val="Heading2"/>
      </w:pPr>
      <w:r>
        <w:t>After-Session Reflection for Facilitator</w:t>
      </w:r>
    </w:p>
    <w:p>
      <w:pPr>
        <w:pStyle w:val="ListBullet"/>
      </w:pPr>
      <w:r>
        <w:t>Which concept generated the most engagement?</w:t>
      </w:r>
    </w:p>
    <w:p>
      <w:pPr>
        <w:pStyle w:val="ListBullet"/>
      </w:pPr>
      <w:r>
        <w:t>Where did the group seem confused or overloaded?</w:t>
      </w:r>
    </w:p>
    <w:p>
      <w:pPr>
        <w:pStyle w:val="ListBullet"/>
      </w:pPr>
      <w:r>
        <w:t>What needs to be reviewed at the opening of the next session?</w:t>
      </w:r>
    </w:p>
    <w:p>
      <w:pPr>
        <w:pStyle w:val="ListBullet"/>
      </w:pPr>
      <w:r>
        <w:t>Was the discussion balanced between metaphysical ideas and lived application?</w:t>
      </w:r>
    </w:p>
    <w:p>
      <w:r>
        <w:br w:type="page"/>
      </w:r>
    </w:p>
    <w:p>
      <w:pPr>
        <w:pStyle w:val="Heading2"/>
      </w:pPr>
      <w:r>
        <w:t>Source Note</w:t>
      </w:r>
    </w:p>
    <w:p>
      <w:r>
        <w:rPr>
          <w:b/>
        </w:rPr>
        <w:t xml:space="preserve">Primary text: </w:t>
      </w:r>
      <w:r>
        <w:t>The Kybalion: A Study of The Hermetic Philosophy of Ancient Egypt and Greece, attributed to Three Initiates. This guide paraphrases and organizes the chapter for study-group use and uses only brief chapter-level quotations.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Kybalion Study Group | Facilitator Lesson Plans | Sessions 01-15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4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34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B38B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34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