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e3a5f"/>
          <w:sz w:val="52"/>
          <w:szCs w:val="52"/>
        </w:rPr>
        <w:t xml:space="preserve">ClearRoute</w:t>
      </w:r>
    </w:p>
    <w:p>
      <w:pPr>
        <w:spacing w:after="40"/>
      </w:pPr>
      <w:r>
        <w:rPr>
          <w:color w:val="2563eb"/>
          <w:sz w:val="30"/>
          <w:szCs w:val="30"/>
        </w:rPr>
        <w:t xml:space="preserve">Launch Readiness Plan &amp; Status</w:t>
      </w:r>
    </w:p>
    <w:p>
      <w:pPr>
        <w:spacing w:after="60"/>
      </w:pPr>
      <w:r>
        <w:rPr>
          <w:i/>
          <w:iCs/>
          <w:color w:val="6b7280"/>
          <w:sz w:val="22"/>
          <w:szCs w:val="22"/>
        </w:rPr>
        <w:t xml:space="preserve">Path to a September 2026 launch</w:t>
      </w:r>
    </w:p>
    <w:p>
      <w:pPr>
        <w:pBdr>
          <w:bottom w:val="single" w:color="1e3a5f" w:sz="8" w:space="6"/>
        </w:pBdr>
        <w:spacing w:after="60"/>
      </w:pPr>
      <w:r>
        <w:rPr>
          <w:color w:val="6b7280"/>
          <w:sz w:val="18"/>
          <w:szCs w:val="18"/>
        </w:rPr>
        <w:t xml:space="preserve">Prepared 21 July 2026  ·  Owner: dlmtthws@gmail.com</w:t>
      </w:r>
    </w:p>
    <w:p>
      <w:pPr>
        <w:pStyle w:val="Heading1"/>
        <w:spacing w:after="140" w:before="320"/>
      </w:pPr>
      <w:r>
        <w:rPr>
          <w:b/>
          <w:bCs/>
          <w:color w:val="1e3a5f"/>
          <w:sz w:val="30"/>
          <w:szCs w:val="30"/>
        </w:rPr>
        <w:t xml:space="preserve">1.  Overview</w:t>
      </w:r>
    </w:p>
    <w:p>
      <w:pPr>
        <w:spacing w:after="120" w:line="276"/>
      </w:pPr>
      <w:r>
        <w:rPr>
          <w:b/>
          <w:bCs/>
          <w:sz w:val="21"/>
          <w:szCs w:val="21"/>
        </w:rPr>
        <w:t xml:space="preserve">Goal: </w:t>
      </w:r>
      <w:r>
        <w:rPr>
          <w:sz w:val="21"/>
          <w:szCs w:val="21"/>
        </w:rPr>
        <w:t xml:space="preserve">have ClearRoute fully operational as a live online business by September 2026, run by you and James (admin). This document captures what has been done, what remains, and the specific steps only you can complete (external accounts, secrets, and domain).</w:t>
      </w:r>
    </w:p>
    <w:p>
      <w:pPr>
        <w:spacing w:after="120" w:line="276"/>
      </w:pPr>
      <w:r>
        <w:rPr>
          <w:sz w:val="21"/>
          <w:szCs w:val="21"/>
        </w:rPr>
        <w:t xml:space="preserve">Two things were blocking "fully operational": </w:t>
      </w:r>
      <w:r>
        <w:rPr>
          <w:b/>
          <w:bCs/>
          <w:sz w:val="21"/>
          <w:szCs w:val="21"/>
        </w:rPr>
        <w:t xml:space="preserve">(a) </w:t>
      </w:r>
      <w:r>
        <w:rPr>
          <w:sz w:val="21"/>
          <w:szCs w:val="21"/>
        </w:rPr>
        <w:t xml:space="preserve">the Business-tier accounting integrations (Xero, QuickBooks, Open Banking) were only half-built and, critically, their database tables had never actually been created in the live database; and </w:t>
      </w:r>
      <w:r>
        <w:rPr>
          <w:b/>
          <w:bCs/>
          <w:sz w:val="21"/>
          <w:szCs w:val="21"/>
        </w:rPr>
        <w:t xml:space="preserve">(b) </w:t>
      </w:r>
      <w:r>
        <w:rPr>
          <w:sz w:val="21"/>
          <w:szCs w:val="21"/>
        </w:rPr>
        <w:t xml:space="preserve">a launch-readiness review surfaced fixes needed in error monitoring, security, and the marketing/legal pages. The engineering side of both is now largely done.</w:t>
      </w:r>
    </w:p>
    <w:p>
      <w:pPr>
        <w:pStyle w:val="Heading1"/>
        <w:spacing w:after="140" w:before="320"/>
      </w:pPr>
      <w:r>
        <w:rPr>
          <w:b/>
          <w:bCs/>
          <w:color w:val="1e3a5f"/>
          <w:sz w:val="30"/>
          <w:szCs w:val="30"/>
        </w:rPr>
        <w:t xml:space="preserve">2.  Status at a glance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300"/>
      </w:tblGrid>
      <w:tr>
        <w:trPr>
          <w:tblHeader/>
        </w:trPr>
        <w:tc>
          <w:tcPr>
            <w:tcW w:type="dxa" w:w="2600"/>
            <w:tcBorders>
              <w:top w:val="single" w:color="d7dde5" w:sz="4"/>
              <w:left w:val="single" w:color="d7dde5" w:sz="4"/>
              <w:bottom w:val="single" w:color="d7dde5" w:sz="4"/>
              <w:right w:val="single" w:color="d7dde5" w:sz="4"/>
            </w:tcBorders>
            <w:shd w:fill="1e3a5f" w:color="auto" w:val="clear"/>
            <w:tcMar>
              <w:top w:type="dxa" w:w="70"/>
              <w:left w:type="dxa" w:w="110"/>
              <w:bottom w:type="dxa" w:w="70"/>
              <w:right w:type="dxa" w:w="110"/>
            </w:tcMar>
          </w:tcPr>
          <w:p>
            <w:r>
              <w:rPr>
                <w:b/>
                <w:bCs/>
                <w:color w:val="ffffff"/>
                <w:sz w:val="19"/>
                <w:szCs w:val="19"/>
              </w:rPr>
              <w:t xml:space="preserve">Area</w:t>
            </w:r>
          </w:p>
        </w:tc>
        <w:tc>
          <w:tcPr>
            <w:tcW w:type="dxa" w:w="1500"/>
            <w:tcBorders>
              <w:top w:val="single" w:color="d7dde5" w:sz="4"/>
              <w:left w:val="single" w:color="d7dde5" w:sz="4"/>
              <w:bottom w:val="single" w:color="d7dde5" w:sz="4"/>
              <w:right w:val="single" w:color="d7dde5" w:sz="4"/>
            </w:tcBorders>
            <w:shd w:fill="1e3a5f" w:color="auto" w:val="clear"/>
            <w:tcMar>
              <w:top w:type="dxa" w:w="70"/>
              <w:left w:type="dxa" w:w="110"/>
              <w:bottom w:type="dxa" w:w="70"/>
              <w:right w:type="dxa" w:w="110"/>
            </w:tcMar>
          </w:tcPr>
          <w:p>
            <w:r>
              <w:rPr>
                <w:b/>
                <w:bCs/>
                <w:color w:val="ffffff"/>
                <w:sz w:val="19"/>
                <w:szCs w:val="19"/>
              </w:rPr>
              <w:t xml:space="preserve">Status</w:t>
            </w:r>
          </w:p>
        </w:tc>
        <w:tc>
          <w:tcPr>
            <w:tcW w:type="dxa" w:w="4300"/>
            <w:tcBorders>
              <w:top w:val="single" w:color="d7dde5" w:sz="4"/>
              <w:left w:val="single" w:color="d7dde5" w:sz="4"/>
              <w:bottom w:val="single" w:color="d7dde5" w:sz="4"/>
              <w:right w:val="single" w:color="d7dde5" w:sz="4"/>
            </w:tcBorders>
            <w:shd w:fill="1e3a5f" w:color="auto" w:val="clear"/>
            <w:tcMar>
              <w:top w:type="dxa" w:w="70"/>
              <w:left w:type="dxa" w:w="110"/>
              <w:bottom w:type="dxa" w:w="70"/>
              <w:right w:type="dxa" w:w="110"/>
            </w:tcMar>
          </w:tcPr>
          <w:p>
            <w:r>
              <w:rPr>
                <w:b/>
                <w:bCs/>
                <w:color w:val="ffffff"/>
                <w:sz w:val="19"/>
                <w:szCs w:val="19"/>
              </w:rPr>
              <w:t xml:space="preserve">Note</w:t>
            </w:r>
          </w:p>
        </w:tc>
      </w:tr>
      <w:tr>
        <w:trPr>
          <w:tblHeader w:val="false"/>
        </w:trPr>
        <w:tc>
          <w:tcPr>
            <w:tcW w:type="dxa" w:w="26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In-app subscription / checkout</w:t>
            </w:r>
          </w:p>
        </w:tc>
        <w:tc>
          <w:tcPr>
            <w:tcW w:type="dxa" w:w="1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5803d"/>
                <w:sz w:val="20"/>
                <w:szCs w:val="20"/>
              </w:rPr>
              <w:t xml:space="preserve">Done</w:t>
            </w:r>
          </w:p>
        </w:tc>
        <w:tc>
          <w:tcPr>
            <w:tcW w:type="dxa" w:w="43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“Plan &amp; Billing” reachable in the nav; Stripe test-card checkout verified working</w:t>
            </w:r>
          </w:p>
        </w:tc>
      </w:tr>
      <w:tr>
        <w:trPr>
          <w:tblHeader w:val="false"/>
        </w:trPr>
        <w:tc>
          <w:tcPr>
            <w:tcW w:type="dxa" w:w="26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Accounting DB schema (live)</w:t>
            </w:r>
          </w:p>
        </w:tc>
        <w:tc>
          <w:tcPr>
            <w:tcW w:type="dxa" w:w="1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5803d"/>
                <w:sz w:val="20"/>
                <w:szCs w:val="20"/>
              </w:rPr>
              <w:t xml:space="preserve">Done</w:t>
            </w:r>
          </w:p>
        </w:tc>
        <w:tc>
          <w:tcPr>
            <w:tcW w:type="dxa" w:w="43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Applied the Xero / QuickBooks / bank-feed tables that had never reached the database</w:t>
            </w:r>
          </w:p>
        </w:tc>
      </w:tr>
      <w:tr>
        <w:trPr>
          <w:tblHeader w:val="false"/>
        </w:trPr>
        <w:tc>
          <w:tcPr>
            <w:tcW w:type="dxa" w:w="26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Accounting connect UI</w:t>
            </w:r>
          </w:p>
        </w:tc>
        <w:tc>
          <w:tcPr>
            <w:tcW w:type="dxa" w:w="1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5803d"/>
                <w:sz w:val="20"/>
                <w:szCs w:val="20"/>
              </w:rPr>
              <w:t xml:space="preserve">Done</w:t>
            </w:r>
          </w:p>
        </w:tc>
        <w:tc>
          <w:tcPr>
            <w:tcW w:type="dxa" w:w="43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New Settings → Accounting Integrations hub + all OAuth return pages</w:t>
            </w:r>
          </w:p>
        </w:tc>
      </w:tr>
      <w:tr>
        <w:trPr>
          <w:tblHeader w:val="false"/>
        </w:trPr>
        <w:tc>
          <w:tcPr>
            <w:tcW w:type="dxa" w:w="26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Error monitoring (Sentry)</w:t>
            </w:r>
          </w:p>
        </w:tc>
        <w:tc>
          <w:tcPr>
            <w:tcW w:type="dxa" w:w="1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b45309"/>
                <w:sz w:val="20"/>
                <w:szCs w:val="20"/>
              </w:rPr>
              <w:t xml:space="preserve">Code done</w:t>
            </w:r>
          </w:p>
        </w:tc>
        <w:tc>
          <w:tcPr>
            <w:tcW w:type="dxa" w:w="43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Needs a Sentry key added in Vercel (your action)</w:t>
            </w:r>
          </w:p>
        </w:tc>
      </w:tr>
      <w:tr>
        <w:trPr>
          <w:tblHeader w:val="false"/>
        </w:trPr>
        <w:tc>
          <w:tcPr>
            <w:tcW w:type="dxa" w:w="26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Provider setup (Xero etc.)</w:t>
            </w:r>
          </w:p>
        </w:tc>
        <w:tc>
          <w:tcPr>
            <w:tcW w:type="dxa" w:w="1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b45309"/>
                <w:sz w:val="20"/>
                <w:szCs w:val="20"/>
              </w:rPr>
              <w:t xml:space="preserve">Your action</w:t>
            </w:r>
          </w:p>
        </w:tc>
        <w:tc>
          <w:tcPr>
            <w:tcW w:type="dxa" w:w="43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Developer apps + redirect URLs — not something we can do for you</w:t>
            </w:r>
          </w:p>
        </w:tc>
      </w:tr>
      <w:tr>
        <w:trPr>
          <w:tblHeader w:val="false"/>
        </w:trPr>
        <w:tc>
          <w:tcPr>
            <w:tcW w:type="dxa" w:w="26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Custom domain + legal pages</w:t>
            </w:r>
          </w:p>
        </w:tc>
        <w:tc>
          <w:tcPr>
            <w:tcW w:type="dxa" w:w="1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b45309"/>
                <w:sz w:val="20"/>
                <w:szCs w:val="20"/>
              </w:rPr>
              <w:t xml:space="preserve">Your action</w:t>
            </w:r>
          </w:p>
        </w:tc>
        <w:tc>
          <w:tcPr>
            <w:tcW w:type="dxa" w:w="43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Attach clearroute.app; reconcile contact details on Legal/Privacy</w:t>
            </w:r>
          </w:p>
        </w:tc>
      </w:tr>
      <w:tr>
        <w:trPr>
          <w:tblHeader w:val="false"/>
        </w:trPr>
        <w:tc>
          <w:tcPr>
            <w:tcW w:type="dxa" w:w="26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Live VAT (Making Tax Digital)</w:t>
            </w:r>
          </w:p>
        </w:tc>
        <w:tc>
          <w:tcPr>
            <w:tcW w:type="dxa" w:w="1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6b7280"/>
                <w:sz w:val="20"/>
                <w:szCs w:val="20"/>
              </w:rPr>
              <w:t xml:space="preserve">Deferred</w:t>
            </w:r>
          </w:p>
        </w:tc>
        <w:tc>
          <w:tcPr>
            <w:tcW w:type="dxa" w:w="43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Needs HMRC software recognition — not realistic before September</w:t>
            </w:r>
          </w:p>
        </w:tc>
      </w:tr>
    </w:tbl>
    <w:p>
      <w:pPr>
        <w:pStyle w:val="Heading1"/>
        <w:spacing w:after="140" w:before="320"/>
      </w:pPr>
      <w:r>
        <w:rPr>
          <w:b/>
          <w:bCs/>
          <w:color w:val="1e3a5f"/>
          <w:sz w:val="30"/>
          <w:szCs w:val="30"/>
        </w:rPr>
        <w:t xml:space="preserve">3.  What has been completed</w:t>
      </w:r>
    </w:p>
    <w:p>
      <w:pPr>
        <w:pStyle w:val="Heading2"/>
        <w:spacing w:after="100" w:before="220"/>
      </w:pPr>
      <w:r>
        <w:rPr>
          <w:b/>
          <w:bCs/>
          <w:color w:val="2563eb"/>
          <w:sz w:val="24"/>
          <w:szCs w:val="24"/>
        </w:rPr>
        <w:t xml:space="preserve">Subscriptions &amp; billing</w:t>
      </w:r>
    </w:p>
    <w:p>
      <w:pPr>
        <w:pStyle w:val="ListParagraph"/>
        <w:numPr>
          <w:ilvl w:val="0"/>
          <w:numId w:val="2"/>
        </w:numPr>
        <w:spacing w:after="60" w:line="268"/>
      </w:pPr>
      <w:r>
        <w:rPr>
          <w:b/>
          <w:bCs/>
          <w:color w:val="15803d"/>
          <w:sz w:val="21"/>
          <w:szCs w:val="21"/>
        </w:rPr>
        <w:t xml:space="preserve">✓  </w:t>
      </w:r>
      <w:r>
        <w:rPr>
          <w:sz w:val="21"/>
          <w:szCs w:val="21"/>
        </w:rPr>
        <w:t xml:space="preserve">The “Upgrade to Team” / Plan &amp; Billing screen is now reachable from the sidebar (Settings → Plan &amp; Billing) for admins.</w:t>
      </w:r>
    </w:p>
    <w:p>
      <w:pPr>
        <w:pStyle w:val="ListParagraph"/>
        <w:numPr>
          <w:ilvl w:val="0"/>
          <w:numId w:val="2"/>
        </w:numPr>
        <w:spacing w:after="60" w:line="268"/>
      </w:pPr>
      <w:r>
        <w:rPr>
          <w:b/>
          <w:bCs/>
          <w:color w:val="15803d"/>
          <w:sz w:val="21"/>
          <w:szCs w:val="21"/>
        </w:rPr>
        <w:t xml:space="preserve">✓  </w:t>
      </w:r>
      <w:r>
        <w:rPr>
          <w:sz w:val="21"/>
          <w:szCs w:val="21"/>
        </w:rPr>
        <w:t xml:space="preserve">Fixed a bug where checkout and “Manage billing” sent people back to the production site instead of the site they started from.</w:t>
      </w:r>
    </w:p>
    <w:p>
      <w:pPr>
        <w:pStyle w:val="ListParagraph"/>
        <w:numPr>
          <w:ilvl w:val="0"/>
          <w:numId w:val="2"/>
        </w:numPr>
        <w:spacing w:after="60" w:line="268"/>
      </w:pPr>
      <w:r>
        <w:rPr>
          <w:b/>
          <w:bCs/>
          <w:color w:val="15803d"/>
          <w:sz w:val="21"/>
          <w:szCs w:val="21"/>
        </w:rPr>
        <w:t xml:space="preserve">✓  </w:t>
      </w:r>
      <w:r>
        <w:rPr>
          <w:sz w:val="21"/>
          <w:szCs w:val="21"/>
        </w:rPr>
        <w:t xml:space="preserve">Test-card checkout (4242 4242 4242 4242) confirmed working end-to-end — subscription shows as “trialing”.</w:t>
      </w:r>
    </w:p>
    <w:p>
      <w:pPr>
        <w:pStyle w:val="Heading2"/>
        <w:spacing w:after="100" w:before="220"/>
      </w:pPr>
      <w:r>
        <w:rPr>
          <w:b/>
          <w:bCs/>
          <w:color w:val="2563eb"/>
          <w:sz w:val="24"/>
          <w:szCs w:val="24"/>
        </w:rPr>
        <w:t xml:space="preserve">Accounting integrations (engineering side)</w:t>
      </w:r>
    </w:p>
    <w:p>
      <w:pPr>
        <w:pStyle w:val="ListParagraph"/>
        <w:numPr>
          <w:ilvl w:val="0"/>
          <w:numId w:val="2"/>
        </w:numPr>
        <w:spacing w:after="60" w:line="268"/>
      </w:pPr>
      <w:r>
        <w:rPr>
          <w:b/>
          <w:bCs/>
          <w:color w:val="15803d"/>
          <w:sz w:val="21"/>
          <w:szCs w:val="21"/>
        </w:rPr>
        <w:t xml:space="preserve">✓  </w:t>
      </w:r>
      <w:r>
        <w:rPr>
          <w:sz w:val="21"/>
          <w:szCs w:val="21"/>
        </w:rPr>
        <w:t xml:space="preserve">Discovered and fixed a serious latent issue: the Xero, QuickBooks and bank-feed database tables (plus the audit log and VAT-validation cache) existed only in unused setup files and had never been created in the live database. They are now applied.</w:t>
      </w:r>
    </w:p>
    <w:p>
      <w:pPr>
        <w:pStyle w:val="ListParagraph"/>
        <w:numPr>
          <w:ilvl w:val="0"/>
          <w:numId w:val="2"/>
        </w:numPr>
        <w:spacing w:after="60" w:line="268"/>
      </w:pPr>
      <w:r>
        <w:rPr>
          <w:b/>
          <w:bCs/>
          <w:color w:val="15803d"/>
          <w:sz w:val="21"/>
          <w:szCs w:val="21"/>
        </w:rPr>
        <w:t xml:space="preserve">✓  </w:t>
      </w:r>
      <w:r>
        <w:rPr>
          <w:sz w:val="21"/>
          <w:szCs w:val="21"/>
        </w:rPr>
        <w:t xml:space="preserve">Built a new Settings → Accounting Integrations hub with connect / disconnect and live status for Xero, QuickBooks and Open Banking.</w:t>
      </w:r>
    </w:p>
    <w:p>
      <w:pPr>
        <w:pStyle w:val="ListParagraph"/>
        <w:numPr>
          <w:ilvl w:val="0"/>
          <w:numId w:val="2"/>
        </w:numPr>
        <w:spacing w:after="60" w:line="268"/>
      </w:pPr>
      <w:r>
        <w:rPr>
          <w:b/>
          <w:bCs/>
          <w:color w:val="15803d"/>
          <w:sz w:val="21"/>
          <w:szCs w:val="21"/>
        </w:rPr>
        <w:t xml:space="preserve">✓  </w:t>
      </w:r>
      <w:r>
        <w:rPr>
          <w:sz w:val="21"/>
          <w:szCs w:val="21"/>
        </w:rPr>
        <w:t xml:space="preserve">Built the missing “return” pages so each provider can hand the user back into the app after they approve access (Xero and Open Banking had none; QuickBooks was mis-wired).</w:t>
      </w:r>
    </w:p>
    <w:p>
      <w:pPr>
        <w:pStyle w:val="ListParagraph"/>
        <w:numPr>
          <w:ilvl w:val="0"/>
          <w:numId w:val="2"/>
        </w:numPr>
        <w:spacing w:after="60" w:line="268"/>
      </w:pPr>
      <w:r>
        <w:rPr>
          <w:b/>
          <w:bCs/>
          <w:color w:val="15803d"/>
          <w:sz w:val="21"/>
          <w:szCs w:val="21"/>
        </w:rPr>
        <w:t xml:space="preserve">✓  </w:t>
      </w:r>
      <w:r>
        <w:rPr>
          <w:sz w:val="21"/>
          <w:szCs w:val="21"/>
        </w:rPr>
        <w:t xml:space="preserve">Hardened the sign-in handshakes for Xero and HMRC against a cross-site request forgery gap.</w:t>
      </w:r>
    </w:p>
    <w:p>
      <w:pPr>
        <w:pStyle w:val="Heading2"/>
        <w:spacing w:after="100" w:before="220"/>
      </w:pPr>
      <w:r>
        <w:rPr>
          <w:b/>
          <w:bCs/>
          <w:color w:val="2563eb"/>
          <w:sz w:val="24"/>
          <w:szCs w:val="24"/>
        </w:rPr>
        <w:t xml:space="preserve">Launch readiness &amp; housekeeping</w:t>
      </w:r>
    </w:p>
    <w:p>
      <w:pPr>
        <w:pStyle w:val="ListParagraph"/>
        <w:numPr>
          <w:ilvl w:val="0"/>
          <w:numId w:val="2"/>
        </w:numPr>
        <w:spacing w:after="60" w:line="268"/>
      </w:pPr>
      <w:r>
        <w:rPr>
          <w:b/>
          <w:bCs/>
          <w:color w:val="15803d"/>
          <w:sz w:val="21"/>
          <w:szCs w:val="21"/>
        </w:rPr>
        <w:t xml:space="preserve">✓  </w:t>
      </w:r>
      <w:r>
        <w:rPr>
          <w:sz w:val="21"/>
          <w:szCs w:val="21"/>
        </w:rPr>
        <w:t xml:space="preserve">Fixed error monitoring so it will actually switch on in production once a key is set (it was silently disabled by a naming mismatch).</w:t>
      </w:r>
    </w:p>
    <w:p>
      <w:pPr>
        <w:pStyle w:val="ListParagraph"/>
        <w:numPr>
          <w:ilvl w:val="0"/>
          <w:numId w:val="2"/>
        </w:numPr>
        <w:spacing w:after="60" w:line="268"/>
      </w:pPr>
      <w:r>
        <w:rPr>
          <w:b/>
          <w:bCs/>
          <w:color w:val="15803d"/>
          <w:sz w:val="21"/>
          <w:szCs w:val="21"/>
        </w:rPr>
        <w:t xml:space="preserve">✓  </w:t>
      </w:r>
      <w:r>
        <w:rPr>
          <w:sz w:val="21"/>
          <w:szCs w:val="21"/>
        </w:rPr>
        <w:t xml:space="preserve">Confirmed the database access rules (row-level security) are correctly locked down on the core customer, company and invitation tables.</w:t>
      </w:r>
    </w:p>
    <w:p>
      <w:pPr>
        <w:pStyle w:val="ListParagraph"/>
        <w:numPr>
          <w:ilvl w:val="0"/>
          <w:numId w:val="2"/>
        </w:numPr>
        <w:spacing w:after="60" w:line="268"/>
      </w:pPr>
      <w:r>
        <w:rPr>
          <w:b/>
          <w:bCs/>
          <w:color w:val="15803d"/>
          <w:sz w:val="21"/>
          <w:szCs w:val="21"/>
        </w:rPr>
        <w:t xml:space="preserve">✓  </w:t>
      </w:r>
      <w:r>
        <w:rPr>
          <w:sz w:val="21"/>
          <w:szCs w:val="21"/>
        </w:rPr>
        <w:t xml:space="preserve">Enabled five ready-to-use modules on your own account: Companies House lookup, VAT number validation, Audit Log, Data Export and Receipt Scanning.</w:t>
      </w:r>
    </w:p>
    <w:p>
      <w:pPr>
        <w:pStyle w:val="ListParagraph"/>
        <w:numPr>
          <w:ilvl w:val="0"/>
          <w:numId w:val="2"/>
        </w:numPr>
        <w:spacing w:after="60" w:line="268"/>
      </w:pPr>
      <w:r>
        <w:rPr>
          <w:b/>
          <w:bCs/>
          <w:color w:val="15803d"/>
          <w:sz w:val="21"/>
          <w:szCs w:val="21"/>
        </w:rPr>
        <w:t xml:space="preserve">✓  </w:t>
      </w:r>
      <w:r>
        <w:rPr>
          <w:sz w:val="21"/>
          <w:szCs w:val="21"/>
        </w:rPr>
        <w:t xml:space="preserve">Created James’s admin invitation and fixed the invite screen so admin invites no longer mislabel the role as “Field Worker”.</w:t>
      </w:r>
    </w:p>
    <w:p>
      <w:pPr>
        <w:spacing w:after="120" w:line="276"/>
      </w:pPr>
      <w:r>
        <w:rPr>
          <w:i/>
          <w:iCs/>
          <w:color w:val="6b7280"/>
          <w:sz w:val="20"/>
          <w:szCs w:val="20"/>
        </w:rPr>
        <w:t xml:space="preserve">All of the above is committed and deployed (pull request #6), and the updated backend functions and database changes are live.</w:t>
      </w:r>
    </w:p>
    <w:p>
      <w:r>
        <w:br w:type="page"/>
      </w:r>
    </w:p>
    <w:p>
      <w:pPr>
        <w:pStyle w:val="Heading1"/>
        <w:spacing w:after="140" w:before="320"/>
      </w:pPr>
      <w:r>
        <w:rPr>
          <w:b/>
          <w:bCs/>
          <w:color w:val="1e3a5f"/>
          <w:sz w:val="30"/>
          <w:szCs w:val="30"/>
        </w:rPr>
        <w:t xml:space="preserve">4.  Accounting integrations — current state</w:t>
      </w:r>
    </w:p>
    <w:p>
      <w:pPr>
        <w:spacing w:after="120" w:line="276"/>
      </w:pPr>
      <w:r>
        <w:rPr>
          <w:sz w:val="21"/>
          <w:szCs w:val="21"/>
        </w:rPr>
        <w:t xml:space="preserve">The software on our side is now complete for all three. What remains for each is provider-side setup that only you can do, because it involves your own developer accounts and credentials.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200"/>
      </w:tblGrid>
      <w:tr>
        <w:trPr>
          <w:tblHeader/>
        </w:trPr>
        <w:tc>
          <w:tcPr>
            <w:tcW w:type="dxa" w:w="2200"/>
            <w:tcBorders>
              <w:top w:val="single" w:color="d7dde5" w:sz="4"/>
              <w:left w:val="single" w:color="d7dde5" w:sz="4"/>
              <w:bottom w:val="single" w:color="d7dde5" w:sz="4"/>
              <w:right w:val="single" w:color="d7dde5" w:sz="4"/>
            </w:tcBorders>
            <w:shd w:fill="1e3a5f" w:color="auto" w:val="clear"/>
            <w:tcMar>
              <w:top w:type="dxa" w:w="70"/>
              <w:left w:type="dxa" w:w="110"/>
              <w:bottom w:type="dxa" w:w="70"/>
              <w:right w:type="dxa" w:w="110"/>
            </w:tcMar>
          </w:tcPr>
          <w:p>
            <w:r>
              <w:rPr>
                <w:b/>
                <w:bCs/>
                <w:color w:val="ffffff"/>
                <w:sz w:val="19"/>
                <w:szCs w:val="19"/>
              </w:rPr>
              <w:t xml:space="preserve">Integration</w:t>
            </w:r>
          </w:p>
        </w:tc>
        <w:tc>
          <w:tcPr>
            <w:tcW w:type="dxa" w:w="2000"/>
            <w:tcBorders>
              <w:top w:val="single" w:color="d7dde5" w:sz="4"/>
              <w:left w:val="single" w:color="d7dde5" w:sz="4"/>
              <w:bottom w:val="single" w:color="d7dde5" w:sz="4"/>
              <w:right w:val="single" w:color="d7dde5" w:sz="4"/>
            </w:tcBorders>
            <w:shd w:fill="1e3a5f" w:color="auto" w:val="clear"/>
            <w:tcMar>
              <w:top w:type="dxa" w:w="70"/>
              <w:left w:type="dxa" w:w="110"/>
              <w:bottom w:type="dxa" w:w="70"/>
              <w:right w:type="dxa" w:w="110"/>
            </w:tcMar>
          </w:tcPr>
          <w:p>
            <w:r>
              <w:rPr>
                <w:b/>
                <w:bCs/>
                <w:color w:val="ffffff"/>
                <w:sz w:val="19"/>
                <w:szCs w:val="19"/>
              </w:rPr>
              <w:t xml:space="preserve">Our side</w:t>
            </w:r>
          </w:p>
        </w:tc>
        <w:tc>
          <w:tcPr>
            <w:tcW w:type="dxa" w:w="4200"/>
            <w:tcBorders>
              <w:top w:val="single" w:color="d7dde5" w:sz="4"/>
              <w:left w:val="single" w:color="d7dde5" w:sz="4"/>
              <w:bottom w:val="single" w:color="d7dde5" w:sz="4"/>
              <w:right w:val="single" w:color="d7dde5" w:sz="4"/>
            </w:tcBorders>
            <w:shd w:fill="1e3a5f" w:color="auto" w:val="clear"/>
            <w:tcMar>
              <w:top w:type="dxa" w:w="70"/>
              <w:left w:type="dxa" w:w="110"/>
              <w:bottom w:type="dxa" w:w="70"/>
              <w:right w:type="dxa" w:w="110"/>
            </w:tcMar>
          </w:tcPr>
          <w:p>
            <w:r>
              <w:rPr>
                <w:b/>
                <w:bCs/>
                <w:color w:val="ffffff"/>
                <w:sz w:val="19"/>
                <w:szCs w:val="19"/>
              </w:rPr>
              <w:t xml:space="preserve">Your side (remaining)</w:t>
            </w:r>
          </w:p>
        </w:tc>
      </w:tr>
      <w:tr>
        <w:trPr>
          <w:tblHeader w:val="false"/>
        </w:trPr>
        <w:tc>
          <w:tcPr>
            <w:tcW w:type="dxa" w:w="22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f2937"/>
                <w:sz w:val="20"/>
                <w:szCs w:val="20"/>
              </w:rPr>
              <w:t xml:space="preserve">Xero</w:t>
            </w:r>
          </w:p>
        </w:tc>
        <w:tc>
          <w:tcPr>
            <w:tcW w:type="dxa" w:w="20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5803d"/>
                <w:sz w:val="20"/>
                <w:szCs w:val="20"/>
              </w:rPr>
              <w:t xml:space="preserve">Ready</w:t>
            </w:r>
          </w:p>
        </w:tc>
        <w:tc>
          <w:tcPr>
            <w:tcW w:type="dxa" w:w="42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Create a Xero developer app, add its keys to Supabase, register the redirect URL, and pass Xero app certification for live use</w:t>
            </w:r>
          </w:p>
        </w:tc>
      </w:tr>
      <w:tr>
        <w:trPr>
          <w:tblHeader w:val="false"/>
        </w:trPr>
        <w:tc>
          <w:tcPr>
            <w:tcW w:type="dxa" w:w="22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f2937"/>
                <w:sz w:val="20"/>
                <w:szCs w:val="20"/>
              </w:rPr>
              <w:t xml:space="preserve">QuickBooks</w:t>
            </w:r>
          </w:p>
        </w:tc>
        <w:tc>
          <w:tcPr>
            <w:tcW w:type="dxa" w:w="20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5803d"/>
                <w:sz w:val="20"/>
                <w:szCs w:val="20"/>
              </w:rPr>
              <w:t xml:space="preserve">Ready</w:t>
            </w:r>
          </w:p>
        </w:tc>
        <w:tc>
          <w:tcPr>
            <w:tcW w:type="dxa" w:w="42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Create an Intuit developer app, add keys, register the redirect URL, move from sandbox to production keys</w:t>
            </w:r>
          </w:p>
        </w:tc>
      </w:tr>
      <w:tr>
        <w:trPr>
          <w:tblHeader w:val="false"/>
        </w:trPr>
        <w:tc>
          <w:tcPr>
            <w:tcW w:type="dxa" w:w="22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f2937"/>
                <w:sz w:val="20"/>
                <w:szCs w:val="20"/>
              </w:rPr>
              <w:t xml:space="preserve">Open Banking (bank feed)</w:t>
            </w:r>
          </w:p>
        </w:tc>
        <w:tc>
          <w:tcPr>
            <w:tcW w:type="dxa" w:w="20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5803d"/>
                <w:sz w:val="20"/>
                <w:szCs w:val="20"/>
              </w:rPr>
              <w:t xml:space="preserve">Ready</w:t>
            </w:r>
          </w:p>
        </w:tc>
        <w:tc>
          <w:tcPr>
            <w:tcW w:type="dxa" w:w="42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Create a TrueLayer app, add keys, register the redirect URL, complete TrueLayer’s move from sandbox to live</w:t>
            </w:r>
          </w:p>
        </w:tc>
      </w:tr>
    </w:tbl>
    <w:p>
      <w:pPr>
        <w:spacing w:after="120" w:line="276"/>
      </w:pPr>
      <w:r>
        <w:rPr>
          <w:b/>
          <w:bCs/>
          <w:sz w:val="21"/>
          <w:szCs w:val="21"/>
        </w:rPr>
        <w:t xml:space="preserve">Recommended: </w:t>
      </w:r>
      <w:r>
        <w:rPr>
          <w:sz w:val="21"/>
          <w:szCs w:val="21"/>
        </w:rPr>
        <w:t xml:space="preserve">get Xero working end-to-end first (it is the most common accounting tool for UK trades), then repeat the same pattern for the others.</w:t>
      </w:r>
    </w:p>
    <w:p>
      <w:pPr>
        <w:pStyle w:val="Heading1"/>
        <w:spacing w:after="140" w:before="320"/>
      </w:pPr>
      <w:r>
        <w:rPr>
          <w:b/>
          <w:bCs/>
          <w:color w:val="1e3a5f"/>
          <w:sz w:val="30"/>
          <w:szCs w:val="30"/>
        </w:rPr>
        <w:t xml:space="preserve">5.  What still needs doing — your actions</w:t>
      </w:r>
    </w:p>
    <w:p>
      <w:pPr>
        <w:spacing w:after="120" w:line="276"/>
      </w:pPr>
      <w:r>
        <w:rPr>
          <w:sz w:val="21"/>
          <w:szCs w:val="21"/>
        </w:rPr>
        <w:t xml:space="preserve">These cannot be done from inside the codebase — they involve your accounts, secrets and external services.</w:t>
      </w:r>
    </w:p>
    <w:p>
      <w:pPr>
        <w:pStyle w:val="Heading2"/>
        <w:spacing w:after="100" w:before="220"/>
      </w:pPr>
      <w:r>
        <w:rPr>
          <w:b/>
          <w:bCs/>
          <w:color w:val="2563eb"/>
          <w:sz w:val="24"/>
          <w:szCs w:val="24"/>
        </w:rPr>
        <w:t xml:space="preserve">5.1  Turn on error monitoring (quick)</w:t>
      </w:r>
    </w:p>
    <w:p>
      <w:pPr>
        <w:pStyle w:val="ListParagraph"/>
        <w:numPr>
          <w:ilvl w:val="0"/>
          <w:numId w:val="3"/>
        </w:numPr>
        <w:spacing w:after="80" w:line="268"/>
      </w:pPr>
      <w:r>
        <w:rPr>
          <w:sz w:val="21"/>
          <w:szCs w:val="21"/>
        </w:rPr>
        <w:t xml:space="preserve">Create a free Sentry account and project at sentry.io (React project) and copy its “DSN”.</w:t>
      </w:r>
    </w:p>
    <w:p>
      <w:pPr>
        <w:pStyle w:val="ListParagraph"/>
        <w:numPr>
          <w:ilvl w:val="0"/>
          <w:numId w:val="3"/>
        </w:numPr>
        <w:spacing w:after="80" w:line="268"/>
      </w:pPr>
      <w:r>
        <w:rPr>
          <w:sz w:val="21"/>
          <w:szCs w:val="21"/>
        </w:rPr>
        <w:t xml:space="preserve">In Vercel → your ClearRoute project → Settings → Environment Variables, add REACT_APP_SENTRY_DSN with that value, then redeploy.</w:t>
      </w:r>
    </w:p>
    <w:p>
      <w:pPr>
        <w:pStyle w:val="Heading2"/>
        <w:spacing w:after="100" w:before="220"/>
      </w:pPr>
      <w:r>
        <w:rPr>
          <w:b/>
          <w:bCs/>
          <w:color w:val="2563eb"/>
          <w:sz w:val="24"/>
          <w:szCs w:val="24"/>
        </w:rPr>
        <w:t xml:space="preserve">5.2  Set the three redirect-URL secrets in Supabase (quick)</w:t>
      </w:r>
    </w:p>
    <w:p>
      <w:pPr>
        <w:spacing w:after="120" w:line="276"/>
      </w:pPr>
      <w:r>
        <w:rPr>
          <w:sz w:val="21"/>
          <w:szCs w:val="21"/>
        </w:rPr>
        <w:t xml:space="preserve">Supabase → your project → Project Settings → Edge Functions → Secrets, add each Name / Value pair:</w:t>
      </w:r>
    </w:p>
    <w:p>
      <w:pPr>
        <w:pStyle w:val="ListParagraph"/>
        <w:numPr>
          <w:ilvl w:val="0"/>
          <w:numId w:val="2"/>
        </w:numPr>
        <w:spacing w:after="60" w:line="268"/>
      </w:pPr>
      <w:r>
        <w:rPr>
          <w:b/>
          <w:bCs/>
          <w:sz w:val="20"/>
          <w:szCs w:val="20"/>
        </w:rPr>
        <w:t xml:space="preserve">XERO_REDIRECT_URI</w:t>
      </w:r>
      <w:r>
        <w:rPr>
          <w:sz w:val="20"/>
          <w:szCs w:val="20"/>
        </w:rPr>
        <w:t xml:space="preserve">  =  https://clearroute-seven.vercel.app/settings/xero-callback</w:t>
      </w:r>
    </w:p>
    <w:p>
      <w:pPr>
        <w:pStyle w:val="ListParagraph"/>
        <w:numPr>
          <w:ilvl w:val="0"/>
          <w:numId w:val="2"/>
        </w:numPr>
        <w:spacing w:after="60" w:line="268"/>
      </w:pPr>
      <w:r>
        <w:rPr>
          <w:b/>
          <w:bCs/>
          <w:sz w:val="20"/>
          <w:szCs w:val="20"/>
        </w:rPr>
        <w:t xml:space="preserve">QBO_REDIRECT_URI</w:t>
      </w:r>
      <w:r>
        <w:rPr>
          <w:sz w:val="20"/>
          <w:szCs w:val="20"/>
        </w:rPr>
        <w:t xml:space="preserve">  =  https://clearroute-seven.vercel.app/settings/quickbooks-callback</w:t>
      </w:r>
    </w:p>
    <w:p>
      <w:pPr>
        <w:pStyle w:val="ListParagraph"/>
        <w:numPr>
          <w:ilvl w:val="0"/>
          <w:numId w:val="2"/>
        </w:numPr>
        <w:spacing w:after="60" w:line="268"/>
      </w:pPr>
      <w:r>
        <w:rPr>
          <w:b/>
          <w:bCs/>
          <w:sz w:val="20"/>
          <w:szCs w:val="20"/>
        </w:rPr>
        <w:t xml:space="preserve">TRUELAYER_REDIRECT_URI</w:t>
      </w:r>
      <w:r>
        <w:rPr>
          <w:sz w:val="20"/>
          <w:szCs w:val="20"/>
        </w:rPr>
        <w:t xml:space="preserve">  =  https://clearroute-seven.vercel.app/settings/truelayer-callback</w:t>
      </w:r>
    </w:p>
    <w:p>
      <w:pPr>
        <w:pStyle w:val="Heading2"/>
        <w:spacing w:after="100" w:before="220"/>
      </w:pPr>
      <w:r>
        <w:rPr>
          <w:b/>
          <w:bCs/>
          <w:color w:val="2563eb"/>
          <w:sz w:val="24"/>
          <w:szCs w:val="24"/>
        </w:rPr>
        <w:t xml:space="preserve">5.3  Create the provider developer apps (the big one — start with Xero)</w:t>
      </w:r>
    </w:p>
    <w:p>
      <w:pPr>
        <w:pStyle w:val="ListParagraph"/>
        <w:numPr>
          <w:ilvl w:val="0"/>
          <w:numId w:val="3"/>
        </w:numPr>
        <w:spacing w:after="80" w:line="268"/>
      </w:pPr>
      <w:r>
        <w:rPr>
          <w:sz w:val="21"/>
          <w:szCs w:val="21"/>
        </w:rPr>
        <w:t xml:space="preserve">Sign up at developer.xero.com and create an app (OAuth 2.0 / web app).</w:t>
      </w:r>
    </w:p>
    <w:p>
      <w:pPr>
        <w:pStyle w:val="ListParagraph"/>
        <w:numPr>
          <w:ilvl w:val="0"/>
          <w:numId w:val="3"/>
        </w:numPr>
        <w:spacing w:after="80" w:line="268"/>
      </w:pPr>
      <w:r>
        <w:rPr>
          <w:sz w:val="21"/>
          <w:szCs w:val="21"/>
        </w:rPr>
        <w:t xml:space="preserve">Copy its Client ID and Client Secret into Supabase secrets as XERO_CLIENT_ID and XERO_CLIENT_SECRET.</w:t>
      </w:r>
    </w:p>
    <w:p>
      <w:pPr>
        <w:pStyle w:val="ListParagraph"/>
        <w:numPr>
          <w:ilvl w:val="0"/>
          <w:numId w:val="3"/>
        </w:numPr>
        <w:spacing w:after="80" w:line="268"/>
      </w:pPr>
      <w:r>
        <w:rPr>
          <w:sz w:val="21"/>
          <w:szCs w:val="21"/>
        </w:rPr>
        <w:t xml:space="preserve">In the Xero app’s Configuration → Redirect URIs, add the exact XERO_REDIRECT_URI from 5.2.</w:t>
      </w:r>
    </w:p>
    <w:p>
      <w:pPr>
        <w:pStyle w:val="ListParagraph"/>
        <w:numPr>
          <w:ilvl w:val="0"/>
          <w:numId w:val="3"/>
        </w:numPr>
        <w:spacing w:after="80" w:line="268"/>
      </w:pPr>
      <w:r>
        <w:rPr>
          <w:sz w:val="21"/>
          <w:szCs w:val="21"/>
        </w:rPr>
        <w:t xml:space="preserve">Test the connect flow (Settings → Accounting Integrations → Connect) against a Xero demo company.</w:t>
      </w:r>
    </w:p>
    <w:p>
      <w:pPr>
        <w:pStyle w:val="ListParagraph"/>
        <w:numPr>
          <w:ilvl w:val="0"/>
          <w:numId w:val="3"/>
        </w:numPr>
        <w:spacing w:after="80" w:line="268"/>
      </w:pPr>
      <w:r>
        <w:rPr>
          <w:sz w:val="21"/>
          <w:szCs w:val="21"/>
        </w:rPr>
        <w:t xml:space="preserve">For real customer data, submit the app for Xero certification — this review is the main lead-time item, so start it early.</w:t>
      </w:r>
    </w:p>
    <w:p>
      <w:pPr>
        <w:spacing w:after="120" w:line="276"/>
      </w:pPr>
      <w:r>
        <w:rPr>
          <w:sz w:val="21"/>
          <w:szCs w:val="21"/>
        </w:rPr>
        <w:t xml:space="preserve">QuickBooks (developer.intuit.com) and TrueLayer (console.truelayer.com) follow the same shape: create app → keys into Supabase → register the redirect URL → move from sandbox to live.</w:t>
      </w:r>
    </w:p>
    <w:p>
      <w:pPr>
        <w:pStyle w:val="Heading2"/>
        <w:spacing w:after="100" w:before="220"/>
      </w:pPr>
      <w:r>
        <w:rPr>
          <w:b/>
          <w:bCs/>
          <w:color w:val="2563eb"/>
          <w:sz w:val="24"/>
          <w:szCs w:val="24"/>
        </w:rPr>
        <w:t xml:space="preserve">5.4  Domain &amp; legal pages</w:t>
      </w:r>
    </w:p>
    <w:p>
      <w:pPr>
        <w:pStyle w:val="ListParagraph"/>
        <w:numPr>
          <w:ilvl w:val="0"/>
          <w:numId w:val="2"/>
        </w:numPr>
        <w:spacing w:after="60" w:line="268"/>
      </w:pPr>
      <w:r>
        <w:rPr>
          <w:sz w:val="21"/>
          <w:szCs w:val="21"/>
        </w:rPr>
        <w:t xml:space="preserve">Attach the custom domain (clearroute.app) in Vercel, then update the three redirect-URL secrets and each provider registration to the new domain.</w:t>
      </w:r>
    </w:p>
    <w:p>
      <w:pPr>
        <w:pStyle w:val="ListParagraph"/>
        <w:numPr>
          <w:ilvl w:val="0"/>
          <w:numId w:val="2"/>
        </w:numPr>
        <w:spacing w:after="60" w:line="268"/>
      </w:pPr>
      <w:r>
        <w:rPr>
          <w:sz w:val="21"/>
          <w:szCs w:val="21"/>
        </w:rPr>
        <w:t xml:space="preserve">Reconcile the contact details: the marketing/docs say clearroute.app while the Legal and Privacy pages say clearroute.co.uk. Pick one and make them consistent.</w:t>
      </w:r>
    </w:p>
    <w:p>
      <w:pPr>
        <w:pStyle w:val="ListParagraph"/>
        <w:numPr>
          <w:ilvl w:val="0"/>
          <w:numId w:val="2"/>
        </w:numPr>
        <w:spacing w:after="60" w:line="268"/>
      </w:pPr>
      <w:r>
        <w:rPr>
          <w:sz w:val="21"/>
          <w:szCs w:val="21"/>
        </w:rPr>
        <w:t xml:space="preserve">Review the Legal and Privacy pages (currently generic and dated “April 2026”) before going live — ideally with proper wording for cookies, data handling and a current date.</w:t>
      </w:r>
    </w:p>
    <w:p>
      <w:pPr>
        <w:pStyle w:val="Heading2"/>
        <w:spacing w:after="100" w:before="220"/>
      </w:pPr>
      <w:r>
        <w:rPr>
          <w:b/>
          <w:bCs/>
          <w:color w:val="2563eb"/>
          <w:sz w:val="24"/>
          <w:szCs w:val="24"/>
        </w:rPr>
        <w:t xml:space="preserve">5.5  Close-out items already in flight</w:t>
      </w:r>
    </w:p>
    <w:p>
      <w:pPr>
        <w:pStyle w:val="ListParagraph"/>
        <w:numPr>
          <w:ilvl w:val="0"/>
          <w:numId w:val="2"/>
        </w:numPr>
        <w:spacing w:after="60" w:line="268"/>
      </w:pPr>
      <w:r>
        <w:rPr>
          <w:sz w:val="21"/>
          <w:szCs w:val="21"/>
        </w:rPr>
        <w:t xml:space="preserve">Forward James his invitation link so he can set a password and join as admin (link expires 28 July 2026).</w:t>
      </w:r>
    </w:p>
    <w:p>
      <w:pPr>
        <w:pStyle w:val="ListParagraph"/>
        <w:numPr>
          <w:ilvl w:val="0"/>
          <w:numId w:val="2"/>
        </w:numPr>
        <w:spacing w:after="60" w:line="268"/>
      </w:pPr>
      <w:r>
        <w:rPr>
          <w:sz w:val="21"/>
          <w:szCs w:val="21"/>
        </w:rPr>
        <w:t xml:space="preserve">Run the two-account isolation test (confirm a second business sees none of the first’s data).</w:t>
      </w:r>
    </w:p>
    <w:p>
      <w:pPr>
        <w:pStyle w:val="ListParagraph"/>
        <w:numPr>
          <w:ilvl w:val="0"/>
          <w:numId w:val="2"/>
        </w:numPr>
        <w:spacing w:after="60" w:line="268"/>
      </w:pPr>
      <w:r>
        <w:rPr>
          <w:sz w:val="21"/>
          <w:szCs w:val="21"/>
        </w:rPr>
        <w:t xml:space="preserve">Supervised cleanup of the owner test account.</w:t>
      </w:r>
    </w:p>
    <w:p>
      <w:pPr>
        <w:pStyle w:val="Heading1"/>
        <w:spacing w:after="140" w:before="320"/>
      </w:pPr>
      <w:r>
        <w:rPr>
          <w:b/>
          <w:bCs/>
          <w:color w:val="1e3a5f"/>
          <w:sz w:val="30"/>
          <w:szCs w:val="30"/>
        </w:rPr>
        <w:t xml:space="preserve">6.  Deferred (not blocking September)</w:t>
      </w:r>
    </w:p>
    <w:p>
      <w:pPr>
        <w:pStyle w:val="ListParagraph"/>
        <w:numPr>
          <w:ilvl w:val="0"/>
          <w:numId w:val="2"/>
        </w:numPr>
        <w:spacing w:after="60" w:line="268"/>
      </w:pPr>
      <w:r>
        <w:rPr>
          <w:sz w:val="21"/>
          <w:szCs w:val="21"/>
        </w:rPr>
        <w:t xml:space="preserve">Live VAT / Making Tax Digital submission — the software is built, but HMRC requires a separate software-recognition process that is outside our control and unlikely to complete before September. The VAT figures/report still work for manual filing in the meantime.</w:t>
      </w:r>
    </w:p>
    <w:p>
      <w:pPr>
        <w:pStyle w:val="ListParagraph"/>
        <w:numPr>
          <w:ilvl w:val="0"/>
          <w:numId w:val="2"/>
        </w:numPr>
        <w:spacing w:after="60" w:line="268"/>
      </w:pPr>
      <w:r>
        <w:rPr>
          <w:sz w:val="21"/>
          <w:szCs w:val="21"/>
        </w:rPr>
        <w:t xml:space="preserve">Automated test coverage — currently minimal; recommended as a post-launch investment, focused first on billing and multi-business data isolation.</w:t>
      </w:r>
    </w:p>
    <w:p>
      <w:pPr>
        <w:pStyle w:val="ListParagraph"/>
        <w:numPr>
          <w:ilvl w:val="0"/>
          <w:numId w:val="2"/>
        </w:numPr>
        <w:spacing w:after="60" w:line="268"/>
      </w:pPr>
      <w:r>
        <w:rPr>
          <w:sz w:val="21"/>
          <w:szCs w:val="21"/>
        </w:rPr>
        <w:t xml:space="preserve">Tighter database foreign-key constraints — a lower-priority robustness improvement.</w:t>
      </w:r>
    </w:p>
    <w:p>
      <w:pPr>
        <w:pStyle w:val="Heading1"/>
        <w:spacing w:after="140" w:before="320"/>
      </w:pPr>
      <w:r>
        <w:rPr>
          <w:b/>
          <w:bCs/>
          <w:color w:val="1e3a5f"/>
          <w:sz w:val="30"/>
          <w:szCs w:val="30"/>
        </w:rPr>
        <w:t xml:space="preserve">7.  Suggested sequence to September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tblGrid>
      <w:tr>
        <w:trPr>
          <w:tblHeader/>
        </w:trPr>
        <w:tc>
          <w:tcPr>
            <w:tcW w:type="dxa" w:w="1500"/>
            <w:tcBorders>
              <w:top w:val="single" w:color="d7dde5" w:sz="4"/>
              <w:left w:val="single" w:color="d7dde5" w:sz="4"/>
              <w:bottom w:val="single" w:color="d7dde5" w:sz="4"/>
              <w:right w:val="single" w:color="d7dde5" w:sz="4"/>
            </w:tcBorders>
            <w:shd w:fill="1e3a5f" w:color="auto" w:val="clear"/>
            <w:tcMar>
              <w:top w:type="dxa" w:w="70"/>
              <w:left w:type="dxa" w:w="110"/>
              <w:bottom w:type="dxa" w:w="70"/>
              <w:right w:type="dxa" w:w="110"/>
            </w:tcMar>
          </w:tcPr>
          <w:p>
            <w:r>
              <w:rPr>
                <w:b/>
                <w:bCs/>
                <w:color w:val="ffffff"/>
                <w:sz w:val="19"/>
                <w:szCs w:val="19"/>
              </w:rPr>
              <w:t xml:space="preserve">When</w:t>
            </w:r>
          </w:p>
        </w:tc>
        <w:tc>
          <w:tcPr>
            <w:tcW w:type="dxa" w:w="6500"/>
            <w:tcBorders>
              <w:top w:val="single" w:color="d7dde5" w:sz="4"/>
              <w:left w:val="single" w:color="d7dde5" w:sz="4"/>
              <w:bottom w:val="single" w:color="d7dde5" w:sz="4"/>
              <w:right w:val="single" w:color="d7dde5" w:sz="4"/>
            </w:tcBorders>
            <w:shd w:fill="1e3a5f" w:color="auto" w:val="clear"/>
            <w:tcMar>
              <w:top w:type="dxa" w:w="70"/>
              <w:left w:type="dxa" w:w="110"/>
              <w:bottom w:type="dxa" w:w="70"/>
              <w:right w:type="dxa" w:w="110"/>
            </w:tcMar>
          </w:tcPr>
          <w:p>
            <w:r>
              <w:rPr>
                <w:b/>
                <w:bCs/>
                <w:color w:val="ffffff"/>
                <w:sz w:val="19"/>
                <w:szCs w:val="19"/>
              </w:rPr>
              <w:t xml:space="preserve">Focus</w:t>
            </w:r>
          </w:p>
        </w:tc>
      </w:tr>
      <w:tr>
        <w:trPr>
          <w:tblHeader w:val="false"/>
        </w:trPr>
        <w:tc>
          <w:tcPr>
            <w:tcW w:type="dxa" w:w="1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f2937"/>
                <w:sz w:val="20"/>
                <w:szCs w:val="20"/>
              </w:rPr>
              <w:t xml:space="preserve">Now</w:t>
            </w:r>
          </w:p>
        </w:tc>
        <w:tc>
          <w:tcPr>
            <w:tcW w:type="dxa" w:w="6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Set the Sentry key (5.1) and the three redirect secrets (5.2). Forward James his invite. Start the Xero developer app + certification (5.3) — begin this first because approval takes the longest.</w:t>
            </w:r>
          </w:p>
        </w:tc>
      </w:tr>
      <w:tr>
        <w:trPr>
          <w:tblHeader w:val="false"/>
        </w:trPr>
        <w:tc>
          <w:tcPr>
            <w:tcW w:type="dxa" w:w="1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f2937"/>
                <w:sz w:val="20"/>
                <w:szCs w:val="20"/>
              </w:rPr>
              <w:t xml:space="preserve">Aug</w:t>
            </w:r>
          </w:p>
        </w:tc>
        <w:tc>
          <w:tcPr>
            <w:tcW w:type="dxa" w:w="6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Get Xero connecting end-to-end against a demo company, then repeat for QuickBooks and Open Banking. Run the two-account isolation test.</w:t>
            </w:r>
          </w:p>
        </w:tc>
      </w:tr>
      <w:tr>
        <w:trPr>
          <w:tblHeader w:val="false"/>
        </w:trPr>
        <w:tc>
          <w:tcPr>
            <w:tcW w:type="dxa" w:w="1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f2937"/>
                <w:sz w:val="20"/>
                <w:szCs w:val="20"/>
              </w:rPr>
              <w:t xml:space="preserve">Late Aug</w:t>
            </w:r>
          </w:p>
        </w:tc>
        <w:tc>
          <w:tcPr>
            <w:tcW w:type="dxa" w:w="6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Attach the custom domain, reconcile and refresh the legal pages, switch providers from sandbox to live keys.</w:t>
            </w:r>
          </w:p>
        </w:tc>
      </w:tr>
      <w:tr>
        <w:trPr>
          <w:tblHeader w:val="false"/>
        </w:trPr>
        <w:tc>
          <w:tcPr>
            <w:tcW w:type="dxa" w:w="1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bCs/>
                <w:color w:val="1f2937"/>
                <w:sz w:val="20"/>
                <w:szCs w:val="20"/>
              </w:rPr>
              <w:t xml:space="preserve">Sept</w:t>
            </w:r>
          </w:p>
        </w:tc>
        <w:tc>
          <w:tcPr>
            <w:tcW w:type="dxa" w:w="6500"/>
            <w:tcBorders>
              <w:top w:val="single" w:color="d7dde5" w:sz="4"/>
              <w:left w:val="single" w:color="d7dde5" w:sz="4"/>
              <w:bottom w:val="single" w:color="d7dde5" w:sz="4"/>
              <w:right w:val="single" w:color="d7dde5" w:sz="4"/>
            </w:tcBorders>
            <w:tcMar>
              <w:top w:type="dxa" w:w="70"/>
              <w:left w:type="dxa" w:w="110"/>
              <w:bottom w:type="dxa" w:w="70"/>
              <w:right w:type="dxa" w:w="110"/>
            </w:tcMar>
          </w:tcPr>
          <w:p>
            <w:r>
              <w:rPr>
                <w:b w:val="false"/>
                <w:bCs w:val="false"/>
                <w:color w:val="1f2937"/>
                <w:sz w:val="20"/>
                <w:szCs w:val="20"/>
              </w:rPr>
              <w:t xml:space="preserve">Final smoke test, confirm error monitoring is reporting, go live.</w:t>
            </w:r>
          </w:p>
        </w:tc>
      </w:tr>
    </w:tbl>
    <w:p>
      <w:pPr>
        <w:pBdr>
          <w:top w:val="single" w:color="d7dde5" w:sz="6" w:space="8"/>
        </w:pBdr>
        <w:spacing w:before="300"/>
      </w:pPr>
      <w:r>
        <w:rPr>
          <w:i/>
          <w:iCs/>
          <w:color w:val="6b7280"/>
          <w:sz w:val="19"/>
          <w:szCs w:val="19"/>
        </w:rPr>
        <w:t xml:space="preserve">This is a living plan — as each provider app is set up we can verify the handshake from the backend logs and tick items off. Ask any time for the current status.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ClearRoute — Launch Readiness Plan &amp; Status</dc:title>
  <dc:creator>ClearRoute</dc:creator>
  <cp:lastModifiedBy>Un-named</cp:lastModifiedBy>
  <cp:revision>1</cp:revision>
  <dcterms:created xsi:type="dcterms:W3CDTF">2026-07-21T20:15:50.224Z</dcterms:created>
  <dcterms:modified xsi:type="dcterms:W3CDTF">2026-07-21T20:15:50.224Z</dcterms:modified>
</cp:coreProperties>
</file>

<file path=docProps/custom.xml><?xml version="1.0" encoding="utf-8"?>
<Properties xmlns="http://schemas.openxmlformats.org/officeDocument/2006/custom-properties" xmlns:vt="http://schemas.openxmlformats.org/officeDocument/2006/docPropsVTypes"/>
</file>