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Glossar</w:t>
      </w:r>
    </w:p>
    <w:p>
      <w:pPr>
        <w:pStyle w:val="Author"/>
      </w:pPr>
      <w:r>
        <w:t xml:space="preserve">Prof. Dr. Dirk Loomans</w:t>
      </w:r>
    </w:p>
    <w:p>
      <w:pPr>
        <w:pStyle w:val="Date"/>
      </w:pPr>
      <w:r>
        <w:t xml:space="preserve">29. September 2026</w:t>
      </w:r>
    </w:p>
    <w:p>
      <w:pPr>
        <w:pStyle w:val="FirstParagraph"/>
      </w:pPr>
      <w:r>
        <w:rPr>
          <w:b/>
          <w:bCs/>
        </w:rPr>
        <w:t xml:space="preserve">Vorlesungsskript · Grundlagen der Resilienz</w:t>
      </w:r>
      <w:r>
        <w:t xml:space="preserve"> </w:t>
      </w:r>
      <w:r>
        <w:t xml:space="preserve">· Cyber Security Management (B.Sc.), 1. Semester · Hochschule Mainz</w:t>
      </w:r>
    </w:p>
    <w:p>
      <w:pPr>
        <w:pStyle w:val="BodyText"/>
      </w:pPr>
      <w:r>
        <w:rPr>
          <w:i/>
          <w:iCs/>
        </w:rPr>
        <w:t xml:space="preserve">Vorbemerkung:</w:t>
      </w:r>
      <w:r>
        <w:t xml:space="preserve"> </w:t>
      </w:r>
      <w:r>
        <w:t xml:space="preserve">Dieses Skript dient als Vorlesungsbegleitung und erhebt keinen akademischen Anspruch. Dennoch kann es bei der Klausurvorbereitung hilfreich sein. Kommentare und Verbesserungsvorschläge gerne an den Autor über dirk.loomans@hs-mainz.de.</w:t>
      </w:r>
    </w:p>
    <w:p>
      <w:pPr>
        <w:pStyle w:val="BodyText"/>
      </w:pPr>
      <w:r>
        <w:t xml:space="preserve">Das Glossar führt die Glossare der Sitzungen 3 und 4 sowie das OT- und KI-Glossar aus dem Skript zu Sitzung 9 zusammen. Die Angabe in Klammern verweist auf den Termin, in dem der Begriff eingeführt oder vertieft wird. Für die Klausur genügt es nicht, Begriffe zu definieren; sie müssen in Zusammenhänge eingeordnet werden.</w:t>
      </w:r>
    </w:p>
    <w:bookmarkStart w:id="19" w:name="abkürzungen"/>
    <w:p>
      <w:pPr>
        <w:pStyle w:val="Heading1"/>
      </w:pPr>
      <w:r>
        <w:t xml:space="preserve">Abkürzungen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Abkürzung</w:t>
            </w:r>
          </w:p>
        </w:tc>
        <w:tc>
          <w:tcPr/>
          <w:p>
            <w:pPr>
              <w:pStyle w:val="Compac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Active Directory – Verzeichnisdienst für Identitäten, Gruppen und Policies (Microsoft)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</w:t>
            </w:r>
          </w:p>
        </w:tc>
        <w:tc>
          <w:tcPr/>
          <w:p>
            <w:pPr>
              <w:pStyle w:val="Compact"/>
            </w:pPr>
            <w:r>
              <w:t xml:space="preserve">Availability Zone – separater Rechenzentrumsbereich innerhalb einer Cloud-Region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BCM</w:t>
            </w:r>
          </w:p>
        </w:tc>
        <w:tc>
          <w:tcPr/>
          <w:p>
            <w:pPr>
              <w:pStyle w:val="Compact"/>
            </w:pPr>
            <w:r>
              <w:t xml:space="preserve">Business Continuity Management – Managementsystem zur Sicherstellung kritischer Geschäftsprozesse bei Störungen (BSI 200-4, ISO 22301)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BSI 200-4</w:t>
            </w:r>
          </w:p>
        </w:tc>
        <w:tc>
          <w:tcPr/>
          <w:p>
            <w:pPr>
              <w:pStyle w:val="Compact"/>
            </w:pPr>
            <w:r>
              <w:t xml:space="preserve">BSI-Standard 200-4 „Business Continuity Management“ mit Reifegradmodell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Content Delivery Network – geografisch verteiltes Netz zur resilienten Auslieferung von Web-Inhalten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</w:t>
            </w:r>
          </w:p>
        </w:tc>
        <w:tc>
          <w:tcPr/>
          <w:p>
            <w:pPr>
              <w:pStyle w:val="Compact"/>
            </w:pPr>
            <w:r>
              <w:t xml:space="preserve">Computer Emergency Response Team – operative Reaktionseinheit im Incident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Continuous Integration / Continuous Deployment – automatisierte Build-, Test- und Release-Pipelines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Chief Information Security Officer – strategische Verantwortung für Informationssicherheit und Cyber-Resilienz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DDoS</w:t>
            </w:r>
          </w:p>
        </w:tc>
        <w:tc>
          <w:tcPr/>
          <w:p>
            <w:pPr>
              <w:pStyle w:val="Compact"/>
            </w:pPr>
            <w:r>
              <w:t xml:space="preserve">Distributed Denial of Service – Lastangriff, der Dienste durch Überlast unbenutzbar macht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Domain Name System – Namensauflösung, kritisch für die Erreichbarkeit fast aller Dienste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Data Protection Officer – Datenschutzbeauftragte Person (Art. 37–39 DSGVO)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</w:t>
            </w:r>
          </w:p>
        </w:tc>
        <w:tc>
          <w:tcPr/>
          <w:p>
            <w:pPr>
              <w:pStyle w:val="Compact"/>
            </w:pPr>
            <w:r>
              <w:t xml:space="preserve">Disaster Recovery – Wiederanlauf von IT-Systemen nach gravierenden Störungen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ENISA</w:t>
            </w:r>
          </w:p>
        </w:tc>
        <w:tc>
          <w:tcPr/>
          <w:p>
            <w:pPr>
              <w:pStyle w:val="Compact"/>
            </w:pPr>
            <w:r>
              <w:t xml:space="preserve">European Union Agency for Cybersecurity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</w:t>
            </w:r>
          </w:p>
        </w:tc>
        <w:tc>
          <w:tcPr/>
          <w:p>
            <w:pPr>
              <w:pStyle w:val="Compact"/>
            </w:pPr>
            <w:r>
              <w:t xml:space="preserve">Human Machine Interface – Bedienoberfläche von OT-Anlagen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</w:t>
            </w:r>
          </w:p>
        </w:tc>
        <w:tc>
          <w:tcPr/>
          <w:p>
            <w:pPr>
              <w:pStyle w:val="Compact"/>
            </w:pPr>
            <w:r>
              <w:t xml:space="preserve">Hardware Security Module – gesicherte Hardware zur Erzeugung und Verwaltung von Schlüsseln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IaC</w:t>
            </w:r>
          </w:p>
        </w:tc>
        <w:tc>
          <w:tcPr/>
          <w:p>
            <w:pPr>
              <w:pStyle w:val="Compact"/>
            </w:pPr>
            <w:r>
              <w:t xml:space="preserve">Infrastructure as Code – Infrastruktur wird per Code definiert und automatisiert bereitgestellt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ICS</w:t>
            </w:r>
          </w:p>
        </w:tc>
        <w:tc>
          <w:tcPr/>
          <w:p>
            <w:pPr>
              <w:pStyle w:val="Compact"/>
            </w:pPr>
            <w:r>
              <w:t xml:space="preserve">Industrial Control System – Überbegriff für SCADA, PLC und DCS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IdP</w:t>
            </w:r>
          </w:p>
        </w:tc>
        <w:tc>
          <w:tcPr/>
          <w:p>
            <w:pPr>
              <w:pStyle w:val="Compact"/>
            </w:pPr>
            <w:r>
              <w:t xml:space="preserve">Identity Provider – authentifiziert Nutzer und stellt Tokens aus (z. B. Entra ID/Azure AD, Keycloak)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KRITIS</w:t>
            </w:r>
          </w:p>
        </w:tc>
        <w:tc>
          <w:tcPr/>
          <w:p>
            <w:pPr>
              <w:pStyle w:val="Compact"/>
            </w:pPr>
            <w:r>
              <w:t xml:space="preserve">Kritische Infrastrukturen (Energie, Wasser, Gesundheit, Finanzen u. a.)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</w:t>
            </w:r>
          </w:p>
        </w:tc>
        <w:tc>
          <w:tcPr/>
          <w:p>
            <w:pPr>
              <w:pStyle w:val="Compact"/>
            </w:pPr>
            <w:r>
              <w:t xml:space="preserve">Manufacturing Execution System – Produktionsleitsystem zwischen OT und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MTBF</w:t>
            </w:r>
          </w:p>
        </w:tc>
        <w:tc>
          <w:tcPr/>
          <w:p>
            <w:pPr>
              <w:pStyle w:val="Compact"/>
            </w:pPr>
            <w:r>
              <w:t xml:space="preserve">Mean Time Between Failures – mittlere Zeit zwischen zwei Ausfällen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MTTR</w:t>
            </w:r>
          </w:p>
        </w:tc>
        <w:tc>
          <w:tcPr/>
          <w:p>
            <w:pPr>
              <w:pStyle w:val="Compact"/>
            </w:pPr>
            <w:r>
              <w:t xml:space="preserve">Mean Time To Repair / Recover – durchschnittliche Wiederherstellungsdauer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</w:t>
            </w:r>
          </w:p>
        </w:tc>
        <w:tc>
          <w:tcPr/>
          <w:p>
            <w:pPr>
              <w:pStyle w:val="Compact"/>
            </w:pPr>
            <w:r>
              <w:t xml:space="preserve">Operational Technology – Technik zur Steuerung physischer Prozesse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PLC</w:t>
            </w:r>
          </w:p>
        </w:tc>
        <w:tc>
          <w:tcPr/>
          <w:p>
            <w:pPr>
              <w:pStyle w:val="Compact"/>
            </w:pPr>
            <w:r>
              <w:t xml:space="preserve">Programmable Logic Controller – Steuerungsrechner für Maschinen und Prozesse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Recovery Point Objective – maximal tolerierter Datenverlust in Zeit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Recovery Time Objective – maximal tolerierte Wiederherstellungsdauer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SCADA</w:t>
            </w:r>
          </w:p>
        </w:tc>
        <w:tc>
          <w:tcPr/>
          <w:p>
            <w:pPr>
              <w:pStyle w:val="Compact"/>
            </w:pPr>
            <w:r>
              <w:t xml:space="preserve">Supervisory Control and Data Acquisition – Überwachung und Steuerung industrieller Prozesse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</w:t>
            </w:r>
          </w:p>
        </w:tc>
        <w:tc>
          <w:tcPr/>
          <w:p>
            <w:pPr>
              <w:pStyle w:val="Compact"/>
            </w:pPr>
            <w:r>
              <w:t xml:space="preserve">Security Information and Event Management – Aggregation und Korrelation von Sicherheitsereignissen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</w:t>
            </w:r>
          </w:p>
        </w:tc>
        <w:tc>
          <w:tcPr/>
          <w:p>
            <w:pPr>
              <w:pStyle w:val="Compact"/>
            </w:pPr>
            <w:r>
              <w:t xml:space="preserve">Safety Integrity Level – Maß für die Zuverlässigkeit von Safety-Systemen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Service Level Agreement – vertraglich zugesicherter Leistungsgrad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SOAR</w:t>
            </w:r>
          </w:p>
        </w:tc>
        <w:tc>
          <w:tcPr/>
          <w:p>
            <w:pPr>
              <w:pStyle w:val="Compact"/>
            </w:pPr>
            <w:r>
              <w:t xml:space="preserve">Security Orchestration, Automation and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</w:t>
            </w:r>
          </w:p>
        </w:tc>
        <w:tc>
          <w:tcPr/>
          <w:p>
            <w:pPr>
              <w:pStyle w:val="Compact"/>
            </w:pPr>
            <w:r>
              <w:t xml:space="preserve">Security Operations Center – Überwachung und Erkennung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SPOF</w:t>
            </w:r>
          </w:p>
        </w:tc>
        <w:tc>
          <w:tcPr/>
          <w:p>
            <w:pPr>
              <w:pStyle w:val="Compact"/>
            </w:pPr>
            <w:r>
              <w:t xml:space="preserve">Single Point of Failure – Einzelkomponente, deren Ausfall das Gesamtsystem lahmlegt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USV</w:t>
            </w:r>
          </w:p>
        </w:tc>
        <w:tc>
          <w:tcPr/>
          <w:p>
            <w:pPr>
              <w:pStyle w:val="Compact"/>
            </w:pPr>
            <w:r>
              <w:t xml:space="preserve">Unterbrechungsfreie Stromversorgung (UPS)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WAF</w:t>
            </w:r>
          </w:p>
        </w:tc>
        <w:tc>
          <w:tcPr/>
          <w:p>
            <w:pPr>
              <w:pStyle w:val="Compact"/>
            </w:pPr>
            <w:r>
              <w:t xml:space="preserve">Web Application Firewall – Schutz auf Anwendungsebene (Injection, XSS)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WORM</w:t>
            </w:r>
          </w:p>
        </w:tc>
        <w:tc>
          <w:tcPr/>
          <w:p>
            <w:pPr>
              <w:pStyle w:val="Compact"/>
            </w:pPr>
            <w:r>
              <w:t xml:space="preserve">Write Once, Read Many – unveränderbare Speicherung</w:t>
            </w:r>
          </w:p>
        </w:tc>
      </w:tr>
    </w:tbl>
    <w:bookmarkEnd w:id="19"/>
    <w:bookmarkStart w:id="20" w:name="begriffe-der-cyber-resilienz"/>
    <w:p>
      <w:pPr>
        <w:pStyle w:val="Heading1"/>
      </w:pPr>
      <w:r>
        <w:t xml:space="preserve">Begriffe der Cyber-Resilienz</w:t>
      </w:r>
    </w:p>
    <w:p>
      <w:pPr>
        <w:pStyle w:val="FirstParagraph"/>
      </w:pPr>
      <w:r>
        <w:rPr>
          <w:b/>
          <w:bCs/>
        </w:rPr>
        <w:t xml:space="preserve">Availability Zone (AZ) / Multi-AZ-Deployment</w:t>
      </w:r>
      <w:r>
        <w:t xml:space="preserve"> </w:t>
      </w:r>
      <w:r>
        <w:t xml:space="preserve">– Eine AZ ist ein physisch getrenntes, logisch verbundenes Rechenzentrumssegment einer Cloud-Region mit eigener Strom-, Kühlungs- und Netzversorgung. Beim Multi-AZ-Deployment läuft ein Dienst gleichzeitig in mehreren AZs; fällt eine Zone aus, übernehmen die anderen, etwa über Load Balancer und synchron gespiegelte Datenbanken. Resilienz entsteht erst durch diese tatsächliche Verteilung. Multi-AZ schützt gegen den Ausfall eines Standorts, nicht gegen die Störung einer ganzen Region (→ Multi-Region-Design). (3)</w:t>
      </w:r>
    </w:p>
    <w:p>
      <w:pPr>
        <w:pStyle w:val="BodyText"/>
      </w:pPr>
      <w:r>
        <w:rPr>
          <w:b/>
          <w:bCs/>
        </w:rPr>
        <w:t xml:space="preserve">Backup (vs. Recovery)</w:t>
      </w:r>
      <w:r>
        <w:t xml:space="preserve"> </w:t>
      </w:r>
      <w:r>
        <w:t xml:space="preserve">– Die existierende Kopie von Daten oder Systemzuständen. Resilienz entsteht nicht durch das Vorhandensein, sondern durch die Fähigkeit, innerhalb der RTO/RPO-Ziele wiederherzustellen. „Backup ohne Restore-Test“ ist Scheinsicherheit. (3, 4, 7)</w:t>
      </w:r>
    </w:p>
    <w:p>
      <w:pPr>
        <w:pStyle w:val="BodyText"/>
      </w:pPr>
      <w:r>
        <w:rPr>
          <w:b/>
          <w:bCs/>
        </w:rPr>
        <w:t xml:space="preserve">BCM</w:t>
      </w:r>
      <w:r>
        <w:t xml:space="preserve"> </w:t>
      </w:r>
      <w:r>
        <w:t xml:space="preserve">– Managementrahmen zur Sicherstellung kritischer Geschäftsprozesse während und nach Störungen. IT-Resilienz ist ein technischer Teilaspekt davon. (2, 3, 6)</w:t>
      </w:r>
    </w:p>
    <w:p>
      <w:pPr>
        <w:pStyle w:val="BodyText"/>
      </w:pPr>
      <w:r>
        <w:rPr>
          <w:b/>
          <w:bCs/>
        </w:rPr>
        <w:t xml:space="preserve">Break-Glass-Account</w:t>
      </w:r>
      <w:r>
        <w:t xml:space="preserve"> </w:t>
      </w:r>
      <w:r>
        <w:t xml:space="preserve">– Notfallkonto mit lokalem oder isoliertem Zugriff, das den Betrieb ermöglicht, wenn zentrale Identity-Provider ausgefallen oder kompromittiert sind. (3, 4)</w:t>
      </w:r>
    </w:p>
    <w:p>
      <w:pPr>
        <w:pStyle w:val="BodyText"/>
      </w:pPr>
      <w:r>
        <w:rPr>
          <w:b/>
          <w:bCs/>
        </w:rPr>
        <w:t xml:space="preserve">Chaos Engineering</w:t>
      </w:r>
      <w:r>
        <w:t xml:space="preserve"> </w:t>
      </w:r>
      <w:r>
        <w:t xml:space="preserve">– Systematisches Einbringen kontrollierter Störungen (Instanzausfall, Latenz, Region Down), um Fehlertoleranz und Wiederanlauffähigkeit zu prüfen. Ziel ist die Validierung, nicht die Störung. (3, 7)</w:t>
      </w:r>
    </w:p>
    <w:p>
      <w:pPr>
        <w:pStyle w:val="BodyText"/>
      </w:pPr>
      <w:r>
        <w:rPr>
          <w:b/>
          <w:bCs/>
        </w:rPr>
        <w:t xml:space="preserve">Cloud-Region / Multi-Region-Design</w:t>
      </w:r>
      <w:r>
        <w:t xml:space="preserve"> </w:t>
      </w:r>
      <w:r>
        <w:t xml:space="preserve">– Eine Region umfasst mehrere AZs. Multi-Region verteilt Workloads über Regionen und schützt gegen regionale Ausfälle – bei höherer Latenz, Komplexität und Kosten. (3, 4, 8)</w:t>
      </w:r>
    </w:p>
    <w:p>
      <w:pPr>
        <w:pStyle w:val="BodyText"/>
      </w:pPr>
      <w:r>
        <w:rPr>
          <w:b/>
          <w:bCs/>
        </w:rPr>
        <w:t xml:space="preserve">Crypto Agility</w:t>
      </w:r>
      <w:r>
        <w:t xml:space="preserve"> </w:t>
      </w:r>
      <w:r>
        <w:t xml:space="preserve">– Organisatorische und technische Fähigkeit, kryptografische Verfahren, Schlüssel und Vertrauensketten über die Zeit auszutauschen. (10)</w:t>
      </w:r>
    </w:p>
    <w:p>
      <w:pPr>
        <w:pStyle w:val="BodyText"/>
      </w:pPr>
      <w:r>
        <w:rPr>
          <w:b/>
          <w:bCs/>
        </w:rPr>
        <w:t xml:space="preserve">DDoS</w:t>
      </w:r>
      <w:r>
        <w:t xml:space="preserve"> </w:t>
      </w:r>
      <w:r>
        <w:t xml:space="preserve">– Erschöpfung von Ressourcen statt Zerstörung. Resilienz basiert auf kapazitiver Elastizität, Lastverteilung und kontrollierter Degradation. (4)</w:t>
      </w:r>
    </w:p>
    <w:p>
      <w:pPr>
        <w:pStyle w:val="BodyText"/>
      </w:pPr>
      <w:r>
        <w:rPr>
          <w:b/>
          <w:bCs/>
        </w:rPr>
        <w:t xml:space="preserve">Degradationskurve</w:t>
      </w:r>
      <w:r>
        <w:t xml:space="preserve"> </w:t>
      </w:r>
      <w:r>
        <w:t xml:space="preserve">– Darstellung der Systemleistung L(t) über die Zeit mit Normalbetrieb, Störung, degradiertem Zustand, Recovery und Zielzustand. Kenngrößen: Ausfalltiefe Δ und Wiederherstellungszeit tR. (2)</w:t>
      </w:r>
    </w:p>
    <w:p>
      <w:pPr>
        <w:pStyle w:val="BodyText"/>
      </w:pPr>
      <w:r>
        <w:rPr>
          <w:b/>
          <w:bCs/>
        </w:rPr>
        <w:t xml:space="preserve">Diversität</w:t>
      </w:r>
      <w:r>
        <w:t xml:space="preserve"> </w:t>
      </w:r>
      <w:r>
        <w:t xml:space="preserve">– Bewusster Einsatz unterschiedlicher Komponenten, Technologien oder Anbieter gegen gemeinsame Fehlerursachen (Common Mode Failures) und importierte Supply-Chain-Risiken. (1, 3, 4)</w:t>
      </w:r>
    </w:p>
    <w:p>
      <w:pPr>
        <w:pStyle w:val="BodyText"/>
      </w:pPr>
      <w:r>
        <w:rPr>
          <w:b/>
          <w:bCs/>
        </w:rPr>
        <w:t xml:space="preserve">Failover</w:t>
      </w:r>
      <w:r>
        <w:t xml:space="preserve"> </w:t>
      </w:r>
      <w:r>
        <w:t xml:space="preserve">– Kontrollierter Wechsel auf eine alternative Ressource oder Umgebung. Resilienz entsteht erst durch getestete Umschaltpfade. (3, 4, 7)</w:t>
      </w:r>
    </w:p>
    <w:p>
      <w:pPr>
        <w:pStyle w:val="BodyText"/>
      </w:pPr>
      <w:r>
        <w:rPr>
          <w:b/>
          <w:bCs/>
        </w:rPr>
        <w:t xml:space="preserve">Graceful Degradation</w:t>
      </w:r>
      <w:r>
        <w:t xml:space="preserve"> </w:t>
      </w:r>
      <w:r>
        <w:t xml:space="preserve">– Kontrolliertes Herunterfahren der Leistung statt Totalausfall, etwa Warteschlange statt Fehlerseite. (3, 4)</w:t>
      </w:r>
    </w:p>
    <w:p>
      <w:pPr>
        <w:pStyle w:val="BodyText"/>
      </w:pPr>
      <w:r>
        <w:rPr>
          <w:b/>
          <w:bCs/>
        </w:rPr>
        <w:t xml:space="preserve">Hybrid-Architektur</w:t>
      </w:r>
      <w:r>
        <w:t xml:space="preserve"> </w:t>
      </w:r>
      <w:r>
        <w:t xml:space="preserve">– Kombination aus On-Premises und Cloud. Erhöht sowohl den Gefährdungsraum als auch den Resilienzspielraum. (3)</w:t>
      </w:r>
    </w:p>
    <w:p>
      <w:pPr>
        <w:pStyle w:val="BodyText"/>
      </w:pPr>
      <w:r>
        <w:rPr>
          <w:b/>
          <w:bCs/>
        </w:rPr>
        <w:t xml:space="preserve">Immutable Backup</w:t>
      </w:r>
      <w:r>
        <w:t xml:space="preserve"> </w:t>
      </w:r>
      <w:r>
        <w:t xml:space="preserve">– Backup, das nach Erstellung nicht verändert oder gelöscht werden kann (WORM). Wirksam erst mit Offsite-Lagerung und getesteter Recovery. (4, 7)</w:t>
      </w:r>
    </w:p>
    <w:p>
      <w:pPr>
        <w:pStyle w:val="BodyText"/>
      </w:pPr>
      <w:r>
        <w:rPr>
          <w:b/>
          <w:bCs/>
        </w:rPr>
        <w:t xml:space="preserve">Microsegmentation</w:t>
      </w:r>
      <w:r>
        <w:t xml:space="preserve"> </w:t>
      </w:r>
      <w:r>
        <w:t xml:space="preserve">– Feingranulare, softwarebasierte Unterteilung in isolierte Sicherheitszonen bis auf Workload-Ebene; begrenzt laterale Bewegung. (8)</w:t>
      </w:r>
    </w:p>
    <w:p>
      <w:pPr>
        <w:pStyle w:val="BodyText"/>
      </w:pPr>
      <w:r>
        <w:rPr>
          <w:b/>
          <w:bCs/>
        </w:rPr>
        <w:t xml:space="preserve">Redundanz</w:t>
      </w:r>
      <w:r>
        <w:t xml:space="preserve"> </w:t>
      </w:r>
      <w:r>
        <w:t xml:space="preserve">– Mehrfachvorhaltung kritischer Komponenten gegen den Ausfall einzelner Elemente. Wirkt gegen infrastrukturelle Ausfälle, nicht gegen logische Fehler oder Kompromittierung. (1, 3, 7)</w:t>
      </w:r>
    </w:p>
    <w:p>
      <w:pPr>
        <w:pStyle w:val="BodyText"/>
      </w:pPr>
      <w:r>
        <w:rPr>
          <w:b/>
          <w:bCs/>
        </w:rPr>
        <w:t xml:space="preserve">Reifegradmodell</w:t>
      </w:r>
      <w:r>
        <w:t xml:space="preserve"> </w:t>
      </w:r>
      <w:r>
        <w:t xml:space="preserve">– Bewertet die geübte Wirksamkeit von Resilienzmaßnahmen vor dem Ereignis, nicht die Existenz von Plänen. (2, 5)</w:t>
      </w:r>
    </w:p>
    <w:p>
      <w:pPr>
        <w:pStyle w:val="BodyText"/>
      </w:pPr>
      <w:r>
        <w:rPr>
          <w:b/>
          <w:bCs/>
        </w:rPr>
        <w:t xml:space="preserve">Resilienz</w:t>
      </w:r>
      <w:r>
        <w:t xml:space="preserve"> </w:t>
      </w:r>
      <w:r>
        <w:t xml:space="preserve">– Fähigkeit eines Systems, trotz Störungen funktionsfähig zu bleiben, sich rasch zu erholen und sich anzupassen. (1)</w:t>
      </w:r>
    </w:p>
    <w:p>
      <w:pPr>
        <w:pStyle w:val="BodyText"/>
      </w:pPr>
      <w:r>
        <w:rPr>
          <w:b/>
          <w:bCs/>
        </w:rPr>
        <w:t xml:space="preserve">Resilienzzyklus</w:t>
      </w:r>
      <w:r>
        <w:t xml:space="preserve"> </w:t>
      </w:r>
      <w:r>
        <w:t xml:space="preserve">– Detection → Response → Recovery → Adapt; wiederkehrender Prozess, mit dem eine Organisation Störungen erkennt, bewältigt und daraus lernt. (5)</w:t>
      </w:r>
    </w:p>
    <w:p>
      <w:pPr>
        <w:pStyle w:val="BodyText"/>
      </w:pPr>
      <w:r>
        <w:rPr>
          <w:b/>
          <w:bCs/>
        </w:rPr>
        <w:t xml:space="preserve">Shared Responsibility Model</w:t>
      </w:r>
      <w:r>
        <w:t xml:space="preserve"> </w:t>
      </w:r>
      <w:r>
        <w:t xml:space="preserve">– Der Cloud-Anbieter sichert die Infrastruktur; Daten, IAM-Konfiguration, Backups und Zugänge verantwortet der Kunde. (7, 8)</w:t>
      </w:r>
    </w:p>
    <w:p>
      <w:pPr>
        <w:pStyle w:val="BodyText"/>
      </w:pPr>
      <w:r>
        <w:rPr>
          <w:b/>
          <w:bCs/>
        </w:rPr>
        <w:t xml:space="preserve">Threat-to-Resilience-Mapping</w:t>
      </w:r>
      <w:r>
        <w:t xml:space="preserve"> </w:t>
      </w:r>
      <w:r>
        <w:t xml:space="preserve">– Bedrohungen werden nicht mit Präventionsmaßnahmen, sondern mit Resilienzfähigkeiten beantwortet. Ziel ist die Minimierung des Effekts. (4)</w:t>
      </w:r>
    </w:p>
    <w:p>
      <w:pPr>
        <w:pStyle w:val="BodyText"/>
      </w:pPr>
      <w:r>
        <w:rPr>
          <w:b/>
          <w:bCs/>
        </w:rPr>
        <w:t xml:space="preserve">Zero Trust</w:t>
      </w:r>
      <w:r>
        <w:t xml:space="preserve"> </w:t>
      </w:r>
      <w:r>
        <w:t xml:space="preserve">– Sicherheits- und Resilienzkonzept ohne implizites Vertrauen: Jeder Zugriff wird explizit, kontextabhängig und fortlaufend autorisiert. (4, 8)</w:t>
      </w:r>
    </w:p>
    <w:bookmarkEnd w:id="20"/>
    <w:bookmarkStart w:id="21" w:name="ot-und-ki"/>
    <w:p>
      <w:pPr>
        <w:pStyle w:val="Heading1"/>
      </w:pPr>
      <w:r>
        <w:t xml:space="preserve">OT und KI</w:t>
      </w:r>
    </w:p>
    <w:p>
      <w:pPr>
        <w:pStyle w:val="FirstParagraph"/>
      </w:pPr>
      <w:r>
        <w:rPr>
          <w:b/>
          <w:bCs/>
        </w:rPr>
        <w:t xml:space="preserve">Aktor</w:t>
      </w:r>
      <w:r>
        <w:t xml:space="preserve"> </w:t>
      </w:r>
      <w:r>
        <w:t xml:space="preserve">– Physisches Element, das auf Steuerbefehle reagiert (Ventil, Motor, Schalter). (9)</w:t>
      </w:r>
    </w:p>
    <w:p>
      <w:pPr>
        <w:pStyle w:val="BodyText"/>
      </w:pPr>
      <w:r>
        <w:rPr>
          <w:b/>
          <w:bCs/>
        </w:rPr>
        <w:t xml:space="preserve">Anomalieerkennung</w:t>
      </w:r>
      <w:r>
        <w:t xml:space="preserve"> </w:t>
      </w:r>
      <w:r>
        <w:t xml:space="preserve">– Verfahren, häufig KI-basiert, zur Identifikation von Abweichungen vom Normalbetrieb. (9)</w:t>
      </w:r>
    </w:p>
    <w:p>
      <w:pPr>
        <w:pStyle w:val="BodyText"/>
      </w:pPr>
      <w:r>
        <w:rPr>
          <w:b/>
          <w:bCs/>
        </w:rPr>
        <w:t xml:space="preserve">Asset-Inventar</w:t>
      </w:r>
      <w:r>
        <w:t xml:space="preserve"> </w:t>
      </w:r>
      <w:r>
        <w:t xml:space="preserve">– Vollständige Übersicht aller OT-Komponenten einschließlich Firmware-Versionen und Kommunikationsbeziehungen. (9)</w:t>
      </w:r>
    </w:p>
    <w:p>
      <w:pPr>
        <w:pStyle w:val="BodyText"/>
      </w:pPr>
      <w:r>
        <w:rPr>
          <w:b/>
          <w:bCs/>
        </w:rPr>
        <w:t xml:space="preserve">Cold / Warm / Hot Start</w:t>
      </w:r>
      <w:r>
        <w:t xml:space="preserve"> </w:t>
      </w:r>
      <w:r>
        <w:t xml:space="preserve">– Wiederanlaufmethoden in OT: vollständiger Neustart ohne Prozesszustände, teilweiser Neustart mit Erhalt von Zuständen, nahtloser Übergang auf redundante Systeme. (9)</w:t>
      </w:r>
    </w:p>
    <w:p>
      <w:pPr>
        <w:pStyle w:val="BodyText"/>
      </w:pPr>
      <w:r>
        <w:rPr>
          <w:b/>
          <w:bCs/>
        </w:rPr>
        <w:t xml:space="preserve">Conduit / Zone</w:t>
      </w:r>
      <w:r>
        <w:t xml:space="preserve"> </w:t>
      </w:r>
      <w:r>
        <w:t xml:space="preserve">– Nach IEC 62443 abgegrenzte Bereiche mit ähnlichen Sicherheitsanforderungen und die kontrollierten Kommunikationspfade zwischen ihnen. (9)</w:t>
      </w:r>
    </w:p>
    <w:p>
      <w:pPr>
        <w:pStyle w:val="BodyText"/>
      </w:pPr>
      <w:r>
        <w:rPr>
          <w:b/>
          <w:bCs/>
        </w:rPr>
        <w:t xml:space="preserve">Daten-Poisoning</w:t>
      </w:r>
      <w:r>
        <w:t xml:space="preserve"> </w:t>
      </w:r>
      <w:r>
        <w:t xml:space="preserve">– Manipulation von Trainings- oder Sensordaten, um Entscheidungen eines KI-Systems zu verfälschen. (9)</w:t>
      </w:r>
    </w:p>
    <w:p>
      <w:pPr>
        <w:pStyle w:val="BodyText"/>
      </w:pPr>
      <w:r>
        <w:rPr>
          <w:b/>
          <w:bCs/>
        </w:rPr>
        <w:t xml:space="preserve">Defense-in-Depth</w:t>
      </w:r>
      <w:r>
        <w:t xml:space="preserve"> </w:t>
      </w:r>
      <w:r>
        <w:t xml:space="preserve">– Kombination mehrerer Schutzschichten. (9)</w:t>
      </w:r>
    </w:p>
    <w:p>
      <w:pPr>
        <w:pStyle w:val="BodyText"/>
      </w:pPr>
      <w:r>
        <w:rPr>
          <w:b/>
          <w:bCs/>
        </w:rPr>
        <w:t xml:space="preserve">Engineering-Workstation</w:t>
      </w:r>
      <w:r>
        <w:t xml:space="preserve"> </w:t>
      </w:r>
      <w:r>
        <w:t xml:space="preserve">– Arbeitsplatz zur Programmierung von PLCs und SCADA; kritischer Angriffspunkt. (9)</w:t>
      </w:r>
    </w:p>
    <w:p>
      <w:pPr>
        <w:pStyle w:val="BodyText"/>
      </w:pPr>
      <w:r>
        <w:rPr>
          <w:b/>
          <w:bCs/>
        </w:rPr>
        <w:t xml:space="preserve">HAZOP</w:t>
      </w:r>
      <w:r>
        <w:t xml:space="preserve"> </w:t>
      </w:r>
      <w:r>
        <w:t xml:space="preserve">– Hazard and Operability Study; systematische Gefahrenanalyse technischer Prozesse. (9)</w:t>
      </w:r>
    </w:p>
    <w:p>
      <w:pPr>
        <w:pStyle w:val="BodyText"/>
      </w:pPr>
      <w:r>
        <w:rPr>
          <w:b/>
          <w:bCs/>
        </w:rPr>
        <w:t xml:space="preserve">Human-in-the-Loop</w:t>
      </w:r>
      <w:r>
        <w:t xml:space="preserve"> </w:t>
      </w:r>
      <w:r>
        <w:t xml:space="preserve">– Der Mensch überwacht oder gibt kritische Entscheidungen frei, insbesondere bei KI-Systemen. (9, 10)</w:t>
      </w:r>
    </w:p>
    <w:p>
      <w:pPr>
        <w:pStyle w:val="BodyText"/>
      </w:pPr>
      <w:r>
        <w:rPr>
          <w:b/>
          <w:bCs/>
        </w:rPr>
        <w:t xml:space="preserve">IT/OT-Konvergenz</w:t>
      </w:r>
      <w:r>
        <w:t xml:space="preserve"> </w:t>
      </w:r>
      <w:r>
        <w:t xml:space="preserve">– Zusammenwachsen von IT- und OT-Systemen durch Cloud, IIoT und gemeinsame Netze. (9)</w:t>
      </w:r>
    </w:p>
    <w:p>
      <w:pPr>
        <w:pStyle w:val="BodyText"/>
      </w:pPr>
      <w:r>
        <w:rPr>
          <w:b/>
          <w:bCs/>
        </w:rPr>
        <w:t xml:space="preserve">Legacy-System</w:t>
      </w:r>
      <w:r>
        <w:t xml:space="preserve"> </w:t>
      </w:r>
      <w:r>
        <w:t xml:space="preserve">– Altes, oft nicht mehr aktualisierbares System mit langem Lebenszyklus. (9)</w:t>
      </w:r>
    </w:p>
    <w:p>
      <w:pPr>
        <w:pStyle w:val="BodyText"/>
      </w:pPr>
      <w:r>
        <w:rPr>
          <w:b/>
          <w:bCs/>
        </w:rPr>
        <w:t xml:space="preserve">Model Drift</w:t>
      </w:r>
      <w:r>
        <w:t xml:space="preserve"> </w:t>
      </w:r>
      <w:r>
        <w:t xml:space="preserve">– Schleichende Veränderung von Datenmustern, die ein Modell unbemerkt ungenau werden lässt. (9)</w:t>
      </w:r>
    </w:p>
    <w:p>
      <w:pPr>
        <w:pStyle w:val="BodyText"/>
      </w:pPr>
      <w:r>
        <w:rPr>
          <w:b/>
          <w:bCs/>
        </w:rPr>
        <w:t xml:space="preserve">Predictive Maintenance</w:t>
      </w:r>
      <w:r>
        <w:t xml:space="preserve"> </w:t>
      </w:r>
      <w:r>
        <w:t xml:space="preserve">– KI-gestützte Vorhersage von Ausfällen anhand von Sensordaten. (9)</w:t>
      </w:r>
    </w:p>
    <w:p>
      <w:pPr>
        <w:pStyle w:val="BodyText"/>
      </w:pPr>
      <w:r>
        <w:rPr>
          <w:b/>
          <w:bCs/>
        </w:rPr>
        <w:t xml:space="preserve">Prompt-Poisoning</w:t>
      </w:r>
      <w:r>
        <w:t xml:space="preserve"> </w:t>
      </w:r>
      <w:r>
        <w:t xml:space="preserve">– Manipulation von Eingaben, um generative KI zu unerwünschtem Verhalten zu bewegen. (9)</w:t>
      </w:r>
    </w:p>
    <w:p>
      <w:pPr>
        <w:pStyle w:val="BodyText"/>
      </w:pPr>
      <w:r>
        <w:rPr>
          <w:b/>
          <w:bCs/>
        </w:rPr>
        <w:t xml:space="preserve">Purdue-Modell (ISA-95)</w:t>
      </w:r>
      <w:r>
        <w:t xml:space="preserve"> </w:t>
      </w:r>
      <w:r>
        <w:t xml:space="preserve">– Referenzmodell, das industrielle Systeme in Ebenen von physischen Prozessen (Level 0) bis zu externen Partnern und Cloud (Level 5) gliedert. (9)</w:t>
      </w:r>
    </w:p>
    <w:p>
      <w:pPr>
        <w:pStyle w:val="BodyText"/>
      </w:pPr>
      <w:r>
        <w:rPr>
          <w:b/>
          <w:bCs/>
        </w:rPr>
        <w:t xml:space="preserve">Wallet DoS</w:t>
      </w:r>
      <w:r>
        <w:t xml:space="preserve"> </w:t>
      </w:r>
      <w:r>
        <w:t xml:space="preserve">– Angriff, der durch übermäßige API-Nutzung Credits oder Guthaben eines Dienstanbieters aufbraucht und finanziellen Schaden verursacht. (9)</w:t>
      </w:r>
    </w:p>
    <w:bookmarkEnd w:id="21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474" w:footer="567" w:header="567" w:left="1417" w:right="1417" w:top="181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8" w:space="4" w:color="4472C4"/>
      </w:pBdr>
      <w:tabs>
        <w:tab w:pos="9072" w:val="right"/>
      </w:tabs>
    </w:pPr>
    <w:r/>
    <w:r>
      <w:rPr>
        <w:color w:val="404040"/>
        <w:sz w:val="15"/>
      </w:rPr>
      <w:t>DIRK LOOMANS · VORLESUNGSSKRIPT GRUNDLAGEN DER RESILIENZ · HOCHSCHULE MAINZ</w:t>
      <w:tab/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drawing>
        <wp:inline xmlns:a="http://schemas.openxmlformats.org/drawingml/2006/main" xmlns:pic="http://schemas.openxmlformats.org/drawingml/2006/picture">
          <wp:extent cx="1093750" cy="45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sm-wirtschaft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3750" cy="45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/>
      <w:b/>
      <w:color w:val="2F5496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hAnsi="Calibri"/>
      <w:b w:val="0"/>
      <w:color w:val="2F5496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hAnsi="Calibri"/>
      <w:b/>
      <w:color w:val="2F5496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hAnsi="Calibri"/>
      <w:b/>
      <w:color w:val="2F5496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hAnsi="Calibri"/>
      <w:b/>
      <w:color w:val="2F549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Glossar</dc:title>
  <dc:creator>Prof. Dr. Dirk Loomans</dc:creator>
  <dc:language>de</dc:language>
  <cp:keywords/>
  <dcterms:created xsi:type="dcterms:W3CDTF">2026-10-24T11:00:25Z</dcterms:created>
  <dcterms:modified xsi:type="dcterms:W3CDTF">2026-10-24T11:00:25Z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29. September 2026</vt:lpwstr>
  </property>
  <property fmtid="{D5CDD505-2E9C-101B-9397-08002B2CF9AE}" pid="7" name="date-format">
    <vt:lpwstr>D. MMMM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reference-section-title">
    <vt:lpwstr>Literatur</vt:lpwstr>
  </property>
  <property fmtid="{D5CDD505-2E9C-101B-9397-08002B2CF9AE}" pid="13" name="toc-title">
    <vt:lpwstr>Inhaltsverzeichnis</vt:lpwstr>
  </property>
</Properties>
</file>