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Grundlagen der Resilienz: Safety &amp; Security</w:t>
      </w:r>
    </w:p>
    <w:p>
      <w:pPr>
        <w:pStyle w:val="Subtitle"/>
      </w:pPr>
      <w:r>
        <w:t xml:space="preserve">Vorlesungsskript · Sitzung 1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19" w:name="einleitung-und-lernziele"/>
    <w:p>
      <w:pPr>
        <w:pStyle w:val="Heading1"/>
      </w:pPr>
      <w:r>
        <w:t xml:space="preserve">1. Einleitung und Lernziele</w:t>
      </w:r>
    </w:p>
    <w:p>
      <w:pPr>
        <w:pStyle w:val="FirstParagraph"/>
      </w:pPr>
      <w:r>
        <w:t xml:space="preserve">Dieses Skript begleitet die erste Sitzung des Moduls „Grundlagen der Resilienz“. Ziel ist es, einen wissenschaftlich fundierten, aber anwendungsnahen Einstieg in die Terminologie und Basiskonzepte von Resilienz zu vermitteln und diese in den Kontext der Cyber Security einzuordnen.</w:t>
      </w:r>
    </w:p>
    <w:p>
      <w:pPr>
        <w:pStyle w:val="BodyText"/>
      </w:pPr>
      <w:r>
        <w:t xml:space="preserve">Lernziele:</w:t>
      </w:r>
    </w:p>
    <w:p>
      <w:pPr>
        <w:numPr>
          <w:ilvl w:val="0"/>
          <w:numId w:val="1001"/>
        </w:numPr>
      </w:pPr>
      <w:r>
        <w:t xml:space="preserve">den Begriff der Resilienz definieren und von Robustheit, Zuverlässigkeit und Sicherheit abgrenzen;</w:t>
      </w:r>
    </w:p>
    <w:p>
      <w:pPr>
        <w:numPr>
          <w:ilvl w:val="0"/>
          <w:numId w:val="1001"/>
        </w:numPr>
      </w:pPr>
      <w:r>
        <w:t xml:space="preserve">den Unterschied zwischen Safety (Betriebssicherheit) und Security (Angriffssicherheit) erläutern;</w:t>
      </w:r>
    </w:p>
    <w:p>
      <w:pPr>
        <w:numPr>
          <w:ilvl w:val="0"/>
          <w:numId w:val="1001"/>
        </w:numPr>
      </w:pPr>
      <w:r>
        <w:t xml:space="preserve">technische und organisatorische Resilienzprinzipien benennen und anwenden;</w:t>
      </w:r>
    </w:p>
    <w:p>
      <w:pPr>
        <w:numPr>
          <w:ilvl w:val="0"/>
          <w:numId w:val="1001"/>
        </w:numPr>
      </w:pPr>
      <w:r>
        <w:t xml:space="preserve">Resilienz in Cyber-Security-Management, Business Continuity und Incident Response einordnen.</w:t>
      </w:r>
    </w:p>
    <w:bookmarkEnd w:id="19"/>
    <w:bookmarkStart w:id="20" w:name="begriff-und-bedeutung-von-resilienz"/>
    <w:p>
      <w:pPr>
        <w:pStyle w:val="Heading1"/>
      </w:pPr>
      <w:r>
        <w:t xml:space="preserve">2. Begriff und Bedeutung von Resilienz</w:t>
      </w:r>
    </w:p>
    <w:p>
      <w:pPr>
        <w:pStyle w:val="FirstParagraph"/>
      </w:pPr>
      <w:r>
        <w:t xml:space="preserve">Resilienz bezeichnet die Fähigkeit eines Systems, trotz interner oder externer Störungen funktionsfähig zu bleiben, die Funktionsfähigkeit rasch wiederherzustellen und sich im Zeitverlauf anzupassen. In der Cyber-Sicherheit ergänzt Resilienz die klassische Prävention um frühzeitiges Erkennen (Detection), wirksame Reaktion (Response) und schnelle Wiederherstellung (Recovery), vgl. NIST SP 800-160 Vol. 2.</w:t>
      </w:r>
    </w:p>
    <w:bookmarkEnd w:id="20"/>
    <w:bookmarkStart w:id="21" w:name="historische-und-theoretische-grundlagen"/>
    <w:p>
      <w:pPr>
        <w:pStyle w:val="Heading1"/>
      </w:pPr>
      <w:r>
        <w:t xml:space="preserve">3. Historische und theoretische Grundlagen</w:t>
      </w:r>
    </w:p>
    <w:p>
      <w:pPr>
        <w:pStyle w:val="FirstParagraph"/>
      </w:pPr>
      <w:r>
        <w:t xml:space="preserve">Der Resilienzbegriff hat Wurzeln in Materialwissenschaft, Psychologie und Systemtheorie. Resilience Engineering (Hollnagel, Woods &amp; Leveson, 2006) betont vier Fähigkeiten soziotechnischer Systeme: anticipate, monitor, respond, learn.</w:t>
      </w:r>
    </w:p>
    <w:bookmarkEnd w:id="21"/>
    <w:bookmarkStart w:id="22" w:name="abgrenzung-von-safety-und-security"/>
    <w:p>
      <w:pPr>
        <w:pStyle w:val="Heading1"/>
      </w:pPr>
      <w:r>
        <w:t xml:space="preserve">4. Abgrenzung von Safety und Security</w:t>
      </w:r>
    </w:p>
    <w:p>
      <w:pPr>
        <w:pStyle w:val="FirstParagraph"/>
      </w:pPr>
      <w:r>
        <w:t xml:space="preserve">Safety: Schutz vor unbeabsichtigten Ereignissen/Fehlern (z. B. Hardwaredefekte, Stromausfall).</w:t>
      </w:r>
    </w:p>
    <w:p>
      <w:pPr>
        <w:pStyle w:val="BodyText"/>
      </w:pPr>
      <w:r>
        <w:t xml:space="preserve">Security: Schutz vor absichtlichen, intelligenten Bedrohungen (z. B. Ransomware, Social Engineering).</w:t>
      </w:r>
    </w:p>
    <w:p>
      <w:pPr>
        <w:pStyle w:val="BodyText"/>
      </w:pPr>
      <w:r>
        <w:t xml:space="preserve">Resilienz integriert beide Perspektiven und adressiert Übergänge in vernetzten OT/IoT-Kontexten.</w:t>
      </w:r>
    </w:p>
    <w:bookmarkEnd w:id="22"/>
    <w:bookmarkStart w:id="23" w:name="Xecbe0aa017626719027284eb78a30d91760fa4b"/>
    <w:p>
      <w:pPr>
        <w:pStyle w:val="Heading1"/>
      </w:pPr>
      <w:r>
        <w:t xml:space="preserve">5. Technische und organisatorische Prinzipien der Resilienz</w:t>
      </w:r>
    </w:p>
    <w:p>
      <w:pPr>
        <w:numPr>
          <w:ilvl w:val="0"/>
          <w:numId w:val="1002"/>
        </w:numPr>
      </w:pPr>
      <w:r>
        <w:t xml:space="preserve">Redundanz (Mehrfachressourcen, Multi-AZ/Region).</w:t>
      </w:r>
    </w:p>
    <w:p>
      <w:pPr>
        <w:numPr>
          <w:ilvl w:val="0"/>
          <w:numId w:val="1002"/>
        </w:numPr>
      </w:pPr>
      <w:r>
        <w:t xml:space="preserve">Diversität (heterogene Implementierungen, Lieferantenvielfalt).</w:t>
      </w:r>
    </w:p>
    <w:p>
      <w:pPr>
        <w:numPr>
          <w:ilvl w:val="0"/>
          <w:numId w:val="1002"/>
        </w:numPr>
      </w:pPr>
      <w:r>
        <w:t xml:space="preserve">Wiederherstellbarkeit (geplante, getestete und automatisierte Wiederanlaufprozesse) – vgl. ISO/IEC 27031, BSI 200-4.</w:t>
      </w:r>
    </w:p>
    <w:p>
      <w:pPr>
        <w:numPr>
          <w:ilvl w:val="0"/>
          <w:numId w:val="1002"/>
        </w:numPr>
      </w:pPr>
      <w:r>
        <w:t xml:space="preserve">Adaptivität (dynamische Anpassung, Skalierung, Chaos-Engineering als Testmethode).</w:t>
      </w:r>
    </w:p>
    <w:bookmarkEnd w:id="23"/>
    <w:bookmarkStart w:id="24" w:name="Xdf228679cde64f5bee6cb11d6e3e1ca057513b0"/>
    <w:p>
      <w:pPr>
        <w:pStyle w:val="Heading1"/>
      </w:pPr>
      <w:r>
        <w:t xml:space="preserve">6. Systemische und physikalische Perspektive</w:t>
      </w:r>
    </w:p>
    <w:p>
      <w:pPr>
        <w:pStyle w:val="FirstParagraph"/>
      </w:pPr>
      <w:r>
        <w:t xml:space="preserve">Resilienz als Fähigkeit zur Rückkehr in einen akzeptablen Funktionszustand nach Auslenkung (Analogie: gedämpfter Schwingkreis). In IT-Systemen übernehmen Kontrollschleifen (Monitoring, Alerting, Autoscaling) die Rolle von Regelkreisen.</w:t>
      </w:r>
    </w:p>
    <w:bookmarkEnd w:id="24"/>
    <w:bookmarkStart w:id="29" w:name="resilienz-im-kontext-der-cyber-security"/>
    <w:p>
      <w:pPr>
        <w:pStyle w:val="Heading1"/>
      </w:pPr>
      <w:r>
        <w:t xml:space="preserve">7. Resilienz im Kontext der Cyber Security</w:t>
      </w:r>
    </w:p>
    <w:p>
      <w:pPr>
        <w:pStyle w:val="FirstParagraph"/>
      </w:pPr>
      <w:r>
        <w:t xml:space="preserve">NIST SP 800-160 Vol. 2 operationalisiert Resilienz u. a. über resist, recover, re-constitute, re-architect. ISO/IEC 27031 adressiert ICT Readiness for BC; der BSI-Standard 200-4 fokussiert BCM; ENISA veröffentlicht sektorspezifische Resilienz-Leitfäden.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dirkl\Tools\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NIST SP 800-160 Vol. 2 Rev. 1 (2021) definiert Cyber-Resilienz über die Ziele</w:t>
            </w:r>
            <w:r>
              <w:t xml:space="preserve"> </w:t>
            </w:r>
            <w:r>
              <w:rPr>
                <w:i/>
                <w:iCs/>
              </w:rPr>
              <w:t xml:space="preserve">Anticipate, Withstand, Recover, Adapt</w:t>
            </w:r>
            <w:r>
              <w:t xml:space="preserve"> </w:t>
            </w:r>
            <w:r>
              <w:t xml:space="preserve">(Ross u. a. 2021)</w:t>
            </w:r>
            <w:r>
              <w:t xml:space="preserve">. Die hier verwendeten Begriffe (resist, re-constitute u. a.) stammen aus älteren Fassungen bzw. der Terminologie der Lehrveranstaltung. ISO/IEC 27031 ist 2025 neu erschienen („Cybersecurity – Information and communication technology readiness for business continuity“)</w:t>
            </w:r>
            <w:r>
              <w:t xml:space="preserve"> </w:t>
            </w:r>
            <w:r>
              <w:t xml:space="preserve">(ISO/IEC 27031 2025)</w:t>
            </w:r>
            <w:r>
              <w:t xml:space="preserve">. Siehe</w:t>
            </w:r>
            <w:r>
              <w:t xml:space="preserve"> </w:t>
            </w:r>
            <w:hyperlink r:id="rId28">
              <w:r>
                <w:rPr>
                  <w:rStyle w:val="Hyperlink"/>
                </w:rPr>
                <w:t xml:space="preserve">Quellen, Hinweis 1</w:t>
              </w:r>
            </w:hyperlink>
            <w:r>
              <w:t xml:space="preserve">,</w:t>
            </w:r>
            <w:r>
              <w:t xml:space="preserve"> </w:t>
            </w:r>
            <w:hyperlink r:id="rId28">
              <w:r>
                <w:rPr>
                  <w:rStyle w:val="Hyperlink"/>
                </w:rPr>
                <w:t xml:space="preserve">Quellen, Hinweis 2</w:t>
              </w:r>
            </w:hyperlink>
            <w:r>
              <w:t xml:space="preserve">.</w:t>
            </w:r>
          </w:p>
          <w:p/>
        </w:tc>
      </w:tr>
    </w:tbl>
    <w:bookmarkEnd w:id="29"/>
    <w:bookmarkStart w:id="30" w:name="praxisbeispiele-und-fallstudien"/>
    <w:p>
      <w:pPr>
        <w:pStyle w:val="Heading1"/>
      </w:pPr>
      <w:r>
        <w:t xml:space="preserve">8. Praxisbeispiele und Fallstudien</w:t>
      </w:r>
    </w:p>
    <w:p>
      <w:pPr>
        <w:pStyle w:val="FirstParagraph"/>
      </w:pPr>
      <w:r>
        <w:t xml:space="preserve">Ransomware in einer Verwaltung: Koordiniertes Incident- und Krisenmanagement, offline verifizierte Backups, priorisierter Wiederanlauf gemäß BCM-Plan (BSI 200-4).</w:t>
      </w:r>
    </w:p>
    <w:p>
      <w:pPr>
        <w:pStyle w:val="BodyText"/>
      </w:pPr>
      <w:r>
        <w:t xml:space="preserve">DDoS auf Online-Dienst: Anycast/CDN/WAF, elastische Skalierung, transparente Status-Kommunikation; Übungen (Game Days).</w:t>
      </w:r>
    </w:p>
    <w:p>
      <w:pPr>
        <w:pStyle w:val="BodyText"/>
      </w:pPr>
      <w:r>
        <w:t xml:space="preserve">Smart Home/OT: Safety-Ereignis → Security-Vektor; Segmentierung, sichere Updates, Fail-Safe-Modi.</w:t>
      </w:r>
    </w:p>
    <w:bookmarkEnd w:id="30"/>
    <w:bookmarkStart w:id="31" w:name="übung-safety-oder-security"/>
    <w:p>
      <w:pPr>
        <w:pStyle w:val="Heading1"/>
      </w:pPr>
      <w:r>
        <w:t xml:space="preserve">9. Übung: Safety oder Security?</w:t>
      </w:r>
    </w:p>
    <w:p>
      <w:pPr>
        <w:pStyle w:val="FirstParagraph"/>
      </w:pPr>
      <w:r>
        <w:t xml:space="preserve">Analysieren Sie ein Szenario (Cloud-Gaming, Krankenhaus-IT, Smart Home, autonomes Fahrzeug, Banking-App). Identifizieren Sie Safety- und Security-Risiken, schlagen Sie Resilienzmaßnahmen vor und priorisieren Sie kritische Funktionen.</w:t>
      </w:r>
    </w:p>
    <w:bookmarkEnd w:id="31"/>
    <w:bookmarkStart w:id="32" w:name="zusammenfassung-und-ausblick"/>
    <w:p>
      <w:pPr>
        <w:pStyle w:val="Heading1"/>
      </w:pPr>
      <w:r>
        <w:t xml:space="preserve">10. Zusammenfassung und Ausblick</w:t>
      </w:r>
    </w:p>
    <w:p>
      <w:pPr>
        <w:pStyle w:val="FirstParagraph"/>
      </w:pPr>
      <w:r>
        <w:t xml:space="preserve">Resilienz erweitert die klassische Sicherheit um Anpassungs- und Wiederherstellungsfähigkeit. Safety und Security beeinflussen Resilienz gleichermaßen. Technische und organisatorische Prinzipien müssen zusammenwirken. In Sitzung 2 werden Modelle und Metriken (RTO/RPO, MTTR, SLOs) vertieft.</w:t>
      </w:r>
    </w:p>
    <w:bookmarkEnd w:id="32"/>
    <w:bookmarkStart w:id="33" w:name="prüfungsrelevanz-lernfragen-kernpunkte"/>
    <w:p>
      <w:pPr>
        <w:pStyle w:val="Heading1"/>
      </w:pPr>
      <w:r>
        <w:t xml:space="preserve">11. Prüfungsrelevanz – Lernfragen &amp; Kernpunkte</w:t>
      </w:r>
    </w:p>
    <w:p>
      <w:pPr>
        <w:pStyle w:val="FirstParagraph"/>
      </w:pPr>
      <w:r>
        <w:t xml:space="preserve">Beispielfragen:</w:t>
      </w:r>
    </w:p>
    <w:p>
      <w:pPr>
        <w:numPr>
          <w:ilvl w:val="0"/>
          <w:numId w:val="1003"/>
        </w:numPr>
      </w:pPr>
      <w:r>
        <w:t xml:space="preserve">Definieren Sie Resilienz im Kontext von IT-Systemen und grenzen Sie den Begriff von Robustheit ab.</w:t>
      </w:r>
    </w:p>
    <w:p>
      <w:pPr>
        <w:numPr>
          <w:ilvl w:val="0"/>
          <w:numId w:val="1003"/>
        </w:numPr>
      </w:pPr>
      <w:r>
        <w:t xml:space="preserve">Erläutern Sie den Unterschied zwischen Safety und Security und nennen Sie je ein Beispiel aus IT/OT.</w:t>
      </w:r>
    </w:p>
    <w:p>
      <w:pPr>
        <w:numPr>
          <w:ilvl w:val="0"/>
          <w:numId w:val="1003"/>
        </w:numPr>
      </w:pPr>
      <w:r>
        <w:t xml:space="preserve">Nennen und erklären Sie drei technische Prinzipien, die Resilienz erhöhen (mit kurzen Beispielen).</w:t>
      </w:r>
    </w:p>
    <w:p>
      <w:pPr>
        <w:numPr>
          <w:ilvl w:val="0"/>
          <w:numId w:val="1003"/>
        </w:numPr>
      </w:pPr>
      <w:r>
        <w:t xml:space="preserve">Skizzieren Sie die Rolle von ISO/IEC 27031 und BSI-Standard 200-4 für Wiederanlauf und BCM.</w:t>
      </w:r>
    </w:p>
    <w:p>
      <w:pPr>
        <w:numPr>
          <w:ilvl w:val="0"/>
          <w:numId w:val="1003"/>
        </w:numPr>
      </w:pPr>
      <w:r>
        <w:t xml:space="preserve">Beschreiben Sie den Detect–Respond–Recover-Gedanken nach NIST SP 800-160 Vol. 2.</w:t>
      </w:r>
    </w:p>
    <w:p>
      <w:pPr>
        <w:pStyle w:val="FirstParagraph"/>
      </w:pPr>
      <w:r>
        <w:t xml:space="preserve">Kernpunkte:</w:t>
      </w:r>
    </w:p>
    <w:p>
      <w:pPr>
        <w:numPr>
          <w:ilvl w:val="0"/>
          <w:numId w:val="1004"/>
        </w:numPr>
      </w:pPr>
      <w:r>
        <w:t xml:space="preserve">„Sicherheit schützt – Resilienz überlebt.“ Prävention ist notwendig, aber nicht hinreichend.</w:t>
      </w:r>
    </w:p>
    <w:p>
      <w:pPr>
        <w:numPr>
          <w:ilvl w:val="0"/>
          <w:numId w:val="1004"/>
        </w:numPr>
      </w:pPr>
      <w:r>
        <w:t xml:space="preserve">Safety und Security adressieren unterschiedliche Ursachen – Resilienz integriert beide Perspektiven.</w:t>
      </w:r>
    </w:p>
    <w:p>
      <w:pPr>
        <w:numPr>
          <w:ilvl w:val="0"/>
          <w:numId w:val="1004"/>
        </w:numPr>
      </w:pPr>
      <w:r>
        <w:t xml:space="preserve">Design for Failure: Redundanz, Diversität, Wiederherstellbarkeit und Adaptivität sind Leitplanken.</w:t>
      </w:r>
    </w:p>
    <w:p>
      <w:pPr>
        <w:numPr>
          <w:ilvl w:val="0"/>
          <w:numId w:val="1004"/>
        </w:numPr>
      </w:pPr>
      <w:r>
        <w:t xml:space="preserve">Resilienz erfordert Technik, Prozesse und Menschen – und lebt von Übung und Lernen.</w:t>
      </w:r>
    </w:p>
    <w:p>
      <w:pPr>
        <w:pStyle w:val="FirstParagraph"/>
      </w:pPr>
      <w:r>
        <w:rPr>
          <w:b/>
          <w:bCs/>
        </w:rPr>
        <w:t xml:space="preserve">Literatur und Normen (Auswahl)</w:t>
      </w:r>
    </w:p>
    <w:p>
      <w:pPr>
        <w:numPr>
          <w:ilvl w:val="0"/>
          <w:numId w:val="1005"/>
        </w:numPr>
      </w:pPr>
      <w:r>
        <w:t xml:space="preserve">NIST SP 800-160 Vol. 2: Developing Cyber-Resilient Systems (Systems Security Engineering). National Institute of Standards and Technology.</w:t>
      </w:r>
    </w:p>
    <w:p>
      <w:pPr>
        <w:numPr>
          <w:ilvl w:val="0"/>
          <w:numId w:val="1005"/>
        </w:numPr>
      </w:pPr>
      <w:r>
        <w:t xml:space="preserve">ISO/IEC 27031: Guidelines for ICT Readiness for Business Continuity (IRBC). International Organization for Standardization / IEC.</w:t>
      </w:r>
    </w:p>
    <w:p>
      <w:pPr>
        <w:numPr>
          <w:ilvl w:val="0"/>
          <w:numId w:val="1005"/>
        </w:numPr>
      </w:pPr>
      <w:r>
        <w:t xml:space="preserve">BSI-Standard 200-4: Business Continuity Management. Bundesamt für Sicherheit in der Informationstechnik.</w:t>
      </w:r>
    </w:p>
    <w:p>
      <w:pPr>
        <w:numPr>
          <w:ilvl w:val="0"/>
          <w:numId w:val="1005"/>
        </w:numPr>
      </w:pPr>
      <w:r>
        <w:t xml:space="preserve">Hollnagel, E.; Woods, D. D.; Leveson, N. (2006): Resilience Engineering: Concepts and Precepts. Ashgate.</w:t>
      </w:r>
    </w:p>
    <w:p>
      <w:pPr>
        <w:numPr>
          <w:ilvl w:val="0"/>
          <w:numId w:val="1005"/>
        </w:numPr>
      </w:pPr>
      <w:r>
        <w:t xml:space="preserve">ENISA: Reports zur Cybersecurity- und Resilienz kritischer Infrastrukturen.</w:t>
      </w:r>
    </w:p>
    <w:bookmarkEnd w:id="33"/>
    <w:bookmarkStart w:id="39" w:name="bibliography"/>
    <w:p>
      <w:pPr>
        <w:pStyle w:val="Heading1"/>
      </w:pPr>
      <w:r>
        <w:t xml:space="preserve">Literatur</w:t>
      </w:r>
    </w:p>
    <w:bookmarkStart w:id="38" w:name="refs"/>
    <w:bookmarkStart w:id="35" w:name="ref-iso27031"/>
    <w:p>
      <w:pPr>
        <w:pStyle w:val="Bibliography"/>
      </w:pPr>
      <w:r>
        <w:t xml:space="preserve">ISO/IEC 27031:2025 Cybersecurity – Information and Communication Technology Readiness for Business Continuity (2025).</w:t>
      </w:r>
      <w:r>
        <w:t xml:space="preserve"> </w:t>
      </w:r>
      <w:hyperlink r:id="rId34">
        <w:r>
          <w:rPr>
            <w:rStyle w:val="Hyperlink"/>
          </w:rPr>
          <w:t xml:space="preserve">https://www.iso.org/standard/27031</w:t>
        </w:r>
      </w:hyperlink>
      <w:r>
        <w:t xml:space="preserve">.</w:t>
      </w:r>
    </w:p>
    <w:bookmarkEnd w:id="35"/>
    <w:bookmarkStart w:id="37" w:name="ref-nist800160v2r1"/>
    <w:p>
      <w:pPr>
        <w:pStyle w:val="Bibliography"/>
      </w:pPr>
      <w:r>
        <w:t xml:space="preserve">Ross, Ron, Victoria Pillitteri, Richard Graubart, Deborah Bodeau, und Rosalie McQuaid. 2021.</w:t>
      </w:r>
      <w:r>
        <w:t xml:space="preserve"> </w:t>
      </w:r>
      <w:r>
        <w:rPr>
          <w:i/>
          <w:iCs/>
        </w:rPr>
        <w:t xml:space="preserve">Developing Cyber-Resilient Systems: A Systems Security Engineering Approach</w:t>
      </w:r>
      <w:r>
        <w:t xml:space="preserve">. NIST Special Publication 800-160 Vol. 2 Rev. 1. National Institute of Standards; Technology.</w:t>
      </w:r>
      <w:r>
        <w:t xml:space="preserve"> </w:t>
      </w:r>
      <w:hyperlink r:id="rId36">
        <w:r>
          <w:rPr>
            <w:rStyle w:val="Hyperlink"/>
          </w:rPr>
          <w:t xml:space="preserve">https://doi.org/10.6028/NIST.SP.800-160v2r1</w:t>
        </w:r>
      </w:hyperlink>
      <w:r>
        <w:t xml:space="preserve">.</w:t>
      </w:r>
    </w:p>
    <w:bookmarkEnd w:id="37"/>
    <w:bookmarkEnd w:id="38"/>
    <w:bookmarkEnd w:id="39"/>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5" Target="media/rId25.png" /><Relationship Type="http://schemas.openxmlformats.org/officeDocument/2006/relationships/hyperlink" Id="rId28" Target="../quellen.html#hinweise-zur-aktualit&#228;t" TargetMode="External" /><Relationship Type="http://schemas.openxmlformats.org/officeDocument/2006/relationships/hyperlink" Id="rId36" Target="https://doi.org/10.6028/NIST.SP.800-160v2r1" TargetMode="External" /><Relationship Type="http://schemas.openxmlformats.org/officeDocument/2006/relationships/hyperlink" Id="rId34" Target="https://www.iso.org/standard/27031" TargetMode="External" /></Relationships>
</file>

<file path=word/_rels/footnotes.xml.rels><?xml version="1.0" encoding="UTF-8"?><Relationships xmlns="http://schemas.openxmlformats.org/package/2006/relationships"><Relationship Type="http://schemas.openxmlformats.org/officeDocument/2006/relationships/hyperlink" Id="rId28" Target="../quellen.html#hinweise-zur-aktualit&#228;t" TargetMode="External" /><Relationship Type="http://schemas.openxmlformats.org/officeDocument/2006/relationships/hyperlink" Id="rId36" Target="https://doi.org/10.6028/NIST.SP.800-160v2r1" TargetMode="External" /><Relationship Type="http://schemas.openxmlformats.org/officeDocument/2006/relationships/hyperlink" Id="rId34" Target="https://www.iso.org/standard/27031"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 der Resilienz: Safety &amp; Security</dc:title>
  <dc:creator>Prof. Dr. Dirk Loomans</dc:creator>
  <dc:language>de</dc:language>
  <cp:keywords/>
  <dcterms:created xsi:type="dcterms:W3CDTF">2026-10-24T11:01:26Z</dcterms:created>
  <dcterms:modified xsi:type="dcterms:W3CDTF">2026-10-24T11:01:26Z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1 · Grundlagen der Resilienz</vt:lpwstr>
  </property>
  <property fmtid="{D5CDD505-2E9C-101B-9397-08002B2CF9AE}" pid="14" name="toc-title">
    <vt:lpwstr>Inhaltsverzeichnis</vt:lpwstr>
  </property>
</Properties>
</file>