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Zukunft der Resilienz</w:t>
      </w:r>
    </w:p>
    <w:p>
      <w:pPr>
        <w:pStyle w:val="Subtitle"/>
      </w:pPr>
      <w:r>
        <w:t xml:space="preserve">Vorlesungsskript · Sitzung 10 · Grundlagen der Resilienz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p>
      <w:pPr>
        <w:pStyle w:val="BodyText"/>
      </w:pPr>
      <w:r>
        <w:t xml:space="preserve">Die mit „Hinweis zur Aktualität“ und „Ergänzung zur Vorlesung“ markierten Kästen sowie die Abbildungen wurden bei der Überführung ins Quarto-Projekt ergänzt. Der übrige Text entspricht dem Skript aus dem Wintersemester 2025/26; korrigiert wurden nur Tipp- und Umbruchfehler.</w:t>
      </w:r>
    </w:p>
    <w:bookmarkStart w:id="22" w:name="Xf15e4dc2539b79a9669c93cb25a504e7336eea5"/>
    <w:p>
      <w:pPr>
        <w:pStyle w:val="Heading1"/>
      </w:pPr>
      <w:r>
        <w:t xml:space="preserve">Kapitel 1: Einordnung und Zielsetzung der Sitzung</w:t>
      </w:r>
    </w:p>
    <w:bookmarkStart w:id="19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Die bisherigen Sitzungen der Vorlesung haben Resilienz als Fähigkeit von Systemen, Organisationen und Menschen verstanden,</w:t>
      </w:r>
      <w:r>
        <w:t xml:space="preserve"> </w:t>
      </w:r>
      <w:r>
        <w:rPr>
          <w:b/>
          <w:bCs/>
        </w:rPr>
        <w:t xml:space="preserve">Störungen zu bewältigen, sich zu erholen und aus Krisen zu lernen</w:t>
      </w:r>
      <w:r>
        <w:t xml:space="preserve">.</w:t>
      </w:r>
    </w:p>
    <w:p>
      <w:pPr>
        <w:pStyle w:val="BodyText"/>
      </w:pPr>
      <w:r>
        <w:t xml:space="preserve">Dieses Verständnis basierte implizit auf einer zentralen Annahme:</w:t>
      </w:r>
    </w:p>
    <w:p>
      <w:pPr>
        <w:pStyle w:val="BodyText"/>
      </w:pPr>
      <w:r>
        <w:t xml:space="preserve">dass Menschen Systeme entwerfen, betreiben und im Ernstfall die</w:t>
      </w:r>
      <w:r>
        <w:t xml:space="preserve"> </w:t>
      </w:r>
      <w:r>
        <w:rPr>
          <w:b/>
          <w:bCs/>
        </w:rPr>
        <w:t xml:space="preserve">letzte Entscheidungsinstanz</w:t>
      </w:r>
      <w:r>
        <w:t xml:space="preserve"> </w:t>
      </w:r>
      <w:r>
        <w:t xml:space="preserve">darstellen.</w:t>
      </w:r>
    </w:p>
    <w:p>
      <w:pPr>
        <w:pStyle w:val="BodyText"/>
      </w:pPr>
      <w:r>
        <w:t xml:space="preserve">Aktuelle technologische Entwicklungen stellen diese Annahme jedoch zunehmend infrage. Insbesondere drei Entwicklungen wirken dabei zusammen: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Quantencomputing</w:t>
      </w:r>
      <w:r>
        <w:t xml:space="preserve">, das bestehende Vertrauensannahmen in Kryptografie zeitlich untergräbt,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autonome und lernende Systeme</w:t>
      </w:r>
      <w:r>
        <w:t xml:space="preserve">, die Entscheidungen selbstständig und mit hoher Geschwindigkeit treffen,</w:t>
      </w:r>
    </w:p>
    <w:p>
      <w:pPr>
        <w:numPr>
          <w:ilvl w:val="0"/>
          <w:numId w:val="1001"/>
        </w:numPr>
      </w:pPr>
      <w:r>
        <w:t xml:space="preserve">sowie die</w:t>
      </w:r>
      <w:r>
        <w:t xml:space="preserve"> </w:t>
      </w:r>
      <w:r>
        <w:rPr>
          <w:b/>
          <w:bCs/>
        </w:rPr>
        <w:t xml:space="preserve">gesellschaftlichen und ethischen Implikationen</w:t>
      </w:r>
      <w:r>
        <w:t xml:space="preserve"> </w:t>
      </w:r>
      <w:r>
        <w:t xml:space="preserve">solcher Systeme, insbesondere bei kritischen Infrastrukturen.</w:t>
      </w:r>
    </w:p>
    <w:p>
      <w:pPr>
        <w:pStyle w:val="FirstParagraph"/>
      </w:pPr>
      <w:r>
        <w:t xml:space="preserve">Diese Sitzung zielt darauf ab, Resilienz</w:t>
      </w:r>
      <w:r>
        <w:t xml:space="preserve"> </w:t>
      </w:r>
      <w:r>
        <w:rPr>
          <w:b/>
          <w:bCs/>
        </w:rPr>
        <w:t xml:space="preserve">nicht weiter zu verengen</w:t>
      </w:r>
      <w:r>
        <w:t xml:space="preserve">, sondern bewusst zu öffnen – hin zu Fragen von Zeit, Verantwortung und Legitimität.</w:t>
      </w:r>
    </w:p>
    <w:bookmarkEnd w:id="19"/>
    <w:bookmarkStart w:id="20" w:name="lernziele-der-sitzung"/>
    <w:p>
      <w:pPr>
        <w:pStyle w:val="Heading2"/>
      </w:pPr>
      <w:r>
        <w:t xml:space="preserve">1.2 Lernziele der Sitzung</w:t>
      </w:r>
    </w:p>
    <w:p>
      <w:pPr>
        <w:pStyle w:val="FirstParagraph"/>
      </w:pPr>
      <w:r>
        <w:t xml:space="preserve">Nach Abschluss dieser Sitzung sollen die Studierenden:</w:t>
      </w:r>
    </w:p>
    <w:p>
      <w:pPr>
        <w:numPr>
          <w:ilvl w:val="0"/>
          <w:numId w:val="1002"/>
        </w:numPr>
      </w:pPr>
      <w:r>
        <w:t xml:space="preserve">verstehen, warum</w:t>
      </w:r>
      <w:r>
        <w:t xml:space="preserve"> </w:t>
      </w:r>
      <w:r>
        <w:rPr>
          <w:b/>
          <w:bCs/>
        </w:rPr>
        <w:t xml:space="preserve">zukünftige Resilienzprobleme nicht primär technischer Natur</w:t>
      </w:r>
      <w:r>
        <w:t xml:space="preserve"> </w:t>
      </w:r>
      <w:r>
        <w:t xml:space="preserve">sind,</w:t>
      </w:r>
    </w:p>
    <w:p>
      <w:pPr>
        <w:numPr>
          <w:ilvl w:val="0"/>
          <w:numId w:val="1002"/>
        </w:numPr>
      </w:pPr>
      <w:r>
        <w:t xml:space="preserve">erklären können, weshalb Quantencomputing ein</w:t>
      </w:r>
      <w:r>
        <w:t xml:space="preserve"> </w:t>
      </w:r>
      <w:r>
        <w:rPr>
          <w:b/>
          <w:bCs/>
        </w:rPr>
        <w:t xml:space="preserve">Resilienz- und kein reines Security-Thema</w:t>
      </w:r>
      <w:r>
        <w:t xml:space="preserve"> </w:t>
      </w:r>
      <w:r>
        <w:t xml:space="preserve">darstellt,</w:t>
      </w:r>
    </w:p>
    <w:p>
      <w:pPr>
        <w:numPr>
          <w:ilvl w:val="0"/>
          <w:numId w:val="1002"/>
        </w:numPr>
      </w:pPr>
      <w:r>
        <w:t xml:space="preserve">die Chancen und Risiken</w:t>
      </w:r>
      <w:r>
        <w:t xml:space="preserve"> </w:t>
      </w:r>
      <w:r>
        <w:rPr>
          <w:b/>
          <w:bCs/>
        </w:rPr>
        <w:t xml:space="preserve">autonomer Systeme</w:t>
      </w:r>
      <w:r>
        <w:t xml:space="preserve"> </w:t>
      </w:r>
      <w:r>
        <w:t xml:space="preserve">im Kontext von Resilienz einordnen können,</w:t>
      </w:r>
    </w:p>
    <w:p>
      <w:pPr>
        <w:numPr>
          <w:ilvl w:val="0"/>
          <w:numId w:val="1002"/>
        </w:numPr>
      </w:pPr>
      <w:r>
        <w:t xml:space="preserve">erkennen, dass Resilienz</w:t>
      </w:r>
      <w:r>
        <w:t xml:space="preserve"> </w:t>
      </w:r>
      <w:r>
        <w:rPr>
          <w:b/>
          <w:bCs/>
        </w:rPr>
        <w:t xml:space="preserve">gesellschaftlich wirksam und normativ geprägt</w:t>
      </w:r>
      <w:r>
        <w:t xml:space="preserve"> </w:t>
      </w:r>
      <w:r>
        <w:t xml:space="preserve">ist,</w:t>
      </w:r>
    </w:p>
    <w:p>
      <w:pPr>
        <w:numPr>
          <w:ilvl w:val="0"/>
          <w:numId w:val="1002"/>
        </w:numPr>
      </w:pPr>
      <w:r>
        <w:t xml:space="preserve">sowie zentrale</w:t>
      </w:r>
      <w:r>
        <w:t xml:space="preserve"> </w:t>
      </w:r>
      <w:r>
        <w:rPr>
          <w:b/>
          <w:bCs/>
        </w:rPr>
        <w:t xml:space="preserve">Spannungsfelder zukünftiger Resilienzentscheidungen</w:t>
      </w:r>
      <w:r>
        <w:t xml:space="preserve"> </w:t>
      </w:r>
      <w:r>
        <w:t xml:space="preserve">benennen können.</w:t>
      </w:r>
    </w:p>
    <w:bookmarkEnd w:id="20"/>
    <w:bookmarkStart w:id="21" w:name="aufbau-der-sitzung"/>
    <w:p>
      <w:pPr>
        <w:pStyle w:val="Heading2"/>
      </w:pPr>
      <w:r>
        <w:t xml:space="preserve">1.3 Aufbau der Sitzung</w:t>
      </w:r>
    </w:p>
    <w:p>
      <w:pPr>
        <w:pStyle w:val="FirstParagraph"/>
      </w:pPr>
      <w:r>
        <w:t xml:space="preserve">Die Sitzung gliedert sich in vier inhaltliche Blöcke: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Resilienz und Zeit</w:t>
      </w:r>
      <w:r>
        <w:t xml:space="preserve"> </w:t>
      </w:r>
      <w:r>
        <w:t xml:space="preserve">– Quantencomputing als Bruch klassischer Vertrauensannahmen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Resilienz und Entscheidung</w:t>
      </w:r>
      <w:r>
        <w:t xml:space="preserve"> </w:t>
      </w:r>
      <w:r>
        <w:t xml:space="preserve">– Autonome Systeme und das Resilienz-Paradoxon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Resilienz und Gesellschaft</w:t>
      </w:r>
      <w:r>
        <w:t xml:space="preserve"> </w:t>
      </w:r>
      <w:r>
        <w:t xml:space="preserve">– Ethik, Verantwortung und Akzeptanz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Zusammenführung</w:t>
      </w:r>
      <w:r>
        <w:t xml:space="preserve"> </w:t>
      </w:r>
      <w:r>
        <w:t xml:space="preserve">– Resilienz der Zukunft als Spannungsfeld</w:t>
      </w:r>
    </w:p>
    <w:p>
      <w:pPr>
        <w:pStyle w:val="FirstParagraph"/>
      </w:pPr>
      <w:r>
        <w:t xml:space="preserve">Die anschließende Übung vertieft diese Aspekte anhand eines zukunftsnahen Szenarios.</w:t>
      </w:r>
    </w:p>
    <w:bookmarkEnd w:id="21"/>
    <w:bookmarkEnd w:id="22"/>
    <w:bookmarkStart w:id="29" w:name="Xa4646db598db3aed633d332074004ca412653de"/>
    <w:p>
      <w:pPr>
        <w:pStyle w:val="Heading1"/>
      </w:pPr>
      <w:r>
        <w:t xml:space="preserve">Kapitel 2: Resilienz und Zeit – Quantencomputing als Paradigmenwechsel</w:t>
      </w:r>
    </w:p>
    <w:bookmarkStart w:id="23" w:name="Xe23e52f34d4359df59ff8a4b568e810e13d39d8"/>
    <w:p>
      <w:pPr>
        <w:pStyle w:val="Heading2"/>
      </w:pPr>
      <w:r>
        <w:t xml:space="preserve">2.1 Zeit als implizite Annahme in Resilienzmodellen</w:t>
      </w:r>
    </w:p>
    <w:p>
      <w:pPr>
        <w:pStyle w:val="FirstParagraph"/>
      </w:pPr>
      <w:r>
        <w:t xml:space="preserve">Klassische Resilienzmodelle – sowohl in der IT-Sicherheit als auch im Business Continuity Management – betrachten Störungen als</w:t>
      </w:r>
      <w:r>
        <w:t xml:space="preserve"> </w:t>
      </w:r>
      <w:r>
        <w:rPr>
          <w:b/>
          <w:bCs/>
        </w:rPr>
        <w:t xml:space="preserve">zeitlich klar abgegrenzte Ereignisse</w:t>
      </w:r>
      <w:r>
        <w:t xml:space="preserve">. Ein Angriff, ein Fehler oder ein Ausfall tritt zu einem bestimmten Zeitpunkt auf, verursacht einen messbaren Schaden und wird anschließend durch technische und organisatorische Maßnahmen adressiert.</w:t>
      </w:r>
    </w:p>
    <w:p>
      <w:pPr>
        <w:pStyle w:val="BodyText"/>
      </w:pPr>
      <w:r>
        <w:t xml:space="preserve">Diese Modelle beruhen auf mehreren impliziten zeitlichen Annahmen:</w:t>
      </w:r>
    </w:p>
    <w:p>
      <w:pPr>
        <w:numPr>
          <w:ilvl w:val="0"/>
          <w:numId w:val="1004"/>
        </w:numPr>
      </w:pPr>
      <w:r>
        <w:t xml:space="preserve">Ursachen und Wirkungen liegen</w:t>
      </w:r>
      <w:r>
        <w:t xml:space="preserve"> </w:t>
      </w:r>
      <w:r>
        <w:rPr>
          <w:b/>
          <w:bCs/>
        </w:rPr>
        <w:t xml:space="preserve">zeitlich nah beieinander</w:t>
      </w:r>
      <w:r>
        <w:t xml:space="preserve">,</w:t>
      </w:r>
    </w:p>
    <w:p>
      <w:pPr>
        <w:numPr>
          <w:ilvl w:val="0"/>
          <w:numId w:val="1004"/>
        </w:numPr>
      </w:pPr>
      <w:r>
        <w:t xml:space="preserve">die Vergangenheit gilt als</w:t>
      </w:r>
      <w:r>
        <w:t xml:space="preserve"> </w:t>
      </w:r>
      <w:r>
        <w:rPr>
          <w:b/>
          <w:bCs/>
        </w:rPr>
        <w:t xml:space="preserve">stabil und vertrauenswürdig</w:t>
      </w:r>
      <w:r>
        <w:t xml:space="preserve">,</w:t>
      </w:r>
    </w:p>
    <w:p>
      <w:pPr>
        <w:numPr>
          <w:ilvl w:val="0"/>
          <w:numId w:val="1004"/>
        </w:numPr>
      </w:pPr>
      <w:r>
        <w:t xml:space="preserve">Schutzmaßnahmen wirken</w:t>
      </w:r>
      <w:r>
        <w:t xml:space="preserve"> </w:t>
      </w:r>
      <w:r>
        <w:rPr>
          <w:b/>
          <w:bCs/>
        </w:rPr>
        <w:t xml:space="preserve">nach vorne</w:t>
      </w:r>
      <w:r>
        <w:t xml:space="preserve">, nicht rückwirkend.</w:t>
      </w:r>
    </w:p>
    <w:p>
      <w:pPr>
        <w:pStyle w:val="FirstParagraph"/>
      </w:pPr>
      <w:r>
        <w:t xml:space="preserve">Insbesondere kryptografische Verfahren werden dabei als</w:t>
      </w:r>
      <w:r>
        <w:t xml:space="preserve"> </w:t>
      </w:r>
      <w:r>
        <w:rPr>
          <w:b/>
          <w:bCs/>
        </w:rPr>
        <w:t xml:space="preserve">zeitlich robuste Vertrauensanker</w:t>
      </w:r>
      <w:r>
        <w:t xml:space="preserve"> </w:t>
      </w:r>
      <w:r>
        <w:t xml:space="preserve">verstanden:</w:t>
      </w:r>
    </w:p>
    <w:p>
      <w:pPr>
        <w:pStyle w:val="BodyText"/>
      </w:pPr>
      <w:r>
        <w:t xml:space="preserve">Digitale Signaturen, Verschlüsselung und Zertifikate sichern Daten nicht nur im Moment ihrer Entstehung, sondern auch über Jahre oder Jahrzehnte hinweg.</w:t>
      </w:r>
    </w:p>
    <w:bookmarkEnd w:id="23"/>
    <w:bookmarkStart w:id="24" w:name="quantencomputing-relevanz-ohne-physik"/>
    <w:p>
      <w:pPr>
        <w:pStyle w:val="Heading2"/>
      </w:pPr>
      <w:r>
        <w:t xml:space="preserve">2.2 Quantencomputing – Relevanz ohne Physik</w:t>
      </w:r>
    </w:p>
    <w:p>
      <w:pPr>
        <w:pStyle w:val="FirstParagraph"/>
      </w:pPr>
      <w:r>
        <w:t xml:space="preserve">Quantencomputing stellt</w:t>
      </w:r>
      <w:r>
        <w:t xml:space="preserve"> </w:t>
      </w:r>
      <w:r>
        <w:rPr>
          <w:b/>
          <w:bCs/>
        </w:rPr>
        <w:t xml:space="preserve">keinen inkrementellen Fortschritt klassischer Rechenleistung</w:t>
      </w:r>
      <w:r>
        <w:t xml:space="preserve"> </w:t>
      </w:r>
      <w:r>
        <w:t xml:space="preserve">dar, sondern eröffnet spezifische neue Rechenparadigmen.</w:t>
      </w:r>
    </w:p>
    <w:p>
      <w:pPr>
        <w:pStyle w:val="BodyText"/>
      </w:pPr>
      <w:r>
        <w:t xml:space="preserve">Für die Resilienzbetrachtung sind dabei nicht physikalische Details entscheidend, sondern die</w:t>
      </w:r>
      <w:r>
        <w:t xml:space="preserve"> </w:t>
      </w:r>
      <w:r>
        <w:rPr>
          <w:b/>
          <w:bCs/>
        </w:rPr>
        <w:t xml:space="preserve">Auswirkungen auf bestehende Sicherheitsannahmen</w:t>
      </w:r>
      <w:r>
        <w:t xml:space="preserve">.</w:t>
      </w:r>
    </w:p>
    <w:p>
      <w:pPr>
        <w:pStyle w:val="BodyText"/>
      </w:pPr>
      <w:r>
        <w:t xml:space="preserve">Relevanz entsteht insbesondere durch die potenzielle Gefährdung:</w:t>
      </w:r>
    </w:p>
    <w:p>
      <w:pPr>
        <w:numPr>
          <w:ilvl w:val="0"/>
          <w:numId w:val="1005"/>
        </w:numPr>
      </w:pPr>
      <w:r>
        <w:t xml:space="preserve">asymmetrischer Kryptografie (z. B. RSA, ECC),</w:t>
      </w:r>
    </w:p>
    <w:p>
      <w:pPr>
        <w:numPr>
          <w:ilvl w:val="0"/>
          <w:numId w:val="1005"/>
        </w:numPr>
      </w:pPr>
      <w:r>
        <w:t xml:space="preserve">digitaler Signaturen,</w:t>
      </w:r>
    </w:p>
    <w:p>
      <w:pPr>
        <w:numPr>
          <w:ilvl w:val="0"/>
          <w:numId w:val="1005"/>
        </w:numPr>
      </w:pPr>
      <w:r>
        <w:t xml:space="preserve">langfristiger Vertraulichkeit sensibler Daten.</w:t>
      </w:r>
    </w:p>
    <w:p>
      <w:pPr>
        <w:pStyle w:val="FirstParagraph"/>
      </w:pPr>
      <w:r>
        <w:t xml:space="preserve">Ein zentrales Angriffsszenario ist dabei das sogenannte</w:t>
      </w:r>
      <w:r>
        <w:t xml:space="preserve"> </w:t>
      </w:r>
      <w:r>
        <w:rPr>
          <w:b/>
          <w:bCs/>
        </w:rPr>
        <w:t xml:space="preserve">„Harvest now, decrypt later“</w:t>
      </w:r>
      <w:r>
        <w:t xml:space="preserve">:</w:t>
      </w:r>
    </w:p>
    <w:p>
      <w:pPr>
        <w:pStyle w:val="BodyText"/>
      </w:pPr>
      <w:r>
        <w:t xml:space="preserve">Daten werden heute abgegriffen und gespeichert, obwohl sie aktuell nicht entschlüsselt werden können. Die eigentliche Kompromittierung erfolgt erst in der Zukunft, sobald geeignete Rechenkapazitäten oder Algorithmen verfügbar sind.</w:t>
      </w:r>
    </w:p>
    <w:bookmarkEnd w:id="24"/>
    <w:bookmarkStart w:id="25" w:name="quantencomputing-als-resilienzproblem"/>
    <w:p>
      <w:pPr>
        <w:pStyle w:val="Heading2"/>
      </w:pPr>
      <w:r>
        <w:t xml:space="preserve">2.3 Quantencomputing als Resilienzproblem</w:t>
      </w:r>
    </w:p>
    <w:p>
      <w:pPr>
        <w:pStyle w:val="FirstParagraph"/>
      </w:pPr>
      <w:r>
        <w:t xml:space="preserve">Aus Sicht der Resilienz ist Quantencomputing</w:t>
      </w:r>
      <w:r>
        <w:t xml:space="preserve"> </w:t>
      </w:r>
      <w:r>
        <w:rPr>
          <w:b/>
          <w:bCs/>
        </w:rPr>
        <w:t xml:space="preserve">kein klassisches Präventionsproblem</w:t>
      </w:r>
      <w:r>
        <w:t xml:space="preserve">. Der eigentliche Schaden entsteht nicht zum Zeitpunkt des Angriffs, sondern zeitlich verzögert – oft Jahre oder Jahrzehnte später.</w:t>
      </w:r>
    </w:p>
    <w:p>
      <w:pPr>
        <w:pStyle w:val="BodyText"/>
      </w:pPr>
      <w:r>
        <w:t xml:space="preserve">Betroffen sind insbesondere: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mit langem Schutzbedarf,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Backups</w:t>
      </w:r>
      <w:r>
        <w:t xml:space="preserve">, die historische Zustände bewahren,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Identitäten und Signaturen</w:t>
      </w:r>
      <w:r>
        <w:t xml:space="preserve">, deren Gültigkeit rückwirkend infrage gestellt wird,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Vertrauensketten</w:t>
      </w:r>
      <w:r>
        <w:t xml:space="preserve"> </w:t>
      </w:r>
      <w:r>
        <w:t xml:space="preserve">über Organisations- und Systemgrenzen hinweg.</w:t>
      </w:r>
    </w:p>
    <w:p>
      <w:pPr>
        <w:pStyle w:val="FirstParagraph"/>
      </w:pPr>
      <w:r>
        <w:t xml:space="preserve">Der zeitlich verzögerte Schaden widerspricht der Logik vieler bestehender Resilienzmodelle, die auf</w:t>
      </w:r>
      <w:r>
        <w:t xml:space="preserve"> </w:t>
      </w:r>
      <w:r>
        <w:rPr>
          <w:b/>
          <w:bCs/>
        </w:rPr>
        <w:t xml:space="preserve">frühe Erkennung und schnelle Reaktion</w:t>
      </w:r>
      <w:r>
        <w:t xml:space="preserve"> </w:t>
      </w:r>
      <w:r>
        <w:t xml:space="preserve">fokussiert sind.</w:t>
      </w:r>
    </w:p>
    <w:bookmarkEnd w:id="25"/>
    <w:bookmarkStart w:id="26" w:name="X2704dc12b4d2a459db25bcdf0b4e5caaeb9e5c6"/>
    <w:p>
      <w:pPr>
        <w:pStyle w:val="Heading2"/>
      </w:pPr>
      <w:r>
        <w:t xml:space="preserve">2.4 Verzögerter Vertrauensverlust als Resilienzbruch</w:t>
      </w:r>
    </w:p>
    <w:p>
      <w:pPr>
        <w:pStyle w:val="FirstParagraph"/>
      </w:pPr>
      <w:r>
        <w:t xml:space="preserve">Der durch Quantencomputing verursachte Resilienzbruch ist häufig</w:t>
      </w:r>
      <w:r>
        <w:t xml:space="preserve"> </w:t>
      </w:r>
      <w:r>
        <w:rPr>
          <w:b/>
          <w:bCs/>
        </w:rPr>
        <w:t xml:space="preserve">nicht technisch sofort sichtbar</w:t>
      </w:r>
      <w:r>
        <w:t xml:space="preserve">, sondern äußert sich als</w:t>
      </w:r>
      <w:r>
        <w:t xml:space="preserve"> </w:t>
      </w:r>
      <w:r>
        <w:rPr>
          <w:b/>
          <w:bCs/>
        </w:rPr>
        <w:t xml:space="preserve">Vertrauensverlust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Daten können nicht mehr als authentisch gelten,</w:t>
      </w:r>
    </w:p>
    <w:p>
      <w:pPr>
        <w:numPr>
          <w:ilvl w:val="0"/>
          <w:numId w:val="1007"/>
        </w:numPr>
      </w:pPr>
      <w:r>
        <w:t xml:space="preserve">Signaturen verlieren ihre Beweiskraft,</w:t>
      </w:r>
    </w:p>
    <w:p>
      <w:pPr>
        <w:numPr>
          <w:ilvl w:val="0"/>
          <w:numId w:val="1007"/>
        </w:numPr>
      </w:pPr>
      <w:r>
        <w:t xml:space="preserve">Identitäten müssen rückwirkend infrage gestellt werden.</w:t>
      </w:r>
    </w:p>
    <w:p>
      <w:pPr>
        <w:pStyle w:val="FirstParagraph"/>
      </w:pPr>
      <w:r>
        <w:t xml:space="preserve">Dieser Vertrauensverlust ist in vielen Fällen</w:t>
      </w:r>
      <w:r>
        <w:t xml:space="preserve"> </w:t>
      </w:r>
      <w:r>
        <w:rPr>
          <w:b/>
          <w:bCs/>
        </w:rPr>
        <w:t xml:space="preserve">nicht vollständig reversibel</w:t>
      </w:r>
      <w:r>
        <w:t xml:space="preserve">.</w:t>
      </w:r>
    </w:p>
    <w:p>
      <w:pPr>
        <w:pStyle w:val="BodyText"/>
      </w:pPr>
      <w:r>
        <w:t xml:space="preserve">Im Gegensatz zu klassischen Systemausfällen lässt sich Vertrauen nicht einfach durch Wiederanlauf oder Wiederherstellung „reparieren“.</w:t>
      </w:r>
    </w:p>
    <w:p>
      <w:pPr>
        <w:pStyle w:val="BodyText"/>
      </w:pPr>
      <w:r>
        <w:t xml:space="preserve">Dies verdeutlicht, dass Resilienz künftig nicht nur die Fähigkeit zur Wiederherstellung von Funktionalität umfasst, sondern auch den</w:t>
      </w:r>
      <w:r>
        <w:t xml:space="preserve"> </w:t>
      </w:r>
      <w:r>
        <w:rPr>
          <w:b/>
          <w:bCs/>
        </w:rPr>
        <w:t xml:space="preserve">Erhalt langfristiger Vertrauenswürdigkeit</w:t>
      </w:r>
      <w:r>
        <w:t xml:space="preserve">.</w:t>
      </w:r>
    </w:p>
    <w:bookmarkEnd w:id="26"/>
    <w:bookmarkStart w:id="27" w:name="crypto-agility-als-resiliente-fähigkeit"/>
    <w:p>
      <w:pPr>
        <w:pStyle w:val="Heading2"/>
      </w:pPr>
      <w:r>
        <w:t xml:space="preserve">2.5 Crypto Agility als resiliente Fähigkeit</w:t>
      </w:r>
    </w:p>
    <w:p>
      <w:pPr>
        <w:pStyle w:val="FirstParagraph"/>
      </w:pPr>
      <w:r>
        <w:t xml:space="preserve">Vor diesem Hintergrund gewinnt das Konzept der</w:t>
      </w:r>
      <w:r>
        <w:t xml:space="preserve"> </w:t>
      </w:r>
      <w:r>
        <w:rPr>
          <w:b/>
          <w:bCs/>
        </w:rPr>
        <w:t xml:space="preserve">Crypto Agility</w:t>
      </w:r>
      <w:r>
        <w:t xml:space="preserve"> </w:t>
      </w:r>
      <w:r>
        <w:t xml:space="preserve">an Bedeutung. Dabei geht es nicht um den Einsatz einzelner post-quanten-sicherer Algorithmen, sondern um die</w:t>
      </w:r>
      <w:r>
        <w:t xml:space="preserve"> </w:t>
      </w:r>
      <w:r>
        <w:rPr>
          <w:b/>
          <w:bCs/>
        </w:rPr>
        <w:t xml:space="preserve">organisatorische und technische Fähigkeit</w:t>
      </w:r>
      <w:r>
        <w:t xml:space="preserve">, kryptografische Verfahren über die Zeit hinweg anzupassen.</w:t>
      </w:r>
    </w:p>
    <w:p>
      <w:pPr>
        <w:pStyle w:val="BodyText"/>
      </w:pPr>
      <w:r>
        <w:t xml:space="preserve">Zentrale Aspekte von Crypto Agility sind:</w:t>
      </w:r>
    </w:p>
    <w:p>
      <w:pPr>
        <w:numPr>
          <w:ilvl w:val="0"/>
          <w:numId w:val="1008"/>
        </w:numPr>
      </w:pPr>
      <w:r>
        <w:t xml:space="preserve">Austauschbarkeit kryptografischer Verfahren,</w:t>
      </w:r>
    </w:p>
    <w:p>
      <w:pPr>
        <w:numPr>
          <w:ilvl w:val="0"/>
          <w:numId w:val="1008"/>
        </w:numPr>
      </w:pPr>
      <w:r>
        <w:t xml:space="preserve">planbare Migration von Schlüsseln und Zertifikaten,</w:t>
      </w:r>
    </w:p>
    <w:p>
      <w:pPr>
        <w:numPr>
          <w:ilvl w:val="0"/>
          <w:numId w:val="1008"/>
        </w:numPr>
      </w:pPr>
      <w:r>
        <w:t xml:space="preserve">Berücksichtigung von Abhängigkeiten über Systemgrenzen hinweg,</w:t>
      </w:r>
    </w:p>
    <w:p>
      <w:pPr>
        <w:numPr>
          <w:ilvl w:val="0"/>
          <w:numId w:val="1008"/>
        </w:numPr>
      </w:pPr>
      <w:r>
        <w:t xml:space="preserve">langfristige Governance statt punktueller Umstellung.</w:t>
      </w:r>
    </w:p>
    <w:p>
      <w:pPr>
        <w:pStyle w:val="FirstParagraph"/>
      </w:pPr>
      <w:r>
        <w:t xml:space="preserve">Crypto Agility ist damit weniger eine technische Maßnahme als eine</w:t>
      </w:r>
      <w:r>
        <w:t xml:space="preserve"> </w:t>
      </w:r>
      <w:r>
        <w:rPr>
          <w:b/>
          <w:bCs/>
        </w:rPr>
        <w:t xml:space="preserve">Resilienzfähigkeit</w:t>
      </w:r>
      <w:r>
        <w:t xml:space="preserve">, die sich über Architektur, Prozesse und Verantwortlichkeiten erstreckt.</w:t>
      </w:r>
    </w:p>
    <w:bookmarkEnd w:id="27"/>
    <w:bookmarkStart w:id="28" w:name="zwischenfazit-resilienz-über-zeit-denken"/>
    <w:p>
      <w:pPr>
        <w:pStyle w:val="Heading2"/>
      </w:pPr>
      <w:r>
        <w:t xml:space="preserve">2.6 Zwischenfazit: Resilienz über Zeit denken</w:t>
      </w:r>
    </w:p>
    <w:p>
      <w:pPr>
        <w:pStyle w:val="FirstParagraph"/>
      </w:pPr>
      <w:r>
        <w:t xml:space="preserve">Quantencomputing zwingt dazu, Resilienz</w:t>
      </w:r>
      <w:r>
        <w:t xml:space="preserve"> </w:t>
      </w:r>
      <w:r>
        <w:rPr>
          <w:b/>
          <w:bCs/>
        </w:rPr>
        <w:t xml:space="preserve">nicht nur reaktiv</w:t>
      </w:r>
      <w:r>
        <w:t xml:space="preserve">, sondern</w:t>
      </w:r>
      <w:r>
        <w:t xml:space="preserve"> </w:t>
      </w:r>
      <w:r>
        <w:rPr>
          <w:b/>
          <w:bCs/>
        </w:rPr>
        <w:t xml:space="preserve">zeitlich vorausschauend</w:t>
      </w:r>
      <w:r>
        <w:t xml:space="preserve"> </w:t>
      </w:r>
      <w:r>
        <w:t xml:space="preserve">zu denken.</w:t>
      </w:r>
    </w:p>
    <w:p>
      <w:pPr>
        <w:pStyle w:val="BodyText"/>
      </w:pPr>
      <w:r>
        <w:t xml:space="preserve">Resiliente Systeme müssen künftig nicht nur Störungen bewältigen, sondern auch mit der Möglichkeit leben, dass</w:t>
      </w:r>
      <w:r>
        <w:t xml:space="preserve"> </w:t>
      </w:r>
      <w:r>
        <w:rPr>
          <w:b/>
          <w:bCs/>
        </w:rPr>
        <w:t xml:space="preserve">Vergangenheit angreifbar wird</w:t>
      </w:r>
      <w:r>
        <w:t xml:space="preserve">.</w:t>
      </w:r>
    </w:p>
    <w:p>
      <w:pPr>
        <w:pStyle w:val="BodyText"/>
      </w:pPr>
      <w:r>
        <w:t xml:space="preserve">Damit verschiebt sich der Resilienzbegriff:</w:t>
      </w:r>
    </w:p>
    <w:p>
      <w:pPr>
        <w:numPr>
          <w:ilvl w:val="0"/>
          <w:numId w:val="1009"/>
        </w:numPr>
      </w:pPr>
      <w:r>
        <w:t xml:space="preserve">von kurzfristiger Wiederherstellung</w:t>
      </w:r>
    </w:p>
    <w:p>
      <w:pPr>
        <w:numPr>
          <w:ilvl w:val="0"/>
          <w:numId w:val="1009"/>
        </w:numPr>
      </w:pPr>
      <w:r>
        <w:t xml:space="preserve">hin zu langfristiger Vertrauenssicherung unter Unsicherheit.</w:t>
      </w:r>
    </w:p>
    <w:bookmarkEnd w:id="28"/>
    <w:bookmarkEnd w:id="29"/>
    <w:bookmarkStart w:id="38" w:name="X211af1487a9f7f5527d825df177fc8293165a00"/>
    <w:p>
      <w:pPr>
        <w:pStyle w:val="Heading1"/>
      </w:pPr>
      <w:r>
        <w:t xml:space="preserve">Kapitel 3: Resilienz und Entscheidung – Autonome Systeme</w:t>
      </w:r>
    </w:p>
    <w:bookmarkStart w:id="30" w:name="von-automatisierung-zu-autonomie"/>
    <w:p>
      <w:pPr>
        <w:pStyle w:val="Heading2"/>
      </w:pPr>
      <w:r>
        <w:t xml:space="preserve">3.1 Von Automatisierung zu Autonomie</w:t>
      </w:r>
    </w:p>
    <w:p>
      <w:pPr>
        <w:pStyle w:val="FirstParagraph"/>
      </w:pPr>
      <w:r>
        <w:t xml:space="preserve">Automatisierung ist seit Jahrzehnten ein fester Bestandteil resilienter IT-Systeme. Monitoring, Alerting, Failover oder Load Balancing folgen klar definierten Regeln und entlasten Menschen in Stresssituationen.</w:t>
      </w:r>
    </w:p>
    <w:p>
      <w:pPr>
        <w:pStyle w:val="BodyText"/>
      </w:pPr>
      <w:r>
        <w:t xml:space="preserve">Autonome Systeme gehen darüber hinaus. Sie treffen Entscheidungen:</w:t>
      </w:r>
    </w:p>
    <w:p>
      <w:pPr>
        <w:numPr>
          <w:ilvl w:val="0"/>
          <w:numId w:val="1010"/>
        </w:numPr>
      </w:pPr>
      <w:r>
        <w:t xml:space="preserve">auf Basis komplexer Zustandsmodelle,</w:t>
      </w:r>
    </w:p>
    <w:p>
      <w:pPr>
        <w:numPr>
          <w:ilvl w:val="0"/>
          <w:numId w:val="1010"/>
        </w:numPr>
      </w:pPr>
      <w:r>
        <w:t xml:space="preserve">mit minimaler oder keiner menschlichen Interaktion,</w:t>
      </w:r>
    </w:p>
    <w:p>
      <w:pPr>
        <w:numPr>
          <w:ilvl w:val="0"/>
          <w:numId w:val="1010"/>
        </w:numPr>
      </w:pPr>
      <w:r>
        <w:t xml:space="preserve">teilweise lernend und adaptiv.</w:t>
      </w:r>
    </w:p>
    <w:p>
      <w:pPr>
        <w:pStyle w:val="FirstParagraph"/>
      </w:pPr>
      <w:r>
        <w:t xml:space="preserve">Beispiele hierfür sind:</w:t>
      </w:r>
    </w:p>
    <w:p>
      <w:pPr>
        <w:numPr>
          <w:ilvl w:val="0"/>
          <w:numId w:val="1011"/>
        </w:numPr>
      </w:pPr>
      <w:r>
        <w:t xml:space="preserve">KI-gestützte Incident-Response-Systeme,</w:t>
      </w:r>
    </w:p>
    <w:p>
      <w:pPr>
        <w:numPr>
          <w:ilvl w:val="0"/>
          <w:numId w:val="1011"/>
        </w:numPr>
      </w:pPr>
      <w:r>
        <w:t xml:space="preserve">Self-healing-Infrastrukturen,</w:t>
      </w:r>
    </w:p>
    <w:p>
      <w:pPr>
        <w:numPr>
          <w:ilvl w:val="0"/>
          <w:numId w:val="1011"/>
        </w:numPr>
      </w:pPr>
      <w:r>
        <w:t xml:space="preserve">autonome Netzwerk- oder Cloud-Steuerung,</w:t>
      </w:r>
    </w:p>
    <w:p>
      <w:pPr>
        <w:numPr>
          <w:ilvl w:val="0"/>
          <w:numId w:val="1011"/>
        </w:numPr>
      </w:pPr>
      <w:r>
        <w:t xml:space="preserve">adaptive Sicherheitsmechanismen.</w:t>
      </w:r>
    </w:p>
    <w:p>
      <w:pPr>
        <w:pStyle w:val="FirstParagraph"/>
      </w:pPr>
      <w:r>
        <w:t xml:space="preserve">Der Übergang von Automatisierung zu Autonomie markiert einen</w:t>
      </w:r>
      <w:r>
        <w:t xml:space="preserve"> </w:t>
      </w:r>
      <w:r>
        <w:rPr>
          <w:b/>
          <w:bCs/>
        </w:rPr>
        <w:t xml:space="preserve">qualitativen Sprung</w:t>
      </w:r>
      <w:r>
        <w:t xml:space="preserve">, der für die Resilienzbewertung entscheidend ist.</w:t>
      </w:r>
    </w:p>
    <w:bookmarkEnd w:id="30"/>
    <w:bookmarkStart w:id="31" w:name="autonome-systeme-als-resilienzverstärker"/>
    <w:p>
      <w:pPr>
        <w:pStyle w:val="Heading2"/>
      </w:pPr>
      <w:r>
        <w:t xml:space="preserve">3.2 Autonome Systeme als Resilienzverstärker</w:t>
      </w:r>
    </w:p>
    <w:p>
      <w:pPr>
        <w:pStyle w:val="FirstParagraph"/>
      </w:pPr>
      <w:r>
        <w:t xml:space="preserve">Aus operativer Sicht erhöhen autonome Systeme die Resilienz erheblich: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Reaktionszeiten</w:t>
      </w:r>
      <w:r>
        <w:t xml:space="preserve"> </w:t>
      </w:r>
      <w:r>
        <w:t xml:space="preserve">sinken drastisch,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Skalierbarkeit</w:t>
      </w:r>
      <w:r>
        <w:t xml:space="preserve"> </w:t>
      </w:r>
      <w:r>
        <w:t xml:space="preserve">wird verbessert,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Konsistenz</w:t>
      </w:r>
      <w:r>
        <w:t xml:space="preserve"> </w:t>
      </w:r>
      <w:r>
        <w:t xml:space="preserve">von Entscheidungen steigt,</w:t>
      </w:r>
    </w:p>
    <w:p>
      <w:pPr>
        <w:numPr>
          <w:ilvl w:val="0"/>
          <w:numId w:val="1012"/>
        </w:numPr>
      </w:pPr>
      <w:r>
        <w:t xml:space="preserve">menschliche Fehler unter Stress werden reduziert.</w:t>
      </w:r>
    </w:p>
    <w:p>
      <w:pPr>
        <w:pStyle w:val="FirstParagraph"/>
      </w:pPr>
      <w:r>
        <w:t xml:space="preserve">Gerade bei hochdynamischen Bedrohungen – etwa DDoS-Angriffen oder sich schnell ausbreitenden Störungen – können autonome Systeme schneller und zuverlässiger reagieren als menschliche Akteure.</w:t>
      </w:r>
    </w:p>
    <w:p>
      <w:pPr>
        <w:pStyle w:val="BodyText"/>
      </w:pPr>
      <w:r>
        <w:t xml:space="preserve">Diese Fähigkeiten passen nahtlos zu klassischen Resilienzzielen wie</w:t>
      </w:r>
      <w:r>
        <w:t xml:space="preserve"> </w:t>
      </w:r>
      <w:r>
        <w:rPr>
          <w:b/>
          <w:bCs/>
        </w:rPr>
        <w:t xml:space="preserve">Minimierung von Ausfallzeiten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Stabilisierung kritischer Dienste</w:t>
      </w:r>
      <w:r>
        <w:t xml:space="preserve">.</w:t>
      </w:r>
    </w:p>
    <w:bookmarkEnd w:id="31"/>
    <w:bookmarkStart w:id="32" w:name="Xf20888649d3b888a13f8023f42393cb2cc2cc85"/>
    <w:p>
      <w:pPr>
        <w:pStyle w:val="Heading2"/>
      </w:pPr>
      <w:r>
        <w:t xml:space="preserve">3.3 Das Resilienz-Paradoxon autonomer Systeme</w:t>
      </w:r>
    </w:p>
    <w:p>
      <w:pPr>
        <w:pStyle w:val="FirstParagraph"/>
      </w:pPr>
      <w:r>
        <w:t xml:space="preserve">Die gleichen Eigenschaften, die autonome Systeme resilient erscheinen lassen, erzeugen jedoch neue Risiken.</w:t>
      </w:r>
    </w:p>
    <w:p>
      <w:pPr>
        <w:pStyle w:val="BodyText"/>
      </w:pPr>
      <w:r>
        <w:t xml:space="preserve">Dieses Spannungsfeld wird als</w:t>
      </w:r>
      <w:r>
        <w:t xml:space="preserve"> </w:t>
      </w:r>
      <w:r>
        <w:rPr>
          <w:b/>
          <w:bCs/>
        </w:rPr>
        <w:t xml:space="preserve">Resilienz-Paradoxon autonomer Systeme</w:t>
      </w:r>
      <w:r>
        <w:t xml:space="preserve"> </w:t>
      </w:r>
      <w:r>
        <w:t xml:space="preserve">beschrieben:</w:t>
      </w:r>
    </w:p>
    <w:p>
      <w:pPr>
        <w:pStyle w:val="BodyText"/>
      </w:pPr>
      <w:r>
        <w:t xml:space="preserve">Je autonomer ein System reagiert, desto höher ist die operative Resilienz – und desto geringer ist häufig die menschliche Nachvollziehbarkeit.</w:t>
      </w:r>
    </w:p>
    <w:p>
      <w:pPr>
        <w:pStyle w:val="BodyText"/>
      </w:pPr>
      <w:r>
        <w:t xml:space="preserve">Mit zunehmender Autonomie sinken:</w:t>
      </w:r>
    </w:p>
    <w:p>
      <w:pPr>
        <w:numPr>
          <w:ilvl w:val="0"/>
          <w:numId w:val="1013"/>
        </w:numPr>
      </w:pPr>
      <w:r>
        <w:t xml:space="preserve">Transparenz von Entscheidungsprozessen,</w:t>
      </w:r>
    </w:p>
    <w:p>
      <w:pPr>
        <w:numPr>
          <w:ilvl w:val="0"/>
          <w:numId w:val="1013"/>
        </w:numPr>
      </w:pPr>
      <w:r>
        <w:t xml:space="preserve">Erklärbarkeit von Systemverhalten,</w:t>
      </w:r>
    </w:p>
    <w:p>
      <w:pPr>
        <w:numPr>
          <w:ilvl w:val="0"/>
          <w:numId w:val="1013"/>
        </w:numPr>
      </w:pPr>
      <w:r>
        <w:t xml:space="preserve">Möglichkeiten zur situativen menschlichen Intervention.</w:t>
      </w:r>
    </w:p>
    <w:p>
      <w:pPr>
        <w:pStyle w:val="FirstParagraph"/>
      </w:pPr>
      <w:r>
        <w:t xml:space="preserve">Fehlentscheidungen wirken nicht mehr lokal, sondern</w:t>
      </w:r>
      <w:r>
        <w:t xml:space="preserve"> </w:t>
      </w:r>
      <w:r>
        <w:rPr>
          <w:b/>
          <w:bCs/>
        </w:rPr>
        <w:t xml:space="preserve">skalieren systemweit</w:t>
      </w:r>
      <w:r>
        <w:t xml:space="preserve"> </w:t>
      </w:r>
      <w:r>
        <w:t xml:space="preserve">und entfalten ihre Wirkung mit hoher Geschwindigkeit.</w:t>
      </w:r>
    </w:p>
    <w:bookmarkEnd w:id="32"/>
    <w:bookmarkStart w:id="33" w:name="geschwindigkeit-versus-kontrolle"/>
    <w:p>
      <w:pPr>
        <w:pStyle w:val="Heading2"/>
      </w:pPr>
      <w:r>
        <w:t xml:space="preserve">3.4 Geschwindigkeit versus Kontrolle</w:t>
      </w:r>
    </w:p>
    <w:p>
      <w:pPr>
        <w:pStyle w:val="FirstParagraph"/>
      </w:pPr>
      <w:r>
        <w:t xml:space="preserve">Autonome Systeme verschieben den zentralen Zielkonflikt resilienter Systeme: von</w:t>
      </w:r>
      <w:r>
        <w:t xml:space="preserve"> </w:t>
      </w:r>
      <w:r>
        <w:rPr>
          <w:b/>
          <w:bCs/>
        </w:rPr>
        <w:t xml:space="preserve">Verfügbarkeit versus Sicherheit</w:t>
      </w:r>
      <w:r>
        <w:t xml:space="preserve"> </w:t>
      </w:r>
      <w:r>
        <w:t xml:space="preserve">hin zu</w:t>
      </w:r>
      <w:r>
        <w:t xml:space="preserve"> </w:t>
      </w:r>
      <w:r>
        <w:rPr>
          <w:b/>
          <w:bCs/>
        </w:rPr>
        <w:t xml:space="preserve">Geschwindigkeit versus Kontrolle</w:t>
      </w:r>
      <w:r>
        <w:t xml:space="preserve">.</w:t>
      </w:r>
    </w:p>
    <w:p>
      <w:pPr>
        <w:pStyle w:val="BodyText"/>
      </w:pPr>
      <w:r>
        <w:t xml:space="preserve">Während menschliche Entscheidungen Zeit benötigen, um Kontext, Werte und Nebenwirkungen zu berücksichtigen, treffen autonome Systeme Entscheidungen nahezu verzögerungsfrei.</w:t>
      </w:r>
    </w:p>
    <w:p>
      <w:pPr>
        <w:pStyle w:val="BodyText"/>
      </w:pPr>
      <w:r>
        <w:t xml:space="preserve">Die klassische zeitliche Trennung zwischen Entscheidung und Handlung entfällt.</w:t>
      </w:r>
    </w:p>
    <w:p>
      <w:pPr>
        <w:pStyle w:val="BodyText"/>
      </w:pPr>
      <w:r>
        <w:t xml:space="preserve">Dies führt zu neuen Fragestellungen:</w:t>
      </w:r>
    </w:p>
    <w:p>
      <w:pPr>
        <w:numPr>
          <w:ilvl w:val="0"/>
          <w:numId w:val="1014"/>
        </w:numPr>
      </w:pPr>
      <w:r>
        <w:t xml:space="preserve">Wo ist Geschwindigkeit zwingend erforderlich?</w:t>
      </w:r>
    </w:p>
    <w:p>
      <w:pPr>
        <w:numPr>
          <w:ilvl w:val="0"/>
          <w:numId w:val="1014"/>
        </w:numPr>
      </w:pPr>
      <w:r>
        <w:t xml:space="preserve">Wo ist bewusste Verzögerung ein Schutzmechanismus?</w:t>
      </w:r>
    </w:p>
    <w:p>
      <w:pPr>
        <w:numPr>
          <w:ilvl w:val="0"/>
          <w:numId w:val="1014"/>
        </w:numPr>
      </w:pPr>
      <w:r>
        <w:t xml:space="preserve">Wann ist menschliches Zögern Teil der Resilienz?</w:t>
      </w:r>
    </w:p>
    <w:bookmarkEnd w:id="33"/>
    <w:bookmarkStart w:id="34" w:name="lernen-als-risikoquelle"/>
    <w:p>
      <w:pPr>
        <w:pStyle w:val="Heading2"/>
      </w:pPr>
      <w:r>
        <w:t xml:space="preserve">3.5 Lernen als Risikoquelle</w:t>
      </w:r>
    </w:p>
    <w:p>
      <w:pPr>
        <w:pStyle w:val="FirstParagraph"/>
      </w:pPr>
      <w:r>
        <w:t xml:space="preserve">Viele autonome Systeme sind lernfähig.</w:t>
      </w:r>
    </w:p>
    <w:p>
      <w:pPr>
        <w:pStyle w:val="BodyText"/>
      </w:pPr>
      <w:r>
        <w:t xml:space="preserve">Sie passen ihr Verhalten auf Basis historischer Daten, Feedback oder Erfolgsmessungen an.</w:t>
      </w:r>
    </w:p>
    <w:p>
      <w:pPr>
        <w:pStyle w:val="BodyText"/>
      </w:pPr>
      <w:r>
        <w:t xml:space="preserve">Lernen erhöht jedoch nicht automatisch die Resilienz. Mögliche Risiken sind: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Überanpassung</w:t>
      </w:r>
      <w:r>
        <w:t xml:space="preserve"> </w:t>
      </w:r>
      <w:r>
        <w:t xml:space="preserve">an vergangene Störungen,</w:t>
      </w:r>
    </w:p>
    <w:p>
      <w:pPr>
        <w:numPr>
          <w:ilvl w:val="0"/>
          <w:numId w:val="1015"/>
        </w:numPr>
      </w:pPr>
      <w:r>
        <w:t xml:space="preserve">Verstärkung falscher Korrelationen,</w:t>
      </w:r>
    </w:p>
    <w:p>
      <w:pPr>
        <w:numPr>
          <w:ilvl w:val="0"/>
          <w:numId w:val="1015"/>
        </w:numPr>
      </w:pPr>
      <w:r>
        <w:t xml:space="preserve">Optimierung auf implizite Zielgrößen, die menschlichen Wertvorstellungen widersprechen.</w:t>
      </w:r>
    </w:p>
    <w:p>
      <w:pPr>
        <w:pStyle w:val="FirstParagraph"/>
      </w:pPr>
      <w:r>
        <w:t xml:space="preserve">In Krisensituationen können lernende Systeme dadurch Verhalten entwickeln, das technisch konsistent, aber</w:t>
      </w:r>
      <w:r>
        <w:t xml:space="preserve"> </w:t>
      </w:r>
      <w:r>
        <w:rPr>
          <w:b/>
          <w:bCs/>
        </w:rPr>
        <w:t xml:space="preserve">konzeptionell unerwünscht</w:t>
      </w:r>
      <w:r>
        <w:t xml:space="preserve"> </w:t>
      </w:r>
      <w:r>
        <w:t xml:space="preserve">ist.</w:t>
      </w:r>
    </w:p>
    <w:bookmarkEnd w:id="34"/>
    <w:bookmarkStart w:id="35" w:name="autonomie-braucht-leitplanken"/>
    <w:p>
      <w:pPr>
        <w:pStyle w:val="Heading2"/>
      </w:pPr>
      <w:r>
        <w:t xml:space="preserve">3.6 Autonomie braucht Leitplanken</w:t>
      </w:r>
    </w:p>
    <w:p>
      <w:pPr>
        <w:pStyle w:val="FirstParagraph"/>
      </w:pPr>
      <w:r>
        <w:t xml:space="preserve">Resiliente autonome Systeme entstehen nicht durch maximale Freiheit, sondern durch</w:t>
      </w:r>
      <w:r>
        <w:t xml:space="preserve"> </w:t>
      </w:r>
      <w:r>
        <w:rPr>
          <w:b/>
          <w:bCs/>
        </w:rPr>
        <w:t xml:space="preserve">klar definierte Grenzen</w:t>
      </w:r>
      <w:r>
        <w:t xml:space="preserve">.</w:t>
      </w:r>
    </w:p>
    <w:p>
      <w:pPr>
        <w:pStyle w:val="BodyText"/>
      </w:pPr>
      <w:r>
        <w:t xml:space="preserve">Zentrale Leitplanken sind:</w:t>
      </w:r>
    </w:p>
    <w:p>
      <w:pPr>
        <w:numPr>
          <w:ilvl w:val="0"/>
          <w:numId w:val="1016"/>
        </w:numPr>
      </w:pPr>
      <w:r>
        <w:t xml:space="preserve">explizite Entscheidungsgrenzen für autonome Systeme,</w:t>
      </w:r>
    </w:p>
    <w:p>
      <w:pPr>
        <w:numPr>
          <w:ilvl w:val="0"/>
          <w:numId w:val="1016"/>
        </w:numPr>
      </w:pPr>
      <w:r>
        <w:t xml:space="preserve">definierte menschliche Eingriffspunkte („Human Override“),</w:t>
      </w:r>
    </w:p>
    <w:p>
      <w:pPr>
        <w:numPr>
          <w:ilvl w:val="0"/>
          <w:numId w:val="1016"/>
        </w:numPr>
      </w:pPr>
      <w:r>
        <w:t xml:space="preserve">umfassendes Logging und Nachvollziehbarkeit,</w:t>
      </w:r>
    </w:p>
    <w:p>
      <w:pPr>
        <w:numPr>
          <w:ilvl w:val="0"/>
          <w:numId w:val="1016"/>
        </w:numPr>
      </w:pPr>
      <w:r>
        <w:t xml:space="preserve">klare Eskalations- und Abschaltmechanismen.</w:t>
      </w:r>
    </w:p>
    <w:p>
      <w:pPr>
        <w:pStyle w:val="FirstParagraph"/>
      </w:pPr>
      <w:r>
        <w:t xml:space="preserve">Diese Leitplanken sind keine Einschränkung von Resilienz, sondern deren</w:t>
      </w:r>
      <w:r>
        <w:t xml:space="preserve"> </w:t>
      </w:r>
      <w:r>
        <w:rPr>
          <w:b/>
          <w:bCs/>
        </w:rPr>
        <w:t xml:space="preserve">Voraussetzung</w:t>
      </w:r>
      <w:r>
        <w:t xml:space="preserve">.</w:t>
      </w:r>
    </w:p>
    <w:bookmarkEnd w:id="35"/>
    <w:bookmarkStart w:id="36" w:name="verantwortung-im-autonomen-betrieb"/>
    <w:p>
      <w:pPr>
        <w:pStyle w:val="Heading2"/>
      </w:pPr>
      <w:r>
        <w:t xml:space="preserve">3.7 Verantwortung im autonomen Betrieb</w:t>
      </w:r>
    </w:p>
    <w:p>
      <w:pPr>
        <w:pStyle w:val="FirstParagraph"/>
      </w:pPr>
      <w:r>
        <w:t xml:space="preserve">Autonome Systeme verändern nicht nur Entscheidungsprozesse, sondern auch</w:t>
      </w:r>
      <w:r>
        <w:t xml:space="preserve"> </w:t>
      </w:r>
      <w:r>
        <w:rPr>
          <w:b/>
          <w:bCs/>
        </w:rPr>
        <w:t xml:space="preserve">Verantwortungsstrukturen</w:t>
      </w:r>
      <w:r>
        <w:t xml:space="preserve">.</w:t>
      </w:r>
    </w:p>
    <w:p>
      <w:pPr>
        <w:pStyle w:val="BodyText"/>
      </w:pPr>
      <w:r>
        <w:t xml:space="preserve">Entscheidungen entstehen verteilt über:</w:t>
      </w:r>
    </w:p>
    <w:p>
      <w:pPr>
        <w:numPr>
          <w:ilvl w:val="0"/>
          <w:numId w:val="1017"/>
        </w:numPr>
      </w:pPr>
      <w:r>
        <w:t xml:space="preserve">Entwickler,</w:t>
      </w:r>
    </w:p>
    <w:p>
      <w:pPr>
        <w:numPr>
          <w:ilvl w:val="0"/>
          <w:numId w:val="1017"/>
        </w:numPr>
      </w:pPr>
      <w:r>
        <w:t xml:space="preserve">Betreiber,</w:t>
      </w:r>
    </w:p>
    <w:p>
      <w:pPr>
        <w:numPr>
          <w:ilvl w:val="0"/>
          <w:numId w:val="1017"/>
        </w:numPr>
      </w:pPr>
      <w:r>
        <w:t xml:space="preserve">Management,</w:t>
      </w:r>
    </w:p>
    <w:p>
      <w:pPr>
        <w:numPr>
          <w:ilvl w:val="0"/>
          <w:numId w:val="1017"/>
        </w:numPr>
      </w:pPr>
      <w:r>
        <w:t xml:space="preserve">Anbieter von Plattformen und Modellen.</w:t>
      </w:r>
    </w:p>
    <w:p>
      <w:pPr>
        <w:pStyle w:val="FirstParagraph"/>
      </w:pPr>
      <w:r>
        <w:t xml:space="preserve">Diese Verteilung erschwert:</w:t>
      </w:r>
    </w:p>
    <w:p>
      <w:pPr>
        <w:numPr>
          <w:ilvl w:val="0"/>
          <w:numId w:val="1018"/>
        </w:numPr>
      </w:pPr>
      <w:r>
        <w:t xml:space="preserve">klare Haftungszuordnung,</w:t>
      </w:r>
    </w:p>
    <w:p>
      <w:pPr>
        <w:numPr>
          <w:ilvl w:val="0"/>
          <w:numId w:val="1018"/>
        </w:numPr>
      </w:pPr>
      <w:r>
        <w:t xml:space="preserve">transparente Kommunikation,</w:t>
      </w:r>
    </w:p>
    <w:p>
      <w:pPr>
        <w:numPr>
          <w:ilvl w:val="0"/>
          <w:numId w:val="1018"/>
        </w:numPr>
      </w:pPr>
      <w:r>
        <w:t xml:space="preserve">gesellschaftliche Akzeptanz von Entscheidungen.</w:t>
      </w:r>
    </w:p>
    <w:p>
      <w:pPr>
        <w:pStyle w:val="FirstParagraph"/>
      </w:pPr>
      <w:r>
        <w:t xml:space="preserve">Resilienz darf jedoch nicht mit Verantwortungsdiffusion verwechselt werden.</w:t>
      </w:r>
    </w:p>
    <w:p>
      <w:pPr>
        <w:pStyle w:val="BodyText"/>
      </w:pPr>
      <w:r>
        <w:t xml:space="preserve">Die Verantwortung für autonome Systeme bleibt</w:t>
      </w:r>
      <w:r>
        <w:t xml:space="preserve"> </w:t>
      </w:r>
      <w:r>
        <w:rPr>
          <w:b/>
          <w:bCs/>
        </w:rPr>
        <w:t xml:space="preserve">menschlich</w:t>
      </w:r>
      <w:r>
        <w:t xml:space="preserve">, auch wenn Entscheidungen maschinell getroffen werden.</w:t>
      </w:r>
    </w:p>
    <w:bookmarkEnd w:id="36"/>
    <w:bookmarkStart w:id="37" w:name="zwischenfazit-resilienz-unter-autonomie"/>
    <w:p>
      <w:pPr>
        <w:pStyle w:val="Heading2"/>
      </w:pPr>
      <w:r>
        <w:t xml:space="preserve">3.8 Zwischenfazit: Resilienz unter Autonomie</w:t>
      </w:r>
    </w:p>
    <w:p>
      <w:pPr>
        <w:pStyle w:val="FirstParagraph"/>
      </w:pPr>
      <w:r>
        <w:t xml:space="preserve">Autonome Systeme verändern Resilienz grundlegend.</w:t>
      </w:r>
    </w:p>
    <w:p>
      <w:pPr>
        <w:pStyle w:val="BodyText"/>
      </w:pPr>
      <w:r>
        <w:t xml:space="preserve">Sie erhöhen Geschwindigkeit und Effizienz, stellen jedoch Transparenz, Kontrolle und Verantwortung infrage.</w:t>
      </w:r>
    </w:p>
    <w:p>
      <w:pPr>
        <w:pStyle w:val="BodyText"/>
      </w:pPr>
      <w:r>
        <w:t xml:space="preserve">Zukünftige Resilienz erfordert daher:</w:t>
      </w:r>
    </w:p>
    <w:p>
      <w:pPr>
        <w:numPr>
          <w:ilvl w:val="0"/>
          <w:numId w:val="1019"/>
        </w:numPr>
      </w:pPr>
      <w:r>
        <w:t xml:space="preserve">bewusste Gestaltung von Autonomie,</w:t>
      </w:r>
    </w:p>
    <w:p>
      <w:pPr>
        <w:numPr>
          <w:ilvl w:val="0"/>
          <w:numId w:val="1019"/>
        </w:numPr>
      </w:pPr>
      <w:r>
        <w:t xml:space="preserve">klare Governance-Strukturen,</w:t>
      </w:r>
    </w:p>
    <w:p>
      <w:pPr>
        <w:numPr>
          <w:ilvl w:val="0"/>
          <w:numId w:val="1019"/>
        </w:numPr>
      </w:pPr>
      <w:r>
        <w:t xml:space="preserve">eine Balance zwischen Reaktionsfähigkeit und Erklärbarkeit.</w:t>
      </w:r>
    </w:p>
    <w:bookmarkEnd w:id="37"/>
    <w:bookmarkEnd w:id="38"/>
    <w:bookmarkStart w:id="47" w:name="X72b29b4739048fff431cdf59e41b3f19fc16cd2"/>
    <w:p>
      <w:pPr>
        <w:pStyle w:val="Heading1"/>
      </w:pPr>
      <w:r>
        <w:t xml:space="preserve">Kapitel 4: Resilienz, Gesellschaft und Ethik</w:t>
      </w:r>
    </w:p>
    <w:bookmarkStart w:id="39" w:name="X5ccff84a501d2954a7952791e6da7647681dc01"/>
    <w:p>
      <w:pPr>
        <w:pStyle w:val="Heading2"/>
      </w:pPr>
      <w:r>
        <w:t xml:space="preserve">4.1 Resilienz als gesellschaftlich wirksame Eigenschaft</w:t>
      </w:r>
    </w:p>
    <w:p>
      <w:pPr>
        <w:pStyle w:val="FirstParagraph"/>
      </w:pPr>
      <w:r>
        <w:t xml:space="preserve">Resilienz wird in der IT häufig als interne Systemeigenschaft verstanden. Spätestens im Kontext kritischer Infrastrukturen ist diese Perspektive jedoch zu eng.</w:t>
      </w:r>
    </w:p>
    <w:p>
      <w:pPr>
        <w:pStyle w:val="BodyText"/>
      </w:pPr>
      <w:r>
        <w:t xml:space="preserve">Resiliente Systeme beeinflussen unmittelbar:</w:t>
      </w:r>
    </w:p>
    <w:p>
      <w:pPr>
        <w:numPr>
          <w:ilvl w:val="0"/>
          <w:numId w:val="1020"/>
        </w:numPr>
      </w:pPr>
      <w:r>
        <w:t xml:space="preserve">Versorgungssicherheit (Energie, Wasser, Gesundheit),</w:t>
      </w:r>
    </w:p>
    <w:p>
      <w:pPr>
        <w:numPr>
          <w:ilvl w:val="0"/>
          <w:numId w:val="1020"/>
        </w:numPr>
      </w:pPr>
      <w:r>
        <w:t xml:space="preserve">wirtschaftliche Stabilität,</w:t>
      </w:r>
    </w:p>
    <w:p>
      <w:pPr>
        <w:numPr>
          <w:ilvl w:val="0"/>
          <w:numId w:val="1020"/>
        </w:numPr>
      </w:pPr>
      <w:r>
        <w:t xml:space="preserve">gesellschaftliche Teilhabe,</w:t>
      </w:r>
    </w:p>
    <w:p>
      <w:pPr>
        <w:numPr>
          <w:ilvl w:val="0"/>
          <w:numId w:val="1020"/>
        </w:numPr>
      </w:pPr>
      <w:r>
        <w:t xml:space="preserve">individuelle Sicherheit und Freiheit.</w:t>
      </w:r>
    </w:p>
    <w:p>
      <w:pPr>
        <w:pStyle w:val="FirstParagraph"/>
      </w:pPr>
      <w:r>
        <w:t xml:space="preserve">Damit ist Resilienz</w:t>
      </w:r>
      <w:r>
        <w:t xml:space="preserve"> </w:t>
      </w:r>
      <w:r>
        <w:rPr>
          <w:b/>
          <w:bCs/>
        </w:rPr>
        <w:t xml:space="preserve">nicht nur technisch</w:t>
      </w:r>
      <w:r>
        <w:t xml:space="preserve">, sondern immer auch</w:t>
      </w:r>
      <w:r>
        <w:t xml:space="preserve"> </w:t>
      </w:r>
      <w:r>
        <w:rPr>
          <w:b/>
          <w:bCs/>
        </w:rPr>
        <w:t xml:space="preserve">gesellschaftlich wirksam</w:t>
      </w:r>
      <w:r>
        <w:t xml:space="preserve">. Technische Entscheidungen über Architektur, Priorisierung oder Autonomie entfalten reale soziale Effekte.</w:t>
      </w:r>
    </w:p>
    <w:bookmarkEnd w:id="39"/>
    <w:bookmarkStart w:id="40" w:name="resilienz-ist-nicht-wertneutral"/>
    <w:p>
      <w:pPr>
        <w:pStyle w:val="Heading2"/>
      </w:pPr>
      <w:r>
        <w:t xml:space="preserve">4.2 Resilienz ist nicht wertneutral</w:t>
      </w:r>
    </w:p>
    <w:p>
      <w:pPr>
        <w:pStyle w:val="FirstParagraph"/>
      </w:pPr>
      <w:r>
        <w:t xml:space="preserve">Resilienzentscheidungen beinhalten implizite Wertannahmen. Bereits die Festlegung von Prioritäten – etwa welche Systeme zuerst wiederhergestellt werden – ist normativ geprägt.</w:t>
      </w:r>
    </w:p>
    <w:p>
      <w:pPr>
        <w:pStyle w:val="BodyText"/>
      </w:pPr>
      <w:r>
        <w:t xml:space="preserve">Typische Wertfragen sind:</w:t>
      </w:r>
    </w:p>
    <w:p>
      <w:pPr>
        <w:numPr>
          <w:ilvl w:val="0"/>
          <w:numId w:val="1021"/>
        </w:numPr>
      </w:pPr>
      <w:r>
        <w:t xml:space="preserve">Wer wird im Krisenfall bevorzugt versorgt?</w:t>
      </w:r>
    </w:p>
    <w:p>
      <w:pPr>
        <w:numPr>
          <w:ilvl w:val="0"/>
          <w:numId w:val="1021"/>
        </w:numPr>
      </w:pPr>
      <w:r>
        <w:t xml:space="preserve">Welche Dienste gelten als „kritisch“?</w:t>
      </w:r>
    </w:p>
    <w:p>
      <w:pPr>
        <w:numPr>
          <w:ilvl w:val="0"/>
          <w:numId w:val="1021"/>
        </w:numPr>
      </w:pPr>
      <w:r>
        <w:t xml:space="preserve">Welche Risiken werden akzeptiert – und für wen?</w:t>
      </w:r>
    </w:p>
    <w:p>
      <w:pPr>
        <w:pStyle w:val="FirstParagraph"/>
      </w:pPr>
      <w:r>
        <w:t xml:space="preserve">Resilienz ist daher keine rein objektive Systemeigenschaft, sondern immer auch Ausdruck gesellschaftlicher Werte, Machtverhältnisse und Zielkonflikte.</w:t>
      </w:r>
    </w:p>
    <w:bookmarkEnd w:id="40"/>
    <w:bookmarkStart w:id="41" w:name="ungleich-verteilte-resilienz"/>
    <w:p>
      <w:pPr>
        <w:pStyle w:val="Heading2"/>
      </w:pPr>
      <w:r>
        <w:t xml:space="preserve">4.3 Ungleich verteilte Resilienz</w:t>
      </w:r>
    </w:p>
    <w:p>
      <w:pPr>
        <w:pStyle w:val="FirstParagraph"/>
      </w:pPr>
      <w:r>
        <w:t xml:space="preserve">Resilienz ist ungleich verteilt – zwischen Organisationen, Staaten und gesellschaftlichen Gruppen.</w:t>
      </w:r>
    </w:p>
    <w:p>
      <w:pPr>
        <w:pStyle w:val="BodyText"/>
      </w:pPr>
      <w:r>
        <w:t xml:space="preserve">Große Organisationen verfügen häufig über:</w:t>
      </w:r>
    </w:p>
    <w:p>
      <w:pPr>
        <w:numPr>
          <w:ilvl w:val="0"/>
          <w:numId w:val="1022"/>
        </w:numPr>
      </w:pPr>
      <w:r>
        <w:t xml:space="preserve">höhere Redundanz,</w:t>
      </w:r>
    </w:p>
    <w:p>
      <w:pPr>
        <w:numPr>
          <w:ilvl w:val="0"/>
          <w:numId w:val="1022"/>
        </w:numPr>
      </w:pPr>
      <w:r>
        <w:t xml:space="preserve">größere finanzielle Ressourcen,</w:t>
      </w:r>
    </w:p>
    <w:p>
      <w:pPr>
        <w:numPr>
          <w:ilvl w:val="0"/>
          <w:numId w:val="1022"/>
        </w:numPr>
      </w:pPr>
      <w:r>
        <w:t xml:space="preserve">stärkere Verhandlungsmacht gegenüber Anbietern.</w:t>
      </w:r>
    </w:p>
    <w:p>
      <w:pPr>
        <w:pStyle w:val="FirstParagraph"/>
      </w:pPr>
      <w:r>
        <w:t xml:space="preserve">Kleinere Akteure hingegen sind stärker abhängig von Plattformen, Lieferketten und externen Entscheidungen.</w:t>
      </w:r>
    </w:p>
    <w:p>
      <w:pPr>
        <w:pStyle w:val="BodyText"/>
      </w:pPr>
      <w:r>
        <w:t xml:space="preserve">Resilienzmaßnahmen können diese Ungleichheiten</w:t>
      </w:r>
      <w:r>
        <w:t xml:space="preserve"> </w:t>
      </w:r>
      <w:r>
        <w:rPr>
          <w:b/>
          <w:bCs/>
        </w:rPr>
        <w:t xml:space="preserve">verstärken</w:t>
      </w:r>
      <w:r>
        <w:t xml:space="preserve">, wenn sie primär dort umgesetzt werden, wo Ressourcen vorhanden sind.</w:t>
      </w:r>
    </w:p>
    <w:bookmarkEnd w:id="41"/>
    <w:bookmarkStart w:id="42" w:name="X6a23cfc5bedcc7018c3e8ced2b00d8cac7114b2"/>
    <w:p>
      <w:pPr>
        <w:pStyle w:val="Heading2"/>
      </w:pPr>
      <w:r>
        <w:t xml:space="preserve">4.4 Automatisierte Entscheidungen und Legitimität</w:t>
      </w:r>
    </w:p>
    <w:p>
      <w:pPr>
        <w:pStyle w:val="FirstParagraph"/>
      </w:pPr>
      <w:r>
        <w:t xml:space="preserve">Mit zunehmender Autonomie treffen Systeme Entscheidungen, die</w:t>
      </w:r>
      <w:r>
        <w:t xml:space="preserve"> </w:t>
      </w:r>
      <w:r>
        <w:rPr>
          <w:b/>
          <w:bCs/>
        </w:rPr>
        <w:t xml:space="preserve">Menschen direkt betreffen</w:t>
      </w:r>
      <w:r>
        <w:t xml:space="preserve">:</w:t>
      </w:r>
    </w:p>
    <w:p>
      <w:pPr>
        <w:pStyle w:val="BodyText"/>
      </w:pPr>
      <w:r>
        <w:t xml:space="preserve">Zugang zu Diensten, Priorisierung von Ressourcen oder Einschränkung von Nutzungsmöglichkeiten.</w:t>
      </w:r>
    </w:p>
    <w:p>
      <w:pPr>
        <w:pStyle w:val="BodyText"/>
      </w:pPr>
      <w:r>
        <w:t xml:space="preserve">Solche Entscheidungen sind technisch oft effizient, aber gesellschaftlich problematisch, wenn:</w:t>
      </w:r>
    </w:p>
    <w:p>
      <w:pPr>
        <w:numPr>
          <w:ilvl w:val="0"/>
          <w:numId w:val="1023"/>
        </w:numPr>
      </w:pPr>
      <w:r>
        <w:t xml:space="preserve">Entscheidungslogiken intransparent bleiben,</w:t>
      </w:r>
    </w:p>
    <w:p>
      <w:pPr>
        <w:numPr>
          <w:ilvl w:val="0"/>
          <w:numId w:val="1023"/>
        </w:numPr>
      </w:pPr>
      <w:r>
        <w:t xml:space="preserve">keine Widerspruchsmöglichkeiten existieren,</w:t>
      </w:r>
    </w:p>
    <w:p>
      <w:pPr>
        <w:numPr>
          <w:ilvl w:val="0"/>
          <w:numId w:val="1023"/>
        </w:numPr>
      </w:pPr>
      <w:r>
        <w:t xml:space="preserve">Verantwortung nicht klar zugeordnet werden kann.</w:t>
      </w:r>
    </w:p>
    <w:p>
      <w:pPr>
        <w:pStyle w:val="FirstParagraph"/>
      </w:pPr>
      <w:r>
        <w:t xml:space="preserve">Ein System kann stabil und resilient sein – und dennoch als</w:t>
      </w:r>
      <w:r>
        <w:t xml:space="preserve"> </w:t>
      </w:r>
      <w:r>
        <w:rPr>
          <w:b/>
          <w:bCs/>
        </w:rPr>
        <w:t xml:space="preserve">unfair oder illegitim</w:t>
      </w:r>
      <w:r>
        <w:t xml:space="preserve"> </w:t>
      </w:r>
      <w:r>
        <w:t xml:space="preserve">wahrgenommen werden.</w:t>
      </w:r>
    </w:p>
    <w:bookmarkEnd w:id="42"/>
    <w:bookmarkStart w:id="43" w:name="verantwortung-ohne-verantwortliche"/>
    <w:p>
      <w:pPr>
        <w:pStyle w:val="Heading2"/>
      </w:pPr>
      <w:r>
        <w:t xml:space="preserve">4.5 Verantwortung ohne Verantwortliche</w:t>
      </w:r>
    </w:p>
    <w:p>
      <w:pPr>
        <w:pStyle w:val="FirstParagraph"/>
      </w:pPr>
      <w:r>
        <w:t xml:space="preserve">Moderne IT-Systeme basieren auf komplexen Ökosystemen:</w:t>
      </w:r>
    </w:p>
    <w:p>
      <w:pPr>
        <w:numPr>
          <w:ilvl w:val="0"/>
          <w:numId w:val="1024"/>
        </w:numPr>
      </w:pPr>
      <w:r>
        <w:t xml:space="preserve">Cloud- und Plattformanbieter,</w:t>
      </w:r>
    </w:p>
    <w:p>
      <w:pPr>
        <w:numPr>
          <w:ilvl w:val="0"/>
          <w:numId w:val="1024"/>
        </w:numPr>
      </w:pPr>
      <w:r>
        <w:t xml:space="preserve">Open-Source-Komponenten,</w:t>
      </w:r>
    </w:p>
    <w:p>
      <w:pPr>
        <w:numPr>
          <w:ilvl w:val="0"/>
          <w:numId w:val="1024"/>
        </w:numPr>
      </w:pPr>
      <w:r>
        <w:t xml:space="preserve">KI-Modelle,</w:t>
      </w:r>
    </w:p>
    <w:p>
      <w:pPr>
        <w:numPr>
          <w:ilvl w:val="0"/>
          <w:numId w:val="1024"/>
        </w:numPr>
      </w:pPr>
      <w:r>
        <w:t xml:space="preserve">internationale Lieferketten.</w:t>
      </w:r>
    </w:p>
    <w:p>
      <w:pPr>
        <w:pStyle w:val="FirstParagraph"/>
      </w:pPr>
      <w:r>
        <w:t xml:space="preserve">In diesen Strukturen verteilt sich Verantwortung über viele Akteure. Im Krisenfall entsteht leicht eine</w:t>
      </w:r>
      <w:r>
        <w:t xml:space="preserve"> </w:t>
      </w:r>
      <w:r>
        <w:rPr>
          <w:b/>
          <w:bCs/>
        </w:rPr>
        <w:t xml:space="preserve">Verantwortungsdiffusion</w:t>
      </w:r>
      <w:r>
        <w:t xml:space="preserve">, bei der sich Zuständigkeiten auflösen.</w:t>
      </w:r>
    </w:p>
    <w:p>
      <w:pPr>
        <w:pStyle w:val="BodyText"/>
      </w:pPr>
      <w:r>
        <w:t xml:space="preserve">Resilienz darf jedoch nicht mit Verantwortungslosigkeit verwechselt werden. Gesellschaftliche Akzeptanz resilienter Systeme erfordert</w:t>
      </w:r>
      <w:r>
        <w:t xml:space="preserve"> </w:t>
      </w:r>
      <w:r>
        <w:rPr>
          <w:b/>
          <w:bCs/>
        </w:rPr>
        <w:t xml:space="preserve">klare Verantwortlichkeiten</w:t>
      </w:r>
      <w:r>
        <w:t xml:space="preserve">, auch in komplexen technischen Umgebungen.</w:t>
      </w:r>
    </w:p>
    <w:bookmarkEnd w:id="43"/>
    <w:bookmarkStart w:id="44" w:name="ethik-als-leitplanke-resilienter-systeme"/>
    <w:p>
      <w:pPr>
        <w:pStyle w:val="Heading2"/>
      </w:pPr>
      <w:r>
        <w:t xml:space="preserve">4.6 Ethik als Leitplanke resilienter Systeme</w:t>
      </w:r>
    </w:p>
    <w:p>
      <w:pPr>
        <w:pStyle w:val="FirstParagraph"/>
      </w:pPr>
      <w:r>
        <w:t xml:space="preserve">Ethik fungiert im Kontext von Resilienz nicht als nachträgliche Bewertung, sondern als</w:t>
      </w:r>
      <w:r>
        <w:t xml:space="preserve"> </w:t>
      </w:r>
      <w:r>
        <w:rPr>
          <w:b/>
          <w:bCs/>
        </w:rPr>
        <w:t xml:space="preserve">gestaltende Leitplanke</w:t>
      </w:r>
      <w:r>
        <w:t xml:space="preserve">.</w:t>
      </w:r>
    </w:p>
    <w:p>
      <w:pPr>
        <w:pStyle w:val="BodyText"/>
      </w:pPr>
      <w:r>
        <w:t xml:space="preserve">Sie hilft, Entscheidungsräume zu strukturieren, bevor Krisen eintreten.</w:t>
      </w:r>
    </w:p>
    <w:p>
      <w:pPr>
        <w:pStyle w:val="BodyText"/>
      </w:pPr>
      <w:r>
        <w:t xml:space="preserve">Ethische Leitplanken adressieren insbesondere:</w:t>
      </w:r>
    </w:p>
    <w:p>
      <w:pPr>
        <w:numPr>
          <w:ilvl w:val="0"/>
          <w:numId w:val="1025"/>
        </w:numPr>
      </w:pPr>
      <w:r>
        <w:t xml:space="preserve">Grenzen autonomer Entscheidungen,</w:t>
      </w:r>
    </w:p>
    <w:p>
      <w:pPr>
        <w:numPr>
          <w:ilvl w:val="0"/>
          <w:numId w:val="1025"/>
        </w:numPr>
      </w:pPr>
      <w:r>
        <w:t xml:space="preserve">Umgang mit Zielkonflikten in Krisensituationen,</w:t>
      </w:r>
    </w:p>
    <w:p>
      <w:pPr>
        <w:numPr>
          <w:ilvl w:val="0"/>
          <w:numId w:val="1025"/>
        </w:numPr>
      </w:pPr>
      <w:r>
        <w:t xml:space="preserve">Schutz individueller Rechte bei kollektiven Risiken.</w:t>
      </w:r>
    </w:p>
    <w:p>
      <w:pPr>
        <w:pStyle w:val="FirstParagraph"/>
      </w:pPr>
      <w:r>
        <w:t xml:space="preserve">Ethik ersetzt keine technische Resilienz, ist jedoch Voraussetzung für deren</w:t>
      </w:r>
      <w:r>
        <w:t xml:space="preserve"> </w:t>
      </w:r>
      <w:r>
        <w:rPr>
          <w:b/>
          <w:bCs/>
        </w:rPr>
        <w:t xml:space="preserve">Legitimität und Nachhaltigkeit</w:t>
      </w:r>
      <w:r>
        <w:t xml:space="preserve">.</w:t>
      </w:r>
    </w:p>
    <w:bookmarkEnd w:id="44"/>
    <w:bookmarkStart w:id="45" w:name="resilienz-versus-freiheit"/>
    <w:p>
      <w:pPr>
        <w:pStyle w:val="Heading2"/>
      </w:pPr>
      <w:r>
        <w:t xml:space="preserve">4.7 Resilienz versus Freiheit</w:t>
      </w:r>
    </w:p>
    <w:p>
      <w:pPr>
        <w:pStyle w:val="FirstParagraph"/>
      </w:pPr>
      <w:r>
        <w:t xml:space="preserve">Ein zentrales Spannungsfeld zukünftiger Resilienz liegt im Verhältnis von</w:t>
      </w:r>
      <w:r>
        <w:t xml:space="preserve"> </w:t>
      </w:r>
      <w:r>
        <w:rPr>
          <w:b/>
          <w:bCs/>
        </w:rPr>
        <w:t xml:space="preserve">Stabilität und Freiheit</w:t>
      </w:r>
      <w:r>
        <w:t xml:space="preserve">.</w:t>
      </w:r>
    </w:p>
    <w:p>
      <w:pPr>
        <w:pStyle w:val="BodyText"/>
      </w:pPr>
      <w:r>
        <w:t xml:space="preserve">Resilienzmaßnahmen können Überwachung, Kontrolle und Einschränkung individueller Autonomie verstärken.</w:t>
      </w:r>
    </w:p>
    <w:p>
      <w:pPr>
        <w:pStyle w:val="BodyText"/>
      </w:pPr>
      <w:r>
        <w:t xml:space="preserve">Diese Zielkonflikte lassen sich nicht technisch auflösen.</w:t>
      </w:r>
    </w:p>
    <w:p>
      <w:pPr>
        <w:pStyle w:val="BodyText"/>
      </w:pPr>
      <w:r>
        <w:t xml:space="preserve">Sie erfordern gesellschaftliche Aushandlung, politische Entscheidungen und transparente Kommunikation.</w:t>
      </w:r>
    </w:p>
    <w:p>
      <w:pPr>
        <w:pStyle w:val="BodyText"/>
      </w:pPr>
      <w:r>
        <w:t xml:space="preserve">Resilienz ist daher untrennbar mit Fragen von Demokratie, Rechtsstaatlichkeit und gesellschaftlichem Vertrauen verbunden.</w:t>
      </w:r>
    </w:p>
    <w:bookmarkEnd w:id="45"/>
    <w:bookmarkStart w:id="46" w:name="Xb34610425a9b74a2108119563862d5b1811bc38"/>
    <w:p>
      <w:pPr>
        <w:pStyle w:val="Heading2"/>
      </w:pPr>
      <w:r>
        <w:t xml:space="preserve">4.8 Zwischenfazit: Resilienz braucht Akzeptanz</w:t>
      </w:r>
    </w:p>
    <w:p>
      <w:pPr>
        <w:pStyle w:val="FirstParagraph"/>
      </w:pPr>
      <w:r>
        <w:t xml:space="preserve">Technisch robuste Systeme können gesellschaftlich scheitern, wenn sie:</w:t>
      </w:r>
    </w:p>
    <w:p>
      <w:pPr>
        <w:numPr>
          <w:ilvl w:val="0"/>
          <w:numId w:val="1026"/>
        </w:numPr>
      </w:pPr>
      <w:r>
        <w:t xml:space="preserve">als unfair wahrgenommen werden,</w:t>
      </w:r>
    </w:p>
    <w:p>
      <w:pPr>
        <w:numPr>
          <w:ilvl w:val="0"/>
          <w:numId w:val="1026"/>
        </w:numPr>
      </w:pPr>
      <w:r>
        <w:t xml:space="preserve">intransparent agieren,</w:t>
      </w:r>
    </w:p>
    <w:p>
      <w:pPr>
        <w:numPr>
          <w:ilvl w:val="0"/>
          <w:numId w:val="1026"/>
        </w:numPr>
      </w:pPr>
      <w:r>
        <w:t xml:space="preserve">Verantwortung verschleiern.</w:t>
      </w:r>
    </w:p>
    <w:p>
      <w:pPr>
        <w:pStyle w:val="FirstParagraph"/>
      </w:pPr>
      <w:r>
        <w:t xml:space="preserve">Resilienz der Zukunft erfordert daher nicht nur technische und organisatorische Fähigkeiten, sondern auch</w:t>
      </w:r>
      <w:r>
        <w:t xml:space="preserve"> </w:t>
      </w:r>
      <w:r>
        <w:rPr>
          <w:b/>
          <w:bCs/>
        </w:rPr>
        <w:t xml:space="preserve">gesellschaftliche Akzeptanz</w:t>
      </w:r>
      <w:r>
        <w:t xml:space="preserve">.</w:t>
      </w:r>
    </w:p>
    <w:bookmarkEnd w:id="46"/>
    <w:bookmarkEnd w:id="47"/>
    <w:bookmarkStart w:id="55" w:name="X40fc603291e3a56efcde364325ceca1f89ece53"/>
    <w:p>
      <w:pPr>
        <w:pStyle w:val="Heading1"/>
      </w:pPr>
      <w:r>
        <w:t xml:space="preserve">Kapitel 5: Zusammenführung – Resilienz der Zukunft</w:t>
      </w:r>
    </w:p>
    <w:bookmarkStart w:id="48" w:name="resilienz-jenseits-klassischer-kontrolle"/>
    <w:p>
      <w:pPr>
        <w:pStyle w:val="Heading2"/>
      </w:pPr>
      <w:r>
        <w:t xml:space="preserve">5.1 Resilienz jenseits klassischer Kontrolle</w:t>
      </w:r>
    </w:p>
    <w:p>
      <w:pPr>
        <w:pStyle w:val="FirstParagraph"/>
      </w:pPr>
      <w:r>
        <w:t xml:space="preserve">Die vorangegangenen Kapitel haben gezeigt, dass zentrale Annahmen klassischer Resilienzkonzepte zunehmend unter Druck geraten.</w:t>
      </w:r>
    </w:p>
    <w:p>
      <w:pPr>
        <w:pStyle w:val="BodyText"/>
      </w:pPr>
      <w:r>
        <w:t xml:space="preserve">Quantencomputing, autonome Systeme und gesellschaftliche Erwartungen verändern die Rahmenbedingungen, unter denen Resilienz gedacht und umgesetzt wird.</w:t>
      </w:r>
    </w:p>
    <w:p>
      <w:pPr>
        <w:pStyle w:val="BodyText"/>
      </w:pPr>
      <w:r>
        <w:t xml:space="preserve">Resilienz der Zukunft ist nicht mehr allein eine Frage von:</w:t>
      </w:r>
    </w:p>
    <w:p>
      <w:pPr>
        <w:numPr>
          <w:ilvl w:val="0"/>
          <w:numId w:val="1027"/>
        </w:numPr>
      </w:pPr>
      <w:r>
        <w:t xml:space="preserve">Redundanz,</w:t>
      </w:r>
    </w:p>
    <w:p>
      <w:pPr>
        <w:numPr>
          <w:ilvl w:val="0"/>
          <w:numId w:val="1027"/>
        </w:numPr>
      </w:pPr>
      <w:r>
        <w:t xml:space="preserve">Wiederherstellungszeiten,</w:t>
      </w:r>
    </w:p>
    <w:p>
      <w:pPr>
        <w:numPr>
          <w:ilvl w:val="0"/>
          <w:numId w:val="1027"/>
        </w:numPr>
      </w:pPr>
      <w:r>
        <w:t xml:space="preserve">technischen Architekturen.</w:t>
      </w:r>
    </w:p>
    <w:p>
      <w:pPr>
        <w:pStyle w:val="FirstParagraph"/>
      </w:pPr>
      <w:r>
        <w:t xml:space="preserve">Vielmehr verschiebt sich der Fokus hin zu</w:t>
      </w:r>
      <w:r>
        <w:t xml:space="preserve"> </w:t>
      </w:r>
      <w:r>
        <w:rPr>
          <w:b/>
          <w:bCs/>
        </w:rPr>
        <w:t xml:space="preserve">Kontrolle unter Unsicherheit</w:t>
      </w:r>
      <w:r>
        <w:t xml:space="preserve"> </w:t>
      </w:r>
      <w:r>
        <w:t xml:space="preserve">– und teilweise zum bewussten Verzicht auf vollständige Kontrolle.</w:t>
      </w:r>
    </w:p>
    <w:bookmarkEnd w:id="48"/>
    <w:bookmarkStart w:id="49" w:name="drei-dimensionen-zukünftiger-resilienz"/>
    <w:p>
      <w:pPr>
        <w:pStyle w:val="Heading2"/>
      </w:pPr>
      <w:r>
        <w:t xml:space="preserve">5.2 Drei Dimensionen zukünftiger Resilienz</w:t>
      </w:r>
    </w:p>
    <w:p>
      <w:pPr>
        <w:pStyle w:val="FirstParagraph"/>
      </w:pPr>
      <w:r>
        <w:t xml:space="preserve">Zukünftige Resilienz entsteht im Spannungsfeld dreier Dimensionen, die nicht unabhängig voneinander optimiert werden können: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Zeit und Vertrauen</w:t>
      </w:r>
    </w:p>
    <w:p>
      <w:pPr>
        <w:pStyle w:val="Compact"/>
        <w:numPr>
          <w:ilvl w:val="1"/>
          <w:numId w:val="1029"/>
        </w:numPr>
      </w:pPr>
      <w:r>
        <w:t xml:space="preserve">geprägt durch Quantencomputing und langfristige kryptografische Unsicherheiten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Entscheidung und Autonomie</w:t>
      </w:r>
    </w:p>
    <w:p>
      <w:pPr>
        <w:pStyle w:val="Compact"/>
        <w:numPr>
          <w:ilvl w:val="1"/>
          <w:numId w:val="1030"/>
        </w:numPr>
      </w:pPr>
      <w:r>
        <w:t xml:space="preserve">geprägt durch autonome und lernende Systeme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Gesellschaft und Ethik</w:t>
      </w:r>
    </w:p>
    <w:p>
      <w:pPr>
        <w:pStyle w:val="Compact"/>
        <w:numPr>
          <w:ilvl w:val="1"/>
          <w:numId w:val="1031"/>
        </w:numPr>
      </w:pPr>
      <w:r>
        <w:t xml:space="preserve">geprägt durch Legitimität, Verantwortung und Akzeptanz</w:t>
      </w:r>
    </w:p>
    <w:p>
      <w:pPr>
        <w:pStyle w:val="FirstParagraph"/>
      </w:pPr>
      <w:r>
        <w:t xml:space="preserve">Resilienzentscheidungen verschieben zwangsläufig mindestens eine dieser Dimensionen. Einseitige Optimierung führt häufig zu neuen Fragilitäten.</w:t>
      </w:r>
    </w:p>
    <w:bookmarkEnd w:id="49"/>
    <w:bookmarkStart w:id="50" w:name="X370345cbe7608864383228b064ec7f4c805d33d"/>
    <w:p>
      <w:pPr>
        <w:pStyle w:val="Heading2"/>
      </w:pPr>
      <w:r>
        <w:t xml:space="preserve">5.3 Neue Resilienzfragen statt endgültiger Antworten</w:t>
      </w:r>
    </w:p>
    <w:p>
      <w:pPr>
        <w:pStyle w:val="FirstParagraph"/>
      </w:pPr>
      <w:r>
        <w:t xml:space="preserve">Ein zentrales Merkmal zukünftiger Resilienz ist die Abwesenheit endgültiger Lösungen. Stattdessen treten</w:t>
      </w:r>
      <w:r>
        <w:t xml:space="preserve"> </w:t>
      </w:r>
      <w:r>
        <w:rPr>
          <w:b/>
          <w:bCs/>
        </w:rPr>
        <w:t xml:space="preserve">dauerhafte Entscheidungsfragen</w:t>
      </w:r>
      <w:r>
        <w:t xml:space="preserve"> </w:t>
      </w:r>
      <w:r>
        <w:t xml:space="preserve">in den Vordergrund:</w:t>
      </w:r>
    </w:p>
    <w:p>
      <w:pPr>
        <w:numPr>
          <w:ilvl w:val="0"/>
          <w:numId w:val="1032"/>
        </w:numPr>
      </w:pPr>
      <w:r>
        <w:t xml:space="preserve">Wie viel Autonomie ist sinnvoll – und wo nicht?</w:t>
      </w:r>
    </w:p>
    <w:p>
      <w:pPr>
        <w:numPr>
          <w:ilvl w:val="0"/>
          <w:numId w:val="1032"/>
        </w:numPr>
      </w:pPr>
      <w:r>
        <w:t xml:space="preserve">Wo muss menschliche Entscheidung zwingend erhalten bleiben?</w:t>
      </w:r>
    </w:p>
    <w:p>
      <w:pPr>
        <w:numPr>
          <w:ilvl w:val="0"/>
          <w:numId w:val="1032"/>
        </w:numPr>
      </w:pPr>
      <w:r>
        <w:t xml:space="preserve">Wie lange muss Vertrauen technisch abgesichert sein?</w:t>
      </w:r>
    </w:p>
    <w:p>
      <w:pPr>
        <w:numPr>
          <w:ilvl w:val="0"/>
          <w:numId w:val="1032"/>
        </w:numPr>
      </w:pPr>
      <w:r>
        <w:t xml:space="preserve">Wer trägt Verantwortung in verteilten Systemen?</w:t>
      </w:r>
    </w:p>
    <w:p>
      <w:pPr>
        <w:numPr>
          <w:ilvl w:val="0"/>
          <w:numId w:val="1032"/>
        </w:numPr>
      </w:pPr>
      <w:r>
        <w:t xml:space="preserve">Wie werden resiliente Entscheidungen gesellschaftlich legitimiert?</w:t>
      </w:r>
    </w:p>
    <w:p>
      <w:pPr>
        <w:pStyle w:val="FirstParagraph"/>
      </w:pPr>
      <w:r>
        <w:t xml:space="preserve">Diese Fragen lassen sich nicht einmalig beantworten, sondern müssen</w:t>
      </w:r>
      <w:r>
        <w:t xml:space="preserve"> </w:t>
      </w:r>
      <w:r>
        <w:rPr>
          <w:b/>
          <w:bCs/>
        </w:rPr>
        <w:t xml:space="preserve">kontinuierlich neu verhandelt</w:t>
      </w:r>
      <w:r>
        <w:t xml:space="preserve"> </w:t>
      </w:r>
      <w:r>
        <w:t xml:space="preserve">werden.</w:t>
      </w:r>
    </w:p>
    <w:bookmarkEnd w:id="50"/>
    <w:bookmarkStart w:id="51" w:name="X5cead8bd21aa3b374fe913fb5324a165fa4a9da"/>
    <w:p>
      <w:pPr>
        <w:pStyle w:val="Heading2"/>
      </w:pPr>
      <w:r>
        <w:t xml:space="preserve">5.4 Resilienz als organisatorische und gesellschaftliche Fähigkeit</w:t>
      </w:r>
    </w:p>
    <w:p>
      <w:pPr>
        <w:pStyle w:val="FirstParagraph"/>
      </w:pPr>
      <w:r>
        <w:t xml:space="preserve">Resilienz der Zukunft ist weniger eine technische Eigenschaft einzelner Systeme als eine</w:t>
      </w:r>
      <w:r>
        <w:t xml:space="preserve"> </w:t>
      </w:r>
      <w:r>
        <w:rPr>
          <w:b/>
          <w:bCs/>
        </w:rPr>
        <w:t xml:space="preserve">Fähigkeit von Organisationen und Gesellschaften</w:t>
      </w:r>
      <w:r>
        <w:t xml:space="preserve">, mit Unsicherheit umzugehen.</w:t>
      </w:r>
    </w:p>
    <w:p>
      <w:pPr>
        <w:pStyle w:val="BodyText"/>
      </w:pPr>
      <w:r>
        <w:t xml:space="preserve">Diese Fähigkeit umfasst:</w:t>
      </w:r>
    </w:p>
    <w:p>
      <w:pPr>
        <w:numPr>
          <w:ilvl w:val="0"/>
          <w:numId w:val="1033"/>
        </w:numPr>
      </w:pPr>
      <w:r>
        <w:t xml:space="preserve">technische Anpassungsfähigkeit (z. B. Crypto Agility),</w:t>
      </w:r>
    </w:p>
    <w:p>
      <w:pPr>
        <w:numPr>
          <w:ilvl w:val="0"/>
          <w:numId w:val="1033"/>
        </w:numPr>
      </w:pPr>
      <w:r>
        <w:t xml:space="preserve">klare Governance für autonome Systeme,</w:t>
      </w:r>
    </w:p>
    <w:p>
      <w:pPr>
        <w:numPr>
          <w:ilvl w:val="0"/>
          <w:numId w:val="1033"/>
        </w:numPr>
      </w:pPr>
      <w:r>
        <w:t xml:space="preserve">transparente Entscheidungsprozesse,</w:t>
      </w:r>
    </w:p>
    <w:p>
      <w:pPr>
        <w:numPr>
          <w:ilvl w:val="0"/>
          <w:numId w:val="1033"/>
        </w:numPr>
      </w:pPr>
      <w:r>
        <w:t xml:space="preserve">gelebte Verantwortungskultur,</w:t>
      </w:r>
    </w:p>
    <w:p>
      <w:pPr>
        <w:numPr>
          <w:ilvl w:val="0"/>
          <w:numId w:val="1033"/>
        </w:numPr>
      </w:pPr>
      <w:r>
        <w:t xml:space="preserve">gesellschaftliche Einbettung technischer Entscheidungen.</w:t>
      </w:r>
    </w:p>
    <w:p>
      <w:pPr>
        <w:pStyle w:val="FirstParagraph"/>
      </w:pPr>
      <w:r>
        <w:t xml:space="preserve">Resilienz wird damit zu einer</w:t>
      </w:r>
      <w:r>
        <w:t xml:space="preserve"> </w:t>
      </w:r>
      <w:r>
        <w:rPr>
          <w:b/>
          <w:bCs/>
        </w:rPr>
        <w:t xml:space="preserve">Führungs- und Governance-Aufgabe</w:t>
      </w:r>
      <w:r>
        <w:t xml:space="preserve">, die Technik integriert, aber nicht von ihr dominiert wird.</w:t>
      </w:r>
    </w:p>
    <w:bookmarkEnd w:id="51"/>
    <w:bookmarkStart w:id="52" w:name="Xb1e1f0c054377c475e7913e626a65a5587e1a93"/>
    <w:p>
      <w:pPr>
        <w:pStyle w:val="Heading2"/>
      </w:pPr>
      <w:r>
        <w:t xml:space="preserve">5.5 Implikationen für Cyber Resilience Management</w:t>
      </w:r>
    </w:p>
    <w:p>
      <w:pPr>
        <w:pStyle w:val="FirstParagraph"/>
      </w:pPr>
      <w:r>
        <w:t xml:space="preserve">Für das Cyber Resilience Management ergeben sich daraus mehrere Konsequenzen:</w:t>
      </w:r>
    </w:p>
    <w:p>
      <w:pPr>
        <w:numPr>
          <w:ilvl w:val="0"/>
          <w:numId w:val="1034"/>
        </w:numPr>
      </w:pPr>
      <w:r>
        <w:t xml:space="preserve">Resilienzstrategien müssen</w:t>
      </w:r>
      <w:r>
        <w:t xml:space="preserve"> </w:t>
      </w:r>
      <w:r>
        <w:rPr>
          <w:b/>
          <w:bCs/>
        </w:rPr>
        <w:t xml:space="preserve">zeitlich langfristig</w:t>
      </w:r>
      <w:r>
        <w:t xml:space="preserve"> </w:t>
      </w:r>
      <w:r>
        <w:t xml:space="preserve">gedacht werden.</w:t>
      </w:r>
    </w:p>
    <w:p>
      <w:pPr>
        <w:numPr>
          <w:ilvl w:val="0"/>
          <w:numId w:val="1034"/>
        </w:numPr>
      </w:pPr>
      <w:r>
        <w:t xml:space="preserve">Autonome Systeme benötigen explizite Leitplanken und Verantwortlichkeiten.</w:t>
      </w:r>
    </w:p>
    <w:p>
      <w:pPr>
        <w:numPr>
          <w:ilvl w:val="0"/>
          <w:numId w:val="1034"/>
        </w:numPr>
      </w:pPr>
      <w:r>
        <w:t xml:space="preserve">Gesellschaftliche Auswirkungen technischer Entscheidungen sind mitzudenken.</w:t>
      </w:r>
    </w:p>
    <w:p>
      <w:pPr>
        <w:numPr>
          <w:ilvl w:val="0"/>
          <w:numId w:val="1034"/>
        </w:numPr>
      </w:pPr>
      <w:r>
        <w:t xml:space="preserve">Resilienzmetriken allein reichen nicht aus, um Erfolg zu bewerten.</w:t>
      </w:r>
    </w:p>
    <w:p>
      <w:pPr>
        <w:pStyle w:val="FirstParagraph"/>
      </w:pPr>
      <w:r>
        <w:t xml:space="preserve">Cyber Resilienz wird damit zu einem interdisziplinären Feld, das Technik, Organisation, Recht und Ethik verbindet.</w:t>
      </w:r>
    </w:p>
    <w:bookmarkEnd w:id="52"/>
    <w:bookmarkStart w:id="53" w:name="übergang-zur-übung"/>
    <w:p>
      <w:pPr>
        <w:pStyle w:val="Heading2"/>
      </w:pPr>
      <w:r>
        <w:t xml:space="preserve">5.6 Übergang zur Übung</w:t>
      </w:r>
    </w:p>
    <w:p>
      <w:pPr>
        <w:pStyle w:val="FirstParagraph"/>
      </w:pPr>
      <w:r>
        <w:t xml:space="preserve">Die anschließende Übung greift diese Spannungsfelder bewusst auf. Die Studierenden übernehmen unterschiedliche Rollen und erleben, dass Resilienzentscheidungen:</w:t>
      </w:r>
    </w:p>
    <w:p>
      <w:pPr>
        <w:numPr>
          <w:ilvl w:val="0"/>
          <w:numId w:val="1035"/>
        </w:numPr>
      </w:pPr>
      <w:r>
        <w:t xml:space="preserve">widersprüchlich,</w:t>
      </w:r>
    </w:p>
    <w:p>
      <w:pPr>
        <w:numPr>
          <w:ilvl w:val="0"/>
          <w:numId w:val="1035"/>
        </w:numPr>
      </w:pPr>
      <w:r>
        <w:t xml:space="preserve">konflikthaft,</w:t>
      </w:r>
    </w:p>
    <w:p>
      <w:pPr>
        <w:numPr>
          <w:ilvl w:val="0"/>
          <w:numId w:val="1035"/>
        </w:numPr>
      </w:pPr>
      <w:r>
        <w:t xml:space="preserve">und selten eindeutig sind.</w:t>
      </w:r>
    </w:p>
    <w:p>
      <w:pPr>
        <w:pStyle w:val="FirstParagraph"/>
      </w:pPr>
      <w:r>
        <w:t xml:space="preserve">Ziel der Übung ist nicht Konsens, sondern</w:t>
      </w:r>
      <w:r>
        <w:t xml:space="preserve"> </w:t>
      </w:r>
      <w:r>
        <w:rPr>
          <w:b/>
          <w:bCs/>
        </w:rPr>
        <w:t xml:space="preserve">reflektierte Entscheidungsfähigkeit unter Unsicherheit</w:t>
      </w:r>
      <w:r>
        <w:t xml:space="preserve">.</w:t>
      </w:r>
    </w:p>
    <w:bookmarkEnd w:id="53"/>
    <w:bookmarkStart w:id="54" w:name="abschlussgedanke"/>
    <w:p>
      <w:pPr>
        <w:pStyle w:val="Heading2"/>
      </w:pPr>
      <w:r>
        <w:t xml:space="preserve">5.7 Abschlussgedanke</w:t>
      </w:r>
    </w:p>
    <w:p>
      <w:pPr>
        <w:pStyle w:val="FirstParagraph"/>
      </w:pPr>
      <w:r>
        <w:t xml:space="preserve">Resilienz der Zukunft bedeutet nicht, jedes Risiko zu eliminieren. Sie bedeutet,</w:t>
      </w:r>
      <w:r>
        <w:t xml:space="preserve"> </w:t>
      </w:r>
      <w:r>
        <w:rPr>
          <w:b/>
          <w:bCs/>
        </w:rPr>
        <w:t xml:space="preserve">verantwortlich mit Unsicherheit zu leben</w:t>
      </w:r>
      <w:r>
        <w:t xml:space="preserve">.</w:t>
      </w:r>
    </w:p>
    <w:bookmarkEnd w:id="54"/>
    <w:bookmarkEnd w:id="55"/>
    <w:bookmarkStart w:id="66" w:name="übungsskript-abschlussübung"/>
    <w:p>
      <w:pPr>
        <w:pStyle w:val="Heading1"/>
      </w:pPr>
      <w:r>
        <w:t xml:space="preserve">Übungsskript – Abschlussübung</w:t>
      </w:r>
    </w:p>
    <w:p>
      <w:pPr>
        <w:pStyle w:val="FirstParagraph"/>
      </w:pPr>
      <w:r>
        <w:rPr>
          <w:b/>
          <w:bCs/>
        </w:rPr>
        <w:t xml:space="preserve">Resilienz im Jahr 2035: Entscheidungen unter Unsicherheit</w:t>
      </w:r>
    </w:p>
    <w:p>
      <w:pPr>
        <w:pStyle w:val="BodyText"/>
      </w:pPr>
      <w:r>
        <w:rPr>
          <w:i/>
          <w:iCs/>
        </w:rPr>
        <w:t xml:space="preserve">(90 Minuten Übung, anschließende Diskussion integriert)</w:t>
      </w:r>
    </w:p>
    <w:bookmarkStart w:id="56" w:name="zielsetzung-der-übung"/>
    <w:p>
      <w:pPr>
        <w:pStyle w:val="Heading2"/>
      </w:pPr>
      <w:r>
        <w:t xml:space="preserve">1. Zielsetzung der Übung</w:t>
      </w:r>
    </w:p>
    <w:p>
      <w:pPr>
        <w:pStyle w:val="FirstParagraph"/>
      </w:pPr>
      <w:r>
        <w:t xml:space="preserve">Ziel dieser Übung ist es, Resilienz nicht als technische Eigenschaft, sondern als</w:t>
      </w:r>
      <w:r>
        <w:t xml:space="preserve"> </w:t>
      </w:r>
      <w:r>
        <w:rPr>
          <w:b/>
          <w:bCs/>
        </w:rPr>
        <w:t xml:space="preserve">Entscheidungs- und Aushandlungsprozess</w:t>
      </w:r>
      <w:r>
        <w:t xml:space="preserve"> </w:t>
      </w:r>
      <w:r>
        <w:t xml:space="preserve">erfahrbar zu machen. Die Studierenden sollen erleben, dass Resilienzentscheidungen:</w:t>
      </w:r>
    </w:p>
    <w:p>
      <w:pPr>
        <w:numPr>
          <w:ilvl w:val="0"/>
          <w:numId w:val="1036"/>
        </w:numPr>
      </w:pPr>
      <w:r>
        <w:t xml:space="preserve">unter Zeitdruck getroffen werden,</w:t>
      </w:r>
    </w:p>
    <w:p>
      <w:pPr>
        <w:numPr>
          <w:ilvl w:val="0"/>
          <w:numId w:val="1036"/>
        </w:numPr>
      </w:pPr>
      <w:r>
        <w:t xml:space="preserve">widersprüchliche Ziele berühren,</w:t>
      </w:r>
    </w:p>
    <w:p>
      <w:pPr>
        <w:numPr>
          <w:ilvl w:val="0"/>
          <w:numId w:val="1036"/>
        </w:numPr>
      </w:pPr>
      <w:r>
        <w:t xml:space="preserve">unterschiedliche Werte und Perspektiven erfordern,</w:t>
      </w:r>
    </w:p>
    <w:p>
      <w:pPr>
        <w:numPr>
          <w:ilvl w:val="0"/>
          <w:numId w:val="1036"/>
        </w:numPr>
      </w:pPr>
      <w:r>
        <w:t xml:space="preserve">selten eindeutige „richtige“ Lösungen besitzen.</w:t>
      </w:r>
    </w:p>
    <w:p>
      <w:pPr>
        <w:pStyle w:val="FirstParagraph"/>
      </w:pPr>
      <w:r>
        <w:t xml:space="preserve">Die Übung knüpft bewusst an die Inhalte der Abschlussvorlesung an: Quantencomputing, autonome Systeme sowie gesellschaftliche und ethische Fragestellungen.</w:t>
      </w:r>
    </w:p>
    <w:bookmarkEnd w:id="56"/>
    <w:bookmarkStart w:id="59" w:name="szenario-ausgangslage-jahr-2035"/>
    <w:p>
      <w:pPr>
        <w:pStyle w:val="Heading2"/>
      </w:pPr>
      <w:r>
        <w:t xml:space="preserve">2. Szenario: Ausgangslage (Jahr 2035)</w:t>
      </w:r>
    </w:p>
    <w:bookmarkStart w:id="57" w:name="kontext"/>
    <w:p>
      <w:pPr>
        <w:pStyle w:val="Heading3"/>
      </w:pPr>
      <w:r>
        <w:t xml:space="preserve">2.1 Kontext</w:t>
      </w:r>
    </w:p>
    <w:p>
      <w:pPr>
        <w:pStyle w:val="FirstParagraph"/>
      </w:pPr>
      <w:r>
        <w:t xml:space="preserve">Die Übung spielt im Jahr</w:t>
      </w:r>
      <w:r>
        <w:t xml:space="preserve"> </w:t>
      </w:r>
      <w:r>
        <w:rPr>
          <w:b/>
          <w:bCs/>
        </w:rPr>
        <w:t xml:space="preserve">2035</w:t>
      </w:r>
      <w:r>
        <w:t xml:space="preserve">. Die Studierenden übernehmen Rollen in einem europaweit tätigen Versorgungsunternehmen, das kritische digitale und physische Infrastrukturen betreibt.</w:t>
      </w:r>
    </w:p>
    <w:p>
      <w:pPr>
        <w:pStyle w:val="BodyText"/>
      </w:pPr>
      <w:r>
        <w:t xml:space="preserve">Charakteristika der Organisation:</w:t>
      </w:r>
    </w:p>
    <w:p>
      <w:pPr>
        <w:numPr>
          <w:ilvl w:val="0"/>
          <w:numId w:val="1037"/>
        </w:numPr>
      </w:pPr>
      <w:r>
        <w:t xml:space="preserve">stark digitalisierte Geschäftsprozesse</w:t>
      </w:r>
    </w:p>
    <w:p>
      <w:pPr>
        <w:numPr>
          <w:ilvl w:val="0"/>
          <w:numId w:val="1037"/>
        </w:numPr>
      </w:pPr>
      <w:r>
        <w:t xml:space="preserve">weitgehend autonome IT- und OT-Steuerung</w:t>
      </w:r>
    </w:p>
    <w:p>
      <w:pPr>
        <w:numPr>
          <w:ilvl w:val="0"/>
          <w:numId w:val="1037"/>
        </w:numPr>
      </w:pPr>
      <w:r>
        <w:t xml:space="preserve">KI-gestützte Incident Response</w:t>
      </w:r>
    </w:p>
    <w:p>
      <w:pPr>
        <w:numPr>
          <w:ilvl w:val="0"/>
          <w:numId w:val="1037"/>
        </w:numPr>
      </w:pPr>
      <w:r>
        <w:t xml:space="preserve">teilweise migrierte Post-Quantum-Kryptografie</w:t>
      </w:r>
    </w:p>
    <w:p>
      <w:pPr>
        <w:numPr>
          <w:ilvl w:val="0"/>
          <w:numId w:val="1037"/>
        </w:numPr>
      </w:pPr>
      <w:r>
        <w:t xml:space="preserve">hohe regulatorische Anforderungen (kritische Infrastruktur)</w:t>
      </w:r>
    </w:p>
    <w:p>
      <w:pPr>
        <w:pStyle w:val="FirstParagraph"/>
      </w:pPr>
      <w:r>
        <w:t xml:space="preserve">Ziel der Organisation ist es,</w:t>
      </w:r>
      <w:r>
        <w:t xml:space="preserve"> </w:t>
      </w:r>
      <w:r>
        <w:rPr>
          <w:b/>
          <w:bCs/>
        </w:rPr>
        <w:t xml:space="preserve">Versorgungssicherheit und gesellschaftliche Stabilität</w:t>
      </w:r>
      <w:r>
        <w:t xml:space="preserve"> </w:t>
      </w:r>
      <w:r>
        <w:t xml:space="preserve">zu gewährleisten.</w:t>
      </w:r>
    </w:p>
    <w:bookmarkEnd w:id="57"/>
    <w:bookmarkStart w:id="58" w:name="das-ereignis"/>
    <w:p>
      <w:pPr>
        <w:pStyle w:val="Heading3"/>
      </w:pPr>
      <w:r>
        <w:t xml:space="preserve">2.2 Das Ereignis</w:t>
      </w:r>
    </w:p>
    <w:p>
      <w:pPr>
        <w:pStyle w:val="FirstParagraph"/>
      </w:pPr>
      <w:r>
        <w:t xml:space="preserve">Am frühen Montagmorgen treten mehrere Ereignisse nahezu gleichzeitig auf:</w:t>
      </w:r>
    </w:p>
    <w:p>
      <w:pPr>
        <w:numPr>
          <w:ilvl w:val="0"/>
          <w:numId w:val="1038"/>
        </w:numPr>
      </w:pPr>
      <w:r>
        <w:t xml:space="preserve">Unstimmigkeiten in historischen Signaturen eines zentralen Datenarchivs</w:t>
      </w:r>
    </w:p>
    <w:p>
      <w:pPr>
        <w:numPr>
          <w:ilvl w:val="0"/>
          <w:numId w:val="1038"/>
        </w:numPr>
      </w:pPr>
      <w:r>
        <w:t xml:space="preserve">Auffällige automatische Reaktionen autonomer Schutzsysteme</w:t>
      </w:r>
    </w:p>
    <w:p>
      <w:pPr>
        <w:numPr>
          <w:ilvl w:val="0"/>
          <w:numId w:val="1038"/>
        </w:numPr>
      </w:pPr>
      <w:r>
        <w:t xml:space="preserve">Regionale Einschränkungen digitaler Dienste zur „Stabilisierung des Gesamtsystems“</w:t>
      </w:r>
    </w:p>
    <w:p>
      <w:pPr>
        <w:pStyle w:val="FirstParagraph"/>
      </w:pPr>
      <w:r>
        <w:t xml:space="preserve">Ein klarer technischer Angriff ist</w:t>
      </w:r>
      <w:r>
        <w:t xml:space="preserve"> </w:t>
      </w:r>
      <w:r>
        <w:rPr>
          <w:b/>
          <w:bCs/>
        </w:rPr>
        <w:t xml:space="preserve">nicht eindeutig nachweisbar</w:t>
      </w:r>
      <w:r>
        <w:t xml:space="preserve">. Die Systeme verhalten sich jedoch ungewöhnlich restriktiv.</w:t>
      </w:r>
    </w:p>
    <w:p>
      <w:pPr>
        <w:pStyle w:val="BodyText"/>
      </w:pPr>
      <w:r>
        <w:t xml:space="preserve">Die Situation ist dynamisch, unübersichtlich und gesellschaftlich sensibel.</w:t>
      </w:r>
    </w:p>
    <w:bookmarkEnd w:id="58"/>
    <w:bookmarkEnd w:id="59"/>
    <w:bookmarkStart w:id="60" w:name="rollenverteilung"/>
    <w:p>
      <w:pPr>
        <w:pStyle w:val="Heading2"/>
      </w:pPr>
      <w:r>
        <w:t xml:space="preserve">3. Rollenverteilung</w:t>
      </w:r>
    </w:p>
    <w:p>
      <w:pPr>
        <w:pStyle w:val="FirstParagraph"/>
      </w:pPr>
      <w:r>
        <w:t xml:space="preserve">Die Studierenden werden in Gruppen aufgeteilt.</w:t>
      </w:r>
    </w:p>
    <w:p>
      <w:pPr>
        <w:pStyle w:val="BodyText"/>
      </w:pPr>
      <w:r>
        <w:t xml:space="preserve">Jede Gruppe übernimmt</w:t>
      </w:r>
      <w:r>
        <w:t xml:space="preserve"> </w:t>
      </w:r>
      <w:r>
        <w:rPr>
          <w:b/>
          <w:bCs/>
        </w:rPr>
        <w:t xml:space="preserve">eine klar definierte Rolle</w:t>
      </w:r>
      <w:r>
        <w:t xml:space="preserve"> </w:t>
      </w:r>
      <w:r>
        <w:t xml:space="preserve">mit eigener Perspektive und eigenen Prioritäten.</w:t>
      </w:r>
    </w:p>
    <w:p>
      <w:pPr>
        <w:pStyle w:val="BodyText"/>
      </w:pPr>
      <w:r>
        <w:rPr>
          <w:b/>
          <w:bCs/>
        </w:rPr>
        <w:t xml:space="preserve">Rolle A: Technik / Security</w:t>
      </w:r>
    </w:p>
    <w:p>
      <w:pPr>
        <w:numPr>
          <w:ilvl w:val="0"/>
          <w:numId w:val="1039"/>
        </w:numPr>
      </w:pPr>
      <w:r>
        <w:t xml:space="preserve">Fokus: Systemstabilität, Integrität, Wiederherstellbarkeit</w:t>
      </w:r>
    </w:p>
    <w:p>
      <w:pPr>
        <w:numPr>
          <w:ilvl w:val="0"/>
          <w:numId w:val="1039"/>
        </w:numPr>
      </w:pPr>
      <w:r>
        <w:t xml:space="preserve">Sorge: Eskalation technischer Schäden, Kontrollverlust autonomer Systeme</w:t>
      </w:r>
    </w:p>
    <w:p>
      <w:pPr>
        <w:pStyle w:val="FirstParagraph"/>
      </w:pPr>
      <w:r>
        <w:rPr>
          <w:b/>
          <w:bCs/>
        </w:rPr>
        <w:t xml:space="preserve">Rolle B: Management / Unternehmensleitung</w:t>
      </w:r>
    </w:p>
    <w:p>
      <w:pPr>
        <w:numPr>
          <w:ilvl w:val="0"/>
          <w:numId w:val="1040"/>
        </w:numPr>
      </w:pPr>
      <w:r>
        <w:t xml:space="preserve">Fokus: Versorgungssicherheit, Haftung, wirtschaftliche Stabilität</w:t>
      </w:r>
    </w:p>
    <w:p>
      <w:pPr>
        <w:numPr>
          <w:ilvl w:val="0"/>
          <w:numId w:val="1040"/>
        </w:numPr>
      </w:pPr>
      <w:r>
        <w:t xml:space="preserve">Sorge: Reputationsverlust, regulatorische Konsequenzen</w:t>
      </w:r>
    </w:p>
    <w:p>
      <w:pPr>
        <w:pStyle w:val="FirstParagraph"/>
      </w:pPr>
      <w:r>
        <w:rPr>
          <w:b/>
          <w:bCs/>
        </w:rPr>
        <w:t xml:space="preserve">Rolle C: Staat / Aufsicht</w:t>
      </w:r>
    </w:p>
    <w:p>
      <w:pPr>
        <w:numPr>
          <w:ilvl w:val="0"/>
          <w:numId w:val="1041"/>
        </w:numPr>
      </w:pPr>
      <w:r>
        <w:t xml:space="preserve">Fokus: Schutz kritischer Infrastrukturen, öffentliche Ordnung</w:t>
      </w:r>
    </w:p>
    <w:p>
      <w:pPr>
        <w:numPr>
          <w:ilvl w:val="0"/>
          <w:numId w:val="1041"/>
        </w:numPr>
      </w:pPr>
      <w:r>
        <w:t xml:space="preserve">Sorge: gesellschaftliche Auswirkungen, politische Verantwortung</w:t>
      </w:r>
    </w:p>
    <w:p>
      <w:pPr>
        <w:pStyle w:val="FirstParagraph"/>
      </w:pPr>
      <w:r>
        <w:rPr>
          <w:b/>
          <w:bCs/>
        </w:rPr>
        <w:t xml:space="preserve">Rolle D: Gesellschaft / Kundenvertretung</w:t>
      </w:r>
    </w:p>
    <w:p>
      <w:pPr>
        <w:numPr>
          <w:ilvl w:val="0"/>
          <w:numId w:val="1042"/>
        </w:numPr>
      </w:pPr>
      <w:r>
        <w:t xml:space="preserve">Fokus: Fairness, Transparenz, Teilhabe</w:t>
      </w:r>
    </w:p>
    <w:p>
      <w:pPr>
        <w:numPr>
          <w:ilvl w:val="0"/>
          <w:numId w:val="1042"/>
        </w:numPr>
      </w:pPr>
      <w:r>
        <w:t xml:space="preserve">Sorge: Diskriminierung, Intransparenz, Vertrauensverlust</w:t>
      </w:r>
    </w:p>
    <w:p>
      <w:pPr>
        <w:pStyle w:val="FirstParagraph"/>
      </w:pPr>
      <w:r>
        <w:rPr>
          <w:b/>
          <w:bCs/>
        </w:rPr>
        <w:t xml:space="preserve">Rolle E: Ethik / Recht</w:t>
      </w:r>
    </w:p>
    <w:p>
      <w:pPr>
        <w:numPr>
          <w:ilvl w:val="0"/>
          <w:numId w:val="1043"/>
        </w:numPr>
      </w:pPr>
      <w:r>
        <w:t xml:space="preserve">Fokus: Legitimität, Verantwortlichkeit, Grundrechte</w:t>
      </w:r>
    </w:p>
    <w:p>
      <w:pPr>
        <w:numPr>
          <w:ilvl w:val="0"/>
          <w:numId w:val="1043"/>
        </w:numPr>
      </w:pPr>
      <w:r>
        <w:t xml:space="preserve">Sorge: automatisierte Entscheidungen ohne Widerspruchsmöglichkeit</w:t>
      </w:r>
    </w:p>
    <w:bookmarkEnd w:id="60"/>
    <w:bookmarkStart w:id="61" w:name="X2db9a2938df627e32ad6d743e166c7ef983ce64"/>
    <w:p>
      <w:pPr>
        <w:pStyle w:val="Heading2"/>
      </w:pPr>
      <w:r>
        <w:t xml:space="preserve">4. Arbeitsauftrag (Gruppenphase – ca. 45–60 Minuten)</w:t>
      </w:r>
    </w:p>
    <w:p>
      <w:pPr>
        <w:pStyle w:val="FirstParagraph"/>
      </w:pPr>
      <w:r>
        <w:t xml:space="preserve">Jede Gruppe bearbeitet die folgenden Fragen</w:t>
      </w:r>
      <w:r>
        <w:t xml:space="preserve"> </w:t>
      </w:r>
      <w:r>
        <w:rPr>
          <w:b/>
          <w:bCs/>
        </w:rPr>
        <w:t xml:space="preserve">aus ihrer Rollenperspektive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Aufgabe 1 – Resilienzverständnis</w:t>
      </w:r>
    </w:p>
    <w:p>
      <w:pPr>
        <w:numPr>
          <w:ilvl w:val="0"/>
          <w:numId w:val="1044"/>
        </w:numPr>
      </w:pPr>
      <w:r>
        <w:t xml:space="preserve">Was bedeutet</w:t>
      </w:r>
      <w:r>
        <w:t xml:space="preserve"> </w:t>
      </w:r>
      <w:r>
        <w:rPr>
          <w:b/>
          <w:bCs/>
        </w:rPr>
        <w:t xml:space="preserve">Resilienz</w:t>
      </w:r>
      <w:r>
        <w:t xml:space="preserve"> </w:t>
      </w:r>
      <w:r>
        <w:t xml:space="preserve">in dieser Situation aus eurer Sicht?</w:t>
      </w:r>
    </w:p>
    <w:p>
      <w:pPr>
        <w:numPr>
          <w:ilvl w:val="0"/>
          <w:numId w:val="1044"/>
        </w:numPr>
      </w:pPr>
      <w:r>
        <w:t xml:space="preserve">Was muss unbedingt geschützt werden?</w:t>
      </w:r>
    </w:p>
    <w:p>
      <w:pPr>
        <w:pStyle w:val="FirstParagraph"/>
      </w:pPr>
      <w:r>
        <w:rPr>
          <w:b/>
          <w:bCs/>
        </w:rPr>
        <w:t xml:space="preserve">Aufgabe 2 – Kritische Entscheidungen</w:t>
      </w:r>
    </w:p>
    <w:p>
      <w:pPr>
        <w:numPr>
          <w:ilvl w:val="0"/>
          <w:numId w:val="1045"/>
        </w:numPr>
      </w:pPr>
      <w:r>
        <w:t xml:space="preserve">Welche Entscheidung ist</w:t>
      </w:r>
      <w:r>
        <w:t xml:space="preserve"> </w:t>
      </w:r>
      <w:r>
        <w:rPr>
          <w:b/>
          <w:bCs/>
        </w:rPr>
        <w:t xml:space="preserve">in den nächsten 30 Minuten</w:t>
      </w:r>
      <w:r>
        <w:t xml:space="preserve"> </w:t>
      </w:r>
      <w:r>
        <w:t xml:space="preserve">entscheidend?</w:t>
      </w:r>
    </w:p>
    <w:p>
      <w:pPr>
        <w:numPr>
          <w:ilvl w:val="0"/>
          <w:numId w:val="1045"/>
        </w:numPr>
      </w:pPr>
      <w:r>
        <w:t xml:space="preserve">Wo darf / muss ein autonomes System entscheiden?</w:t>
      </w:r>
    </w:p>
    <w:p>
      <w:pPr>
        <w:numPr>
          <w:ilvl w:val="0"/>
          <w:numId w:val="1045"/>
        </w:numPr>
      </w:pPr>
      <w:r>
        <w:t xml:space="preserve">Wo muss ein Mensch eingreifen?</w:t>
      </w:r>
    </w:p>
    <w:p>
      <w:pPr>
        <w:pStyle w:val="FirstParagraph"/>
      </w:pPr>
      <w:r>
        <w:rPr>
          <w:b/>
          <w:bCs/>
        </w:rPr>
        <w:t xml:space="preserve">Aufgabe 3 – Grenzen der Autonomie</w:t>
      </w:r>
    </w:p>
    <w:p>
      <w:pPr>
        <w:numPr>
          <w:ilvl w:val="0"/>
          <w:numId w:val="1046"/>
        </w:numPr>
      </w:pPr>
      <w:r>
        <w:t xml:space="preserve">Wo sollten autonome Systeme</w:t>
      </w:r>
      <w:r>
        <w:t xml:space="preserve"> </w:t>
      </w:r>
      <w:r>
        <w:rPr>
          <w:b/>
          <w:bCs/>
        </w:rPr>
        <w:t xml:space="preserve">gestoppt oder eingeschränkt</w:t>
      </w:r>
      <w:r>
        <w:t xml:space="preserve"> </w:t>
      </w:r>
      <w:r>
        <w:t xml:space="preserve">werden?</w:t>
      </w:r>
    </w:p>
    <w:p>
      <w:pPr>
        <w:numPr>
          <w:ilvl w:val="0"/>
          <w:numId w:val="1046"/>
        </w:numPr>
      </w:pPr>
      <w:r>
        <w:t xml:space="preserve">Welche Leitplanken sind unverzichtbar?</w:t>
      </w:r>
    </w:p>
    <w:p>
      <w:pPr>
        <w:pStyle w:val="FirstParagraph"/>
      </w:pPr>
      <w:r>
        <w:rPr>
          <w:b/>
          <w:bCs/>
        </w:rPr>
        <w:t xml:space="preserve">Aufgabe 4 – Verantwortung &amp; Kommunikation</w:t>
      </w:r>
    </w:p>
    <w:p>
      <w:pPr>
        <w:numPr>
          <w:ilvl w:val="0"/>
          <w:numId w:val="1047"/>
        </w:numPr>
      </w:pPr>
      <w:r>
        <w:t xml:space="preserve">Wer trägt Verantwortung für die getroffenen Entscheidungen?</w:t>
      </w:r>
    </w:p>
    <w:p>
      <w:pPr>
        <w:numPr>
          <w:ilvl w:val="0"/>
          <w:numId w:val="1047"/>
        </w:numPr>
      </w:pPr>
      <w:r>
        <w:t xml:space="preserve">Was muss intern und extern kommuniziert werden – und wie?</w:t>
      </w:r>
    </w:p>
    <w:bookmarkEnd w:id="61"/>
    <w:bookmarkStart w:id="62" w:name="vorbereitung-der-ergebnisdarstellung"/>
    <w:p>
      <w:pPr>
        <w:pStyle w:val="Heading2"/>
      </w:pPr>
      <w:r>
        <w:t xml:space="preserve">5. Vorbereitung der Ergebnisdarstellung</w:t>
      </w:r>
    </w:p>
    <w:p>
      <w:pPr>
        <w:pStyle w:val="FirstParagraph"/>
      </w:pPr>
      <w:r>
        <w:t xml:space="preserve">Jede Gruppe bereitet eine</w:t>
      </w:r>
      <w:r>
        <w:t xml:space="preserve"> </w:t>
      </w:r>
      <w:r>
        <w:rPr>
          <w:b/>
          <w:bCs/>
        </w:rPr>
        <w:t xml:space="preserve">kurze strukturierte Darstellung</w:t>
      </w:r>
      <w:r>
        <w:t xml:space="preserve"> </w:t>
      </w:r>
      <w:r>
        <w:t xml:space="preserve">(max. 5 Minuten) vor:</w:t>
      </w:r>
    </w:p>
    <w:p>
      <w:pPr>
        <w:numPr>
          <w:ilvl w:val="0"/>
          <w:numId w:val="1048"/>
        </w:numPr>
      </w:pPr>
      <w:r>
        <w:t xml:space="preserve">zentrale Entscheidung</w:t>
      </w:r>
    </w:p>
    <w:p>
      <w:pPr>
        <w:numPr>
          <w:ilvl w:val="0"/>
          <w:numId w:val="1048"/>
        </w:numPr>
      </w:pPr>
      <w:r>
        <w:t xml:space="preserve">Begründung aus der eigenen Perspektive</w:t>
      </w:r>
    </w:p>
    <w:p>
      <w:pPr>
        <w:numPr>
          <w:ilvl w:val="0"/>
          <w:numId w:val="1048"/>
        </w:numPr>
      </w:pPr>
      <w:r>
        <w:t xml:space="preserve">erkannte Zielkonflikte</w:t>
      </w:r>
    </w:p>
    <w:p>
      <w:pPr>
        <w:numPr>
          <w:ilvl w:val="0"/>
          <w:numId w:val="1048"/>
        </w:numPr>
      </w:pPr>
      <w:r>
        <w:t xml:space="preserve">bewusst akzeptierte Risiken</w:t>
      </w:r>
    </w:p>
    <w:p>
      <w:pPr>
        <w:pStyle w:val="FirstParagraph"/>
      </w:pPr>
      <w:r>
        <w:rPr>
          <w:b/>
          <w:bCs/>
        </w:rPr>
        <w:t xml:space="preserve">Wichtig:</w:t>
      </w:r>
      <w:r>
        <w:t xml:space="preserve"> </w:t>
      </w:r>
      <w:r>
        <w:t xml:space="preserve">Es geht nicht um Konsens, sondern um</w:t>
      </w:r>
      <w:r>
        <w:t xml:space="preserve"> </w:t>
      </w:r>
      <w:r>
        <w:rPr>
          <w:b/>
          <w:bCs/>
        </w:rPr>
        <w:t xml:space="preserve">Begründbarkeit</w:t>
      </w:r>
      <w:r>
        <w:t xml:space="preserve">.</w:t>
      </w:r>
    </w:p>
    <w:bookmarkEnd w:id="62"/>
    <w:bookmarkStart w:id="63" w:name="X5e84bbf704e9a9509e59e671b0e34a5a7453f69"/>
    <w:p>
      <w:pPr>
        <w:pStyle w:val="Heading2"/>
      </w:pPr>
      <w:r>
        <w:t xml:space="preserve">6. Plenumsphase &amp; moderierte Diskussion (ca. 30 Minuten)</w:t>
      </w:r>
    </w:p>
    <w:p>
      <w:pPr>
        <w:pStyle w:val="FirstParagraph"/>
      </w:pPr>
      <w:r>
        <w:t xml:space="preserve">Die Gruppen stellen ihre Ergebnisse vor.</w:t>
      </w:r>
    </w:p>
    <w:p>
      <w:pPr>
        <w:pStyle w:val="BodyText"/>
      </w:pPr>
      <w:r>
        <w:t xml:space="preserve">Der Dozent moderiert entlang folgender Leitfragen:</w:t>
      </w:r>
    </w:p>
    <w:p>
      <w:pPr>
        <w:numPr>
          <w:ilvl w:val="0"/>
          <w:numId w:val="1049"/>
        </w:numPr>
      </w:pPr>
      <w:r>
        <w:t xml:space="preserve">Wo widersprechen sich die Entscheidungen der Gruppen?</w:t>
      </w:r>
    </w:p>
    <w:p>
      <w:pPr>
        <w:numPr>
          <w:ilvl w:val="0"/>
          <w:numId w:val="1049"/>
        </w:numPr>
      </w:pPr>
      <w:r>
        <w:t xml:space="preserve">Welche Konflikte waren</w:t>
      </w:r>
      <w:r>
        <w:t xml:space="preserve"> </w:t>
      </w:r>
      <w:r>
        <w:rPr>
          <w:b/>
          <w:bCs/>
        </w:rPr>
        <w:t xml:space="preserve">nicht auflösbar</w:t>
      </w:r>
      <w:r>
        <w:t xml:space="preserve">?</w:t>
      </w:r>
    </w:p>
    <w:p>
      <w:pPr>
        <w:numPr>
          <w:ilvl w:val="0"/>
          <w:numId w:val="1049"/>
        </w:numPr>
      </w:pPr>
      <w:r>
        <w:t xml:space="preserve">Wo kollidieren technische und gesellschaftliche Resilienz?</w:t>
      </w:r>
    </w:p>
    <w:p>
      <w:pPr>
        <w:numPr>
          <w:ilvl w:val="0"/>
          <w:numId w:val="1049"/>
        </w:numPr>
      </w:pPr>
      <w:r>
        <w:t xml:space="preserve">Welche Entscheidungen fühlen sich legitim an – welche nicht?</w:t>
      </w:r>
    </w:p>
    <w:p>
      <w:pPr>
        <w:pStyle w:val="FirstParagraph"/>
      </w:pPr>
      <w:r>
        <w:t xml:space="preserve">Optionaler Impuls:</w:t>
      </w:r>
    </w:p>
    <w:p>
      <w:pPr>
        <w:pStyle w:val="BodyText"/>
      </w:pPr>
      <w:r>
        <w:t xml:space="preserve">„Welche dieser Entscheidungen würdet ihr öffentlich vertreten wollen – und welche nicht?“</w:t>
      </w:r>
    </w:p>
    <w:bookmarkEnd w:id="63"/>
    <w:bookmarkStart w:id="64" w:name="reflexion-transfer"/>
    <w:p>
      <w:pPr>
        <w:pStyle w:val="Heading2"/>
      </w:pPr>
      <w:r>
        <w:t xml:space="preserve">7. Reflexion &amp; Transfer</w:t>
      </w:r>
    </w:p>
    <w:p>
      <w:pPr>
        <w:pStyle w:val="FirstParagraph"/>
      </w:pPr>
      <w:r>
        <w:t xml:space="preserve">Abschließend werden die Erfahrungen gemeinsam reflektiert:</w:t>
      </w:r>
    </w:p>
    <w:p>
      <w:pPr>
        <w:numPr>
          <w:ilvl w:val="0"/>
          <w:numId w:val="1050"/>
        </w:numPr>
      </w:pPr>
      <w:r>
        <w:t xml:space="preserve">Was hat diese Übung über Resilienz verändert?</w:t>
      </w:r>
    </w:p>
    <w:p>
      <w:pPr>
        <w:numPr>
          <w:ilvl w:val="0"/>
          <w:numId w:val="1050"/>
        </w:numPr>
      </w:pPr>
      <w:r>
        <w:t xml:space="preserve">Welche Annahmen aus früheren Sitzungen wurden infrage gestellt?</w:t>
      </w:r>
    </w:p>
    <w:p>
      <w:pPr>
        <w:numPr>
          <w:ilvl w:val="0"/>
          <w:numId w:val="1050"/>
        </w:numPr>
      </w:pPr>
      <w:r>
        <w:t xml:space="preserve">Was bedeutet das für zukünftiges Cyber Resilience Management?</w:t>
      </w:r>
    </w:p>
    <w:p>
      <w:pPr>
        <w:pStyle w:val="FirstParagraph"/>
      </w:pPr>
      <w:r>
        <w:t xml:space="preserve">Zentrale Erkenntnis:</w:t>
      </w:r>
    </w:p>
    <w:p>
      <w:pPr>
        <w:pStyle w:val="BodyText"/>
      </w:pPr>
      <w:r>
        <w:t xml:space="preserve">Resilienz zeigt sich nicht im reibungslosen Betrieb, sondern im</w:t>
      </w:r>
      <w:r>
        <w:t xml:space="preserve"> </w:t>
      </w:r>
      <w:r>
        <w:rPr>
          <w:b/>
          <w:bCs/>
        </w:rPr>
        <w:t xml:space="preserve">Umgang mit Zielkonflikten unter Unsicherheit</w:t>
      </w:r>
      <w:r>
        <w:t xml:space="preserve">.</w:t>
      </w:r>
    </w:p>
    <w:bookmarkEnd w:id="64"/>
    <w:bookmarkStart w:id="65" w:name="abschluss-der-lehrveranstaltung"/>
    <w:p>
      <w:pPr>
        <w:pStyle w:val="Heading2"/>
      </w:pPr>
      <w:r>
        <w:t xml:space="preserve">8. Abschluss der Lehrveranstaltung</w:t>
      </w:r>
    </w:p>
    <w:p>
      <w:pPr>
        <w:pStyle w:val="FirstParagraph"/>
      </w:pPr>
      <w:r>
        <w:t xml:space="preserve">Der Dozent schließt mit einem offenen Gedanken:</w:t>
      </w:r>
    </w:p>
    <w:p>
      <w:pPr>
        <w:pStyle w:val="BodyText"/>
      </w:pPr>
      <w:r>
        <w:t xml:space="preserve">„Resilienz ist keine Eigenschaft von Systemen.</w:t>
      </w:r>
      <w:r>
        <w:t xml:space="preserve"> </w:t>
      </w:r>
      <w:r>
        <w:t xml:space="preserve">Sie ist eine Fähigkeit von Menschen, Organisationen und Gesellschaften.“</w:t>
      </w:r>
    </w:p>
    <w:bookmarkEnd w:id="65"/>
    <w:bookmarkEnd w:id="6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Zukunft der Resilienz</dc:title>
  <dc:creator>Prof. Dr. Dirk Loomans</dc:creator>
  <dc:language>de</dc:language>
  <cp:keywords/>
  <dcterms:created xsi:type="dcterms:W3CDTF">2026-10-24T11:03:05Z</dcterms:created>
  <dcterms:modified xsi:type="dcterms:W3CDTF">2026-10-24T11:03:05Z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subtitle">
    <vt:lpwstr>Vorlesungsskript · Sitzung 10 · Grundlagen der Resilienz</vt:lpwstr>
  </property>
  <property fmtid="{D5CDD505-2E9C-101B-9397-08002B2CF9AE}" pid="14" name="toc-title">
    <vt:lpwstr>Inhaltsverzeichnis</vt:lpwstr>
  </property>
</Properties>
</file>