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Termin 1 – Grundlagen der Resilienz: Safety &amp; Security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bookmarkStart w:id="19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t xml:space="preserve">IT-Systeme sind nie vollkommen sicher. Wie schnell können wir uns nach einer Störung erholen und weiterarbeiten?</w:t>
      </w:r>
    </w:p>
    <w:p>
      <w:pPr>
        <w:pStyle w:val="FirstParagraph"/>
      </w:pPr>
      <w:r>
        <w:t xml:space="preserve">Einstieg: Wie lange darf euer Lieblingsspiel down sein?</w:t>
      </w:r>
    </w:p>
    <w:bookmarkEnd w:id="19"/>
    <w:bookmarkStart w:id="20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Nach diesem Termin können Studierende</w:t>
      </w:r>
    </w:p>
    <w:p>
      <w:pPr>
        <w:pStyle w:val="Compact"/>
        <w:numPr>
          <w:ilvl w:val="0"/>
          <w:numId w:val="1001"/>
        </w:numPr>
      </w:pPr>
      <w:r>
        <w:t xml:space="preserve">den Begriff der Resilienz definieren und von Robustheit, Zuverlässigkeit und Sicherheit abgrenzen,</w:t>
      </w:r>
    </w:p>
    <w:p>
      <w:pPr>
        <w:pStyle w:val="Compact"/>
        <w:numPr>
          <w:ilvl w:val="0"/>
          <w:numId w:val="1001"/>
        </w:numPr>
      </w:pPr>
      <w:r>
        <w:t xml:space="preserve">den Unterschied zwischen Safety (Betriebssicherheit) und Security (Angriffssicherheit) erläutern,</w:t>
      </w:r>
    </w:p>
    <w:p>
      <w:pPr>
        <w:pStyle w:val="Compact"/>
        <w:numPr>
          <w:ilvl w:val="0"/>
          <w:numId w:val="1001"/>
        </w:numPr>
      </w:pPr>
      <w:r>
        <w:t xml:space="preserve">technische und organisatorische Resilienzprinzipien benennen und anwenden,</w:t>
      </w:r>
    </w:p>
    <w:p>
      <w:pPr>
        <w:pStyle w:val="Compact"/>
        <w:numPr>
          <w:ilvl w:val="0"/>
          <w:numId w:val="1001"/>
        </w:numPr>
      </w:pPr>
      <w:r>
        <w:t xml:space="preserve">Resilienz in Cyber-Security-Management, Business Continuity und Incident Response einordnen.</w:t>
      </w:r>
    </w:p>
    <w:bookmarkEnd w:id="20"/>
    <w:bookmarkStart w:id="28" w:name="fachinhalte"/>
    <w:p>
      <w:pPr>
        <w:pStyle w:val="Heading1"/>
      </w:pPr>
      <w:r>
        <w:t xml:space="preserve">Fachinhalte</w:t>
      </w:r>
    </w:p>
    <w:bookmarkStart w:id="21" w:name="begriff-und-bedeutung"/>
    <w:p>
      <w:pPr>
        <w:pStyle w:val="Heading2"/>
      </w:pPr>
      <w:r>
        <w:t xml:space="preserve">Begriff und Bedeutung</w:t>
      </w:r>
    </w:p>
    <w:p>
      <w:pPr>
        <w:pStyle w:val="FirstParagraph"/>
      </w:pPr>
      <w:r>
        <w:t xml:space="preserve">Resilienz bezeichnet die Fähigkeit eines Systems, trotz interner oder externer Störungen funktionsfähig zu bleiben, die Funktionsfähigkeit rasch wiederherzustellen und sich im Zeitverlauf anzupassen. In der Cyber-Sicherheit ergänzt Resilienz die klassische Prävention um frühzeitiges Erkennen (Detection), wirksame Reaktion (Response) und schnelle Wiederherstellung (Recovery).</w:t>
      </w:r>
    </w:p>
    <w:p>
      <w:pPr>
        <w:pStyle w:val="BodyText"/>
      </w:pPr>
      <w:r>
        <w:t xml:space="preserve">Das Ziel ist nicht Unverwundbarkeit, sondern Reaktions- und Wiederherstellungsfähigkeit: robust designen, Störungen erkennen, reagieren, wiederherstellen.</w:t>
      </w:r>
    </w:p>
    <w:bookmarkEnd w:id="21"/>
    <w:bookmarkStart w:id="22" w:name="herkunft-des-begriffs"/>
    <w:p>
      <w:pPr>
        <w:pStyle w:val="Heading2"/>
      </w:pPr>
      <w:r>
        <w:t xml:space="preserve">Herkunft des Begriffs</w:t>
      </w:r>
    </w:p>
    <w:p>
      <w:pPr>
        <w:pStyle w:val="FirstParagraph"/>
      </w:pPr>
      <w:r>
        <w:t xml:space="preserve">Der Resilienzbegriff hat Wurzeln in Materialwissenschaft, Physik, Psychologie und Systemtheorie. Heute wird er auf technische und organisatorische Systeme übertragen. Resilience Engineering betont vier Fähigkeiten soziotechnischer Systeme:</w:t>
      </w:r>
      <w:r>
        <w:t xml:space="preserve"> </w:t>
      </w:r>
      <w:r>
        <w:rPr>
          <w:i/>
          <w:iCs/>
        </w:rPr>
        <w:t xml:space="preserve">anticipate, monitor, respond, learn</w:t>
      </w:r>
      <w:r>
        <w:t xml:space="preserve"> </w:t>
      </w:r>
      <w:r>
        <w:t xml:space="preserve">(Hollnagel u. a. 2006)</w:t>
      </w:r>
      <w:r>
        <w:t xml:space="preserve">.</w:t>
      </w:r>
    </w:p>
    <w:bookmarkEnd w:id="22"/>
    <w:bookmarkStart w:id="23" w:name="safety-und-security"/>
    <w:p>
      <w:pPr>
        <w:pStyle w:val="Heading2"/>
      </w:pPr>
      <w:r>
        <w:t xml:space="preserve">Safety und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Schutz vor</w:t>
            </w:r>
          </w:p>
        </w:tc>
        <w:tc>
          <w:tcPr/>
          <w:p>
            <w:pPr>
              <w:pStyle w:val="Compact"/>
            </w:pPr>
            <w:r>
              <w:t xml:space="preserve">unbeabsichtigten Fehlern und Unfällen</w:t>
            </w:r>
          </w:p>
        </w:tc>
        <w:tc>
          <w:tcPr/>
          <w:p>
            <w:pPr>
              <w:pStyle w:val="Compact"/>
            </w:pPr>
            <w:r>
              <w:t xml:space="preserve">absichtlichen, intelligenten Angriffen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t xml:space="preserve">Hardwaredefekt, Stromausfall, Brand</w:t>
            </w:r>
          </w:p>
        </w:tc>
        <w:tc>
          <w:tcPr/>
          <w:p>
            <w:pPr>
              <w:pStyle w:val="Compact"/>
            </w:pPr>
            <w:r>
              <w:t xml:space="preserve">Ransomware, Social Engineering, Hacking</w:t>
            </w:r>
          </w:p>
        </w:tc>
      </w:tr>
    </w:tbl>
    <w:p>
      <w:pPr>
        <w:pStyle w:val="BodyText"/>
      </w:pPr>
      <w:r>
        <w:t xml:space="preserve">Beide beeinflussen die Resilienz eines Systems. Resilienz integriert beide Perspektiven und adressiert gerade die Übergänge in vernetzten OT- und IoT-Kontexten: Ein Safety-Ereignis kann zum Security-Vektor werden und umgekehrt. Kurz:</w:t>
      </w:r>
      <w:r>
        <w:t xml:space="preserve"> </w:t>
      </w:r>
      <w:r>
        <w:rPr>
          <w:b/>
          <w:bCs/>
        </w:rPr>
        <w:t xml:space="preserve">Safety + Security + Adaptivität = Resilienz.</w:t>
      </w:r>
    </w:p>
    <w:bookmarkEnd w:id="23"/>
    <w:bookmarkStart w:id="24" w:name="physikalisch-systemische-perspektive"/>
    <w:p>
      <w:pPr>
        <w:pStyle w:val="Heading2"/>
      </w:pPr>
      <w:r>
        <w:t xml:space="preserve">Physikalisch-systemische Perspektive</w:t>
      </w:r>
    </w:p>
    <w:p>
      <w:pPr>
        <w:pStyle w:val="FirstParagraph"/>
      </w:pPr>
      <w:r>
        <w:t xml:space="preserve">Resilienz ist die Fähigkeit zur Rückkehr in einen akzeptablen Funktionszustand nach einer Auslenkung. Analogie: Pendel oder gedämpfter Schwingkreis – Störung, Auslenkung, Rückkehr zur Balance. Elastizität steht gegen Fragilität (Gummi gegen Glas). In IT-Systemen übernehmen Kontrollschleifen wie Monitoring, Alerting und Autoscaling die Rolle von Regelkreisen.</w:t>
      </w:r>
    </w:p>
    <w:bookmarkEnd w:id="24"/>
    <w:bookmarkStart w:id="25" w:name="technische-resilienzprinzipien"/>
    <w:p>
      <w:pPr>
        <w:pStyle w:val="Heading2"/>
      </w:pPr>
      <w:r>
        <w:t xml:space="preserve">Technische Resilienzprinzipien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Redundanz</w:t>
      </w:r>
      <w:r>
        <w:t xml:space="preserve"> </w:t>
      </w:r>
      <w:r>
        <w:t xml:space="preserve">– mehrere Wege und Komponenten, etwa Multi-AZ oder Multi-Region.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Diversität</w:t>
      </w:r>
      <w:r>
        <w:t xml:space="preserve"> </w:t>
      </w:r>
      <w:r>
        <w:t xml:space="preserve">– heterogene Implementierungen und Lieferantenvielfalt reduzieren Kaskadenfehler.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Wiederherstellbarkeit</w:t>
      </w:r>
      <w:r>
        <w:t xml:space="preserve"> </w:t>
      </w:r>
      <w:r>
        <w:t xml:space="preserve">– geplante, getestete und automatisierte Wiederanlaufprozesse (Backups, DR-Prozesse).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Adaptivität</w:t>
      </w:r>
      <w:r>
        <w:t xml:space="preserve"> </w:t>
      </w:r>
      <w:r>
        <w:t xml:space="preserve">– dynamische Anpassung, Skalierung, Umschalten, Lernen; Chaos Engineering als Testmethode.</w:t>
      </w:r>
    </w:p>
    <w:p>
      <w:pPr>
        <w:pStyle w:val="FirstParagraph"/>
      </w:pPr>
      <w:r>
        <w:t xml:space="preserve">Diese vier Prinzipien sind der technische Kern der gesamten Lehrveranstaltung und werden in Termin 3 vertieft.</w:t>
      </w:r>
    </w:p>
    <w:bookmarkEnd w:id="25"/>
    <w:bookmarkStart w:id="26" w:name="warum-prävention-nicht-reicht"/>
    <w:p>
      <w:pPr>
        <w:pStyle w:val="Heading2"/>
      </w:pPr>
      <w:r>
        <w:t xml:space="preserve">Warum Prävention nicht reicht</w:t>
      </w:r>
    </w:p>
    <w:p>
      <w:pPr>
        <w:pStyle w:val="FirstParagraph"/>
      </w:pPr>
      <w:r>
        <w:t xml:space="preserve">Zero-Days, Lieferketten und menschliche Fehler machen 100 % Prävention unmöglich. Resilienz ist die letzte Verteidigungslinie. Deshalb ist sie ein Management- und Architekturthema, eingebettet in Standards und Frameworks und verbunden mit Incident Response, BCM und IT-Service-Continuity-Management.</w:t>
      </w:r>
    </w:p>
    <w:bookmarkEnd w:id="26"/>
    <w:bookmarkStart w:id="27" w:name="praxisbeispiele"/>
    <w:p>
      <w:pPr>
        <w:pStyle w:val="Heading2"/>
      </w:pPr>
      <w:r>
        <w:t xml:space="preserve">Praxisbeispiele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Ransomware in einer Verwaltung:</w:t>
      </w:r>
      <w:r>
        <w:t xml:space="preserve"> </w:t>
      </w:r>
      <w:r>
        <w:t xml:space="preserve">koordiniertes Incident- und Krisenmanagement, offline verifizierte Backups, priorisierter Wiederanlauf gemäß BCM-Plan. Recovery und Kommunikation sind entscheidend.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DDoS auf einen Online-Dienst:</w:t>
      </w:r>
      <w:r>
        <w:t xml:space="preserve"> </w:t>
      </w:r>
      <w:r>
        <w:t xml:space="preserve">Anycast, CDN und WAF, elastische Skalierung und Traffic-Filterung, transparente Status-Kommunikation, Übungen (Game Days).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Home / OT:</w:t>
      </w:r>
      <w:r>
        <w:t xml:space="preserve"> </w:t>
      </w:r>
      <w:r>
        <w:t xml:space="preserve">Ein Safety-Ereignis wird zum Security-Vektor; Segmentierung, sichere Updates, Fail-Safe-Modi.</w:t>
      </w:r>
    </w:p>
    <w:p>
      <w:pPr>
        <w:pStyle w:val="FirstParagraph"/>
      </w:pPr>
      <w:r>
        <w:t xml:space="preserve">Diskussionsfrage: Welche Maßnahmen beschleunigen die Wiederherstellung?</w:t>
      </w:r>
    </w:p>
    <w:bookmarkEnd w:id="27"/>
    <w:bookmarkEnd w:id="28"/>
    <w:bookmarkStart w:id="33" w:name="normativer-bezug"/>
    <w:p>
      <w:pPr>
        <w:pStyle w:val="Heading1"/>
      </w:pPr>
      <w:r>
        <w:t xml:space="preserve">Normativer Bezug</w:t>
      </w:r>
    </w:p>
    <w:p>
      <w:pPr>
        <w:pStyle w:val="FirstParagraph"/>
      </w:pPr>
      <w:r>
        <w:t xml:space="preserve">NIST SP 800-160 Vol. 2 operationalisiert Cyber-Resilienz als Engineering-Aufgabe</w:t>
      </w:r>
      <w:r>
        <w:t xml:space="preserve"> </w:t>
      </w:r>
      <w:r>
        <w:t xml:space="preserve">(Ross u. a. 2021)</w:t>
      </w:r>
      <w:r>
        <w:t xml:space="preserve">. ISO/IEC 27031 adressiert die IKT-Bereitschaft für Business Continuity</w:t>
      </w:r>
      <w:r>
        <w:t xml:space="preserve"> </w:t>
      </w:r>
      <w:r>
        <w:t xml:space="preserve">(ISO/IEC 27031 2025)</w:t>
      </w:r>
      <w:r>
        <w:t xml:space="preserve">, der BSI-Standard 200-4 das Business Continuity Management</w:t>
      </w:r>
      <w:r>
        <w:t xml:space="preserve"> </w:t>
      </w:r>
      <w:r>
        <w:t xml:space="preserve">(BSI-Standard 200-4 2023)</w:t>
      </w:r>
      <w:r>
        <w:t xml:space="preserve">. ENISA veröffentlicht sektorspezifische Resilienz-Leitfäden.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usr/local/lib/python3.11/dist-packages/quarto_cli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 zur Begrifflichkeit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Die Archivunterlagen beschreiben das NIST-Modell mit „resist, recover, re-constitute, re-architect“. Revision 1 von NIST SP 800-160 Vol. 2 formuliert die Ziele</w:t>
            </w:r>
            <w:r>
              <w:t xml:space="preserve"> </w:t>
            </w:r>
            <w:r>
              <w:rPr>
                <w:i/>
                <w:iCs/>
              </w:rPr>
              <w:t xml:space="preserve">Anticipate, Withstand, Recover, Adapt</w:t>
            </w:r>
            <w:r>
              <w:t xml:space="preserve">. Siehe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Hinweise zur Aktualität</w:t>
              </w:r>
            </w:hyperlink>
            <w:r>
              <w:t xml:space="preserve">.</w:t>
            </w:r>
          </w:p>
          <w:p/>
        </w:tc>
      </w:tr>
    </w:tbl>
    <w:bookmarkEnd w:id="33"/>
    <w:bookmarkStart w:id="34" w:name="übung-safety-oder-security"/>
    <w:p>
      <w:pPr>
        <w:pStyle w:val="Heading1"/>
      </w:pPr>
      <w:r>
        <w:t xml:space="preserve">Übung: Safety oder Security?</w:t>
      </w:r>
    </w:p>
    <w:p>
      <w:pPr>
        <w:pStyle w:val="FirstParagraph"/>
      </w:pPr>
      <w:r>
        <w:t xml:space="preserve">Gruppenaufgabe mit Szenarien: Cloud-Gaming, Krankenhaus-IT, Smart Home, autonomes Fahrzeug, Banking-App.</w:t>
      </w:r>
    </w:p>
    <w:p>
      <w:pPr>
        <w:pStyle w:val="Compact"/>
        <w:numPr>
          <w:ilvl w:val="0"/>
          <w:numId w:val="1004"/>
        </w:numPr>
      </w:pPr>
      <w:r>
        <w:t xml:space="preserve">Safety- und Security-Risiken identifizieren.</w:t>
      </w:r>
    </w:p>
    <w:p>
      <w:pPr>
        <w:pStyle w:val="Compact"/>
        <w:numPr>
          <w:ilvl w:val="0"/>
          <w:numId w:val="1004"/>
        </w:numPr>
      </w:pPr>
      <w:r>
        <w:t xml:space="preserve">Risiken Safety oder Security zuordnen; Übergänge benennen.</w:t>
      </w:r>
    </w:p>
    <w:p>
      <w:pPr>
        <w:pStyle w:val="Compact"/>
        <w:numPr>
          <w:ilvl w:val="0"/>
          <w:numId w:val="1004"/>
        </w:numPr>
      </w:pPr>
      <w:r>
        <w:t xml:space="preserve">Resilienzmaßnahmen vorschlagen und kritische Funktionen priorisieren.</w:t>
      </w:r>
    </w:p>
    <w:p>
      <w:pPr>
        <w:pStyle w:val="Compact"/>
        <w:numPr>
          <w:ilvl w:val="0"/>
          <w:numId w:val="1004"/>
        </w:numPr>
      </w:pPr>
      <w:r>
        <w:t xml:space="preserve">5-Minuten-Kurzpräsentation pro Gruppe.</w:t>
      </w:r>
    </w:p>
    <w:bookmarkEnd w:id="34"/>
    <w:bookmarkStart w:id="35" w:name="prüfungsrelevante-leitfragen"/>
    <w:p>
      <w:pPr>
        <w:pStyle w:val="Heading1"/>
      </w:pPr>
      <w:r>
        <w:t xml:space="preserve">Prüfungsrelevante Leitfragen</w:t>
      </w:r>
    </w:p>
    <w:p>
      <w:pPr>
        <w:pStyle w:val="Compact"/>
        <w:numPr>
          <w:ilvl w:val="0"/>
          <w:numId w:val="1005"/>
        </w:numPr>
      </w:pPr>
      <w:r>
        <w:t xml:space="preserve">Definieren Sie Resilienz im Kontext von IT-Systemen und grenzen Sie den Begriff von Robustheit ab.</w:t>
      </w:r>
    </w:p>
    <w:p>
      <w:pPr>
        <w:pStyle w:val="Compact"/>
        <w:numPr>
          <w:ilvl w:val="0"/>
          <w:numId w:val="1005"/>
        </w:numPr>
      </w:pPr>
      <w:r>
        <w:t xml:space="preserve">Erläutern Sie den Unterschied zwischen Safety und Security und nennen Sie je ein Beispiel aus IT/OT.</w:t>
      </w:r>
    </w:p>
    <w:p>
      <w:pPr>
        <w:pStyle w:val="Compact"/>
        <w:numPr>
          <w:ilvl w:val="0"/>
          <w:numId w:val="1005"/>
        </w:numPr>
      </w:pPr>
      <w:r>
        <w:t xml:space="preserve">Nennen und erklären Sie drei technische Prinzipien, die Resilienz erhöhen (mit kurzen Beispielen).</w:t>
      </w:r>
    </w:p>
    <w:p>
      <w:pPr>
        <w:pStyle w:val="Compact"/>
        <w:numPr>
          <w:ilvl w:val="0"/>
          <w:numId w:val="1005"/>
        </w:numPr>
      </w:pPr>
      <w:r>
        <w:t xml:space="preserve">Skizzieren Sie die Rolle von ISO/IEC 27031 und BSI-Standard 200-4 für Wiederanlauf und BCM.</w:t>
      </w:r>
    </w:p>
    <w:p>
      <w:pPr>
        <w:pStyle w:val="Compact"/>
        <w:numPr>
          <w:ilvl w:val="0"/>
          <w:numId w:val="1005"/>
        </w:numPr>
      </w:pPr>
      <w:r>
        <w:t xml:space="preserve">Beschreiben Sie den Detect–Respond–Recover-Gedanken.</w:t>
      </w:r>
    </w:p>
    <w:p>
      <w:pPr>
        <w:pStyle w:val="FirstParagraph"/>
      </w:pPr>
      <w:r>
        <w:rPr>
          <w:b/>
          <w:bCs/>
        </w:rPr>
        <w:t xml:space="preserve">Kernpunkte</w:t>
      </w:r>
    </w:p>
    <w:p>
      <w:pPr>
        <w:pStyle w:val="Compact"/>
        <w:numPr>
          <w:ilvl w:val="0"/>
          <w:numId w:val="1006"/>
        </w:numPr>
      </w:pPr>
      <w:r>
        <w:t xml:space="preserve">„Sicherheit schützt – Resilienz überlebt.“ Prävention ist notwendig, aber nicht hinreichend.</w:t>
      </w:r>
    </w:p>
    <w:p>
      <w:pPr>
        <w:pStyle w:val="Compact"/>
        <w:numPr>
          <w:ilvl w:val="0"/>
          <w:numId w:val="1006"/>
        </w:numPr>
      </w:pPr>
      <w:r>
        <w:t xml:space="preserve">Safety und Security adressieren unterschiedliche Ursachen – Resilienz integriert beide Perspektiven.</w:t>
      </w:r>
    </w:p>
    <w:p>
      <w:pPr>
        <w:pStyle w:val="Compact"/>
        <w:numPr>
          <w:ilvl w:val="0"/>
          <w:numId w:val="1006"/>
        </w:numPr>
      </w:pPr>
      <w:r>
        <w:t xml:space="preserve">Design for Failure: Redundanz, Diversität, Wiederherstellbarkeit und Adaptivität sind Leitplanken.</w:t>
      </w:r>
    </w:p>
    <w:p>
      <w:pPr>
        <w:pStyle w:val="Compact"/>
        <w:numPr>
          <w:ilvl w:val="0"/>
          <w:numId w:val="1006"/>
        </w:numPr>
      </w:pPr>
      <w:r>
        <w:t xml:space="preserve">Resilienz erfordert Technik, Prozesse und Menschen – und lebt von Übung und Lernen.</w:t>
      </w:r>
    </w:p>
    <w:bookmarkEnd w:id="35"/>
    <w:bookmarkStart w:id="36" w:name="vor--und-nachbereitung"/>
    <w:p>
      <w:pPr>
        <w:pStyle w:val="Heading1"/>
      </w:pPr>
      <w:r>
        <w:t xml:space="preserve">Vor- und Nachbereitung</w:t>
      </w:r>
    </w:p>
    <w:p>
      <w:pPr>
        <w:pStyle w:val="FirstParagraph"/>
      </w:pPr>
      <w:r>
        <w:rPr>
          <w:b/>
          <w:bCs/>
        </w:rPr>
        <w:t xml:space="preserve">Hausaufgabe:</w:t>
      </w:r>
      <w:r>
        <w:t xml:space="preserve"> </w:t>
      </w:r>
      <w:r>
        <w:t xml:space="preserve">Recherchieren Sie ein Beispiel für ein System, das sich nach einer Störung besonders schnell erholt hat.</w:t>
      </w:r>
    </w:p>
    <w:p>
      <w:pPr>
        <w:pStyle w:val="BodyText"/>
      </w:pPr>
      <w:r>
        <w:rPr>
          <w:b/>
          <w:bCs/>
        </w:rPr>
        <w:t xml:space="preserve">Ausblick Termin 2:</w:t>
      </w:r>
      <w:r>
        <w:t xml:space="preserve"> </w:t>
      </w:r>
      <w:r>
        <w:t xml:space="preserve">Modelle und Metriken der Resilienz (RTO, RPO, MTTR, MTBF).</w:t>
      </w:r>
    </w:p>
    <w:bookmarkEnd w:id="36"/>
    <w:bookmarkStart w:id="37" w:name="material-aus-dem-archiv"/>
    <w:p>
      <w:pPr>
        <w:pStyle w:val="Heading1"/>
      </w:pPr>
      <w:r>
        <w:t xml:space="preserve">Material aus dem Archiv</w:t>
      </w:r>
    </w:p>
    <w:p>
      <w:pPr>
        <w:pStyle w:val="FirstParagraph"/>
      </w:pPr>
      <w:r>
        <w:rPr>
          <w:rStyle w:val="VerbatimChar"/>
        </w:rPr>
        <w:t xml:space="preserve">01 Grundlagen/01_Grundlagen der Resilienz.pptx</w:t>
      </w:r>
      <w:r>
        <w:t xml:space="preserve"> </w:t>
      </w:r>
      <w:r>
        <w:t xml:space="preserve">(Foliensatz mit Sprechernotizen) und</w:t>
      </w:r>
      <w:r>
        <w:t xml:space="preserve"> </w:t>
      </w:r>
      <w:r>
        <w:rPr>
          <w:rStyle w:val="VerbatimChar"/>
        </w:rPr>
        <w:t xml:space="preserve">Skript_Sitzung1_Grundlagen_der_Resilienz.pdf</w:t>
      </w:r>
      <w:r>
        <w:t xml:space="preserve">.</w:t>
      </w:r>
    </w:p>
    <w:bookmarkEnd w:id="37"/>
    <w:bookmarkStart w:id="45" w:name="bibliography"/>
    <w:p>
      <w:pPr>
        <w:pStyle w:val="Heading1"/>
      </w:pPr>
      <w:r>
        <w:t xml:space="preserve">Literatur</w:t>
      </w:r>
    </w:p>
    <w:bookmarkStart w:id="44" w:name="refs"/>
    <w:bookmarkStart w:id="38" w:name="ref-bsi2004"/>
    <w:p>
      <w:pPr>
        <w:pStyle w:val="Bibliography"/>
      </w:pPr>
      <w:r>
        <w:t xml:space="preserve">BSI-Standard 200-4: Business Continuity Management (2023).</w:t>
      </w:r>
    </w:p>
    <w:bookmarkEnd w:id="38"/>
    <w:bookmarkStart w:id="39" w:name="ref-hollnagel2006resilience"/>
    <w:p>
      <w:pPr>
        <w:pStyle w:val="Bibliography"/>
      </w:pPr>
      <w:r>
        <w:t xml:space="preserve">Hollnagel, Erik, David D. Woods, und Nancy Leveson, Hrsg. 2006.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bookmarkEnd w:id="39"/>
    <w:bookmarkStart w:id="41" w:name="ref-iso27031"/>
    <w:p>
      <w:pPr>
        <w:pStyle w:val="Bibliography"/>
      </w:pPr>
      <w:r>
        <w:t xml:space="preserve">ISO/IEC 27031:2025 Cybersecurity – Information and Communication Technology Readiness for Business Continuity (2025).</w:t>
      </w:r>
      <w:r>
        <w:t xml:space="preserve"> </w:t>
      </w:r>
      <w:hyperlink r:id="rId40">
        <w:r>
          <w:rPr>
            <w:rStyle w:val="Hyperlink"/>
          </w:rPr>
          <w:t xml:space="preserve">https://www.iso.org/standard/27031</w:t>
        </w:r>
      </w:hyperlink>
      <w:r>
        <w:t xml:space="preserve">.</w:t>
      </w:r>
    </w:p>
    <w:bookmarkEnd w:id="41"/>
    <w:bookmarkStart w:id="43" w:name="ref-nist800160v2r1"/>
    <w:p>
      <w:pPr>
        <w:pStyle w:val="Bibliography"/>
      </w:pPr>
      <w:r>
        <w:t xml:space="preserve">Ross, Ron, Victoria Pillitteri, Richard Graubart, Deborah Bodeau, und Rosalie McQuaid. 2021.</w:t>
      </w:r>
      <w:r>
        <w:t xml:space="preserve"> </w:t>
      </w:r>
      <w:r>
        <w:rPr>
          <w:i/>
          <w:iCs/>
        </w:rPr>
        <w:t xml:space="preserve">Developing Cyber-Resilient Systems: A Systems Security Engineering Approach</w:t>
      </w:r>
      <w:r>
        <w:t xml:space="preserve">. NIST Special Publication 800-160 Vol. 2 Rev. 1. National Institute of Standards; Technology.</w:t>
      </w:r>
      <w:r>
        <w:t xml:space="preserve"> </w:t>
      </w:r>
      <w:hyperlink r:id="rId42">
        <w:r>
          <w:rPr>
            <w:rStyle w:val="Hyperlink"/>
          </w:rPr>
          <w:t xml:space="preserve">https://doi.org/10.6028/NIST.SP.800-160v2r1</w:t>
        </w:r>
      </w:hyperlink>
      <w:r>
        <w:t xml:space="preserve">.</w:t>
      </w:r>
    </w:p>
    <w:bookmarkEnd w:id="43"/>
    <w:bookmarkEnd w:id="44"/>
    <w:bookmarkEnd w:id="45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32" Target="../quellen.html#hinweise-zur-aktualit&#228;t" TargetMode="External" /><Relationship Type="http://schemas.openxmlformats.org/officeDocument/2006/relationships/hyperlink" Id="rId42" Target="https://doi.org/10.6028/NIST.SP.800-160v2r1" TargetMode="External" /><Relationship Type="http://schemas.openxmlformats.org/officeDocument/2006/relationships/hyperlink" Id="rId40" Target="https://www.iso.org/standard/270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quellen.html#hinweise-zur-aktualit&#228;t" TargetMode="External" /><Relationship Type="http://schemas.openxmlformats.org/officeDocument/2006/relationships/hyperlink" Id="rId42" Target="https://doi.org/10.6028/NIST.SP.800-160v2r1" TargetMode="External" /><Relationship Type="http://schemas.openxmlformats.org/officeDocument/2006/relationships/hyperlink" Id="rId40" Target="https://www.iso.org/standard/2703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 1 – Grundlagen der Resilienz: Safety &amp; Security</dc:title>
  <dc:creator>Prof. Dr. Dirk Loomans</dc:creator>
  <dc:language>de</dc:language>
  <cp:keywords/>
  <dcterms:created xsi:type="dcterms:W3CDTF">2026-09-29T12:29:44Z</dcterms:created>
  <dcterms:modified xsi:type="dcterms:W3CDTF">2026-09-29T12:29:44Z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toc-title">
    <vt:lpwstr>Inhaltsverzeichnis</vt:lpwstr>
  </property>
</Properties>
</file>