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Termin 5 – Resilienz als Organisationsfähigkeit</w:t>
      </w:r>
    </w:p>
    <w:p>
      <w:pPr>
        <w:pStyle w:val="Author"/>
      </w:pPr>
      <w:r>
        <w:t xml:space="preserve">Prof. Dr. Dirk Loomans</w:t>
      </w:r>
    </w:p>
    <w:p>
      <w:pPr>
        <w:pStyle w:val="Date"/>
      </w:pPr>
      <w:r>
        <w:t xml:space="preserve">29. September 2026</w:t>
      </w:r>
    </w:p>
    <w:p>
      <w:pPr>
        <w:pStyle w:val="FirstParagraph"/>
      </w:pPr>
      <w:r>
        <w:rPr>
          <w:b/>
          <w:bCs/>
        </w:rPr>
        <w:t xml:space="preserve">Vorlesungsskript · Grundlagen der Resilienz</w:t>
      </w:r>
      <w:r>
        <w:t xml:space="preserve"> </w:t>
      </w:r>
      <w:r>
        <w:t xml:space="preserve">· Cyber Security Management (B.Sc.), 1. Semester · Hochschule Mainz</w:t>
      </w:r>
    </w:p>
    <w:p>
      <w:pPr>
        <w:pStyle w:val="BodyText"/>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bookmarkStart w:id="19" w:name="leitfrage"/>
    <w:p>
      <w:pPr>
        <w:pStyle w:val="Heading1"/>
      </w:pPr>
      <w:r>
        <w:t xml:space="preserve">Leitfrage</w:t>
      </w:r>
    </w:p>
    <w:p>
      <w:pPr>
        <w:pStyle w:val="BlockText"/>
      </w:pPr>
      <w:r>
        <w:t xml:space="preserve">Wie überlebt die Organisation – und bleibt dabei handlungsfähig?</w:t>
      </w:r>
    </w:p>
    <w:p>
      <w:pPr>
        <w:pStyle w:val="FirstParagraph"/>
      </w:pPr>
      <w:r>
        <w:t xml:space="preserve">Technik schafft Potenzial – Organisation aktiviert es. Im Ernstfall entscheidet nicht Technologie, sondern Verhalten.</w:t>
      </w:r>
    </w:p>
    <w:bookmarkEnd w:id="19"/>
    <w:bookmarkStart w:id="20" w:name="lernziele"/>
    <w:p>
      <w:pPr>
        <w:pStyle w:val="Heading1"/>
      </w:pPr>
      <w:r>
        <w:t xml:space="preserve">Lernziele</w:t>
      </w:r>
    </w:p>
    <w:p>
      <w:pPr>
        <w:pStyle w:val="FirstParagraph"/>
      </w:pPr>
      <w:r>
        <w:t xml:space="preserve">Nach diesem Termin können Studierende</w:t>
      </w:r>
    </w:p>
    <w:p>
      <w:pPr>
        <w:pStyle w:val="Compact"/>
        <w:numPr>
          <w:ilvl w:val="0"/>
          <w:numId w:val="1001"/>
        </w:numPr>
      </w:pPr>
      <w:r>
        <w:t xml:space="preserve">erklären, was organisationale Resilienz nach ISO 22316 ist,</w:t>
      </w:r>
    </w:p>
    <w:p>
      <w:pPr>
        <w:pStyle w:val="Compact"/>
        <w:numPr>
          <w:ilvl w:val="0"/>
          <w:numId w:val="1001"/>
        </w:numPr>
      </w:pPr>
      <w:r>
        <w:t xml:space="preserve">erkennen, welche Rollen, Prozesse und Kommunikationsmuster Resilienz fördern oder behindern,</w:t>
      </w:r>
    </w:p>
    <w:p>
      <w:pPr>
        <w:pStyle w:val="Compact"/>
        <w:numPr>
          <w:ilvl w:val="0"/>
          <w:numId w:val="1001"/>
        </w:numPr>
      </w:pPr>
      <w:r>
        <w:t xml:space="preserve">beschreiben, wie Training, Governance und Lernkultur Widerstandsfähigkeit institutionalisieren.</w:t>
      </w:r>
    </w:p>
    <w:bookmarkEnd w:id="20"/>
    <w:bookmarkStart w:id="35" w:name="fachinhalte"/>
    <w:p>
      <w:pPr>
        <w:pStyle w:val="Heading1"/>
      </w:pPr>
      <w:r>
        <w:t xml:space="preserve">Fachinhalte</w:t>
      </w:r>
    </w:p>
    <w:bookmarkStart w:id="21" w:name="X3bebcdf67d26f1023521be072b9a73138539bc9"/>
    <w:p>
      <w:pPr>
        <w:pStyle w:val="Heading2"/>
      </w:pPr>
      <w:r>
        <w:t xml:space="preserve">Von der technischen zur organisationalen Resilienz</w:t>
      </w:r>
    </w:p>
    <w:p>
      <w:pPr>
        <w:pStyle w:val="FirstParagraph"/>
      </w:pPr>
      <w:r>
        <w:t xml:space="preserve">Technische Resilienz sichert Systeme, organisationale Resilienz sichert Entscheidungen. Organisationale Resilienz ist die Fähigkeit, das technische Potenzial unter Stress, Zeitdruck und Informationsunsicherheit gezielt zu aktivieren: Wer erkennt den Vorfall? Wer informiert wen? Wer entscheidet, was in welcher Reihenfolge getan wird?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Aspekt</w:t>
            </w:r>
          </w:p>
        </w:tc>
        <w:tc>
          <w:tcPr/>
          <w:p>
            <w:pPr>
              <w:pStyle w:val="Compact"/>
            </w:pPr>
            <w:r>
              <w:t xml:space="preserve">Technische Resilienz</w:t>
            </w:r>
          </w:p>
        </w:tc>
        <w:tc>
          <w:tcPr/>
          <w:p>
            <w:pPr>
              <w:pStyle w:val="Compact"/>
            </w:pPr>
            <w:r>
              <w:t xml:space="preserve">Organisationale Resilienz</w:t>
            </w:r>
          </w:p>
        </w:tc>
      </w:tr>
      <w:tr>
        <w:tc>
          <w:tcPr/>
          <w:p>
            <w:pPr>
              <w:pStyle w:val="Compact"/>
            </w:pPr>
            <w:r>
              <w:t xml:space="preserve">Steuerungslogik</w:t>
            </w:r>
          </w:p>
        </w:tc>
        <w:tc>
          <w:tcPr/>
          <w:p>
            <w:pPr>
              <w:pStyle w:val="Compact"/>
            </w:pPr>
            <w:r>
              <w:t xml:space="preserve">deterministisch, automatisiert</w:t>
            </w:r>
          </w:p>
        </w:tc>
        <w:tc>
          <w:tcPr/>
          <w:p>
            <w:pPr>
              <w:pStyle w:val="Compact"/>
            </w:pPr>
            <w:r>
              <w:t xml:space="preserve">adaptiv, situativ</w:t>
            </w:r>
          </w:p>
        </w:tc>
      </w:tr>
      <w:tr>
        <w:tc>
          <w:tcPr/>
          <w:p>
            <w:pPr>
              <w:pStyle w:val="Compact"/>
            </w:pPr>
            <w:r>
              <w:t xml:space="preserve">Fokus</w:t>
            </w:r>
          </w:p>
        </w:tc>
        <w:tc>
          <w:tcPr/>
          <w:p>
            <w:pPr>
              <w:pStyle w:val="Compact"/>
            </w:pPr>
            <w:r>
              <w:t xml:space="preserve">Systeme und Prozesse</w:t>
            </w:r>
          </w:p>
        </w:tc>
        <w:tc>
          <w:tcPr/>
          <w:p>
            <w:pPr>
              <w:pStyle w:val="Compact"/>
            </w:pPr>
            <w:r>
              <w:t xml:space="preserve">Menschen, Rollen, Kommunikation</w:t>
            </w:r>
          </w:p>
        </w:tc>
      </w:tr>
      <w:tr>
        <w:tc>
          <w:tcPr/>
          <w:p>
            <w:pPr>
              <w:pStyle w:val="Compact"/>
            </w:pPr>
            <w:r>
              <w:t xml:space="preserve">Nachweis</w:t>
            </w:r>
          </w:p>
        </w:tc>
        <w:tc>
          <w:tcPr/>
          <w:p>
            <w:pPr>
              <w:pStyle w:val="Compact"/>
            </w:pPr>
            <w:r>
              <w:t xml:space="preserve">Monitoring, Failover-Tests</w:t>
            </w:r>
          </w:p>
        </w:tc>
        <w:tc>
          <w:tcPr/>
          <w:p>
            <w:pPr>
              <w:pStyle w:val="Compact"/>
            </w:pPr>
            <w:r>
              <w:t xml:space="preserve">Übungen, Entscheidungswege, Lernfähigkeit</w:t>
            </w:r>
          </w:p>
        </w:tc>
      </w:tr>
      <w:tr>
        <w:tc>
          <w:tcPr/>
          <w:p>
            <w:pPr>
              <w:pStyle w:val="Compact"/>
            </w:pPr>
            <w:r>
              <w:t xml:space="preserve">Zielgröße</w:t>
            </w:r>
          </w:p>
        </w:tc>
        <w:tc>
          <w:tcPr/>
          <w:p>
            <w:pPr>
              <w:pStyle w:val="Compact"/>
            </w:pPr>
            <w:r>
              <w:t xml:space="preserve">System bleibt funktionsfähig</w:t>
            </w:r>
          </w:p>
        </w:tc>
        <w:tc>
          <w:tcPr/>
          <w:p>
            <w:pPr>
              <w:pStyle w:val="Compact"/>
            </w:pPr>
            <w:r>
              <w:t xml:space="preserve">Organisation bleibt handlungsfähig</w:t>
            </w:r>
          </w:p>
        </w:tc>
      </w:tr>
    </w:tbl>
    <w:p>
      <w:pPr>
        <w:pStyle w:val="BodyText"/>
      </w:pPr>
      <w:r>
        <w:t xml:space="preserve">Leitfäden zum Incident Handling (NIST SP 800-61, ENISA) betonen, dass die Wirksamkeit maßgeblich von klaren Zuständigkeiten, Kommunikationswegen und geübten Prozessen abhängt</w:t>
      </w:r>
      <w:r>
        <w:t xml:space="preserve"> </w:t>
      </w:r>
      <w:r>
        <w:t xml:space="preserve">(Cichonski u. a. 2012)</w:t>
      </w:r>
      <w:r>
        <w:t xml:space="preserve">. Organisationale Resilienz wirkt wie ein „soziales Redundanzsystem“.</w:t>
      </w:r>
    </w:p>
    <w:bookmarkEnd w:id="21"/>
    <w:bookmarkStart w:id="22" w:name="definition-nach-iso-22316"/>
    <w:p>
      <w:pPr>
        <w:pStyle w:val="Heading2"/>
      </w:pPr>
      <w:r>
        <w:t xml:space="preserve">Definition nach ISO 22316</w:t>
      </w:r>
    </w:p>
    <w:p>
      <w:pPr>
        <w:pStyle w:val="BlockText"/>
      </w:pPr>
      <w:r>
        <w:t xml:space="preserve">„Die Fähigkeit einer Organisation, Störungen vorherzusehen, sich vorzubereiten, zu reagieren und sich anzupassen, um in einem sich verändernden Umfeld zu überleben und zu gedeihen.“</w:t>
      </w:r>
      <w:r>
        <w:t xml:space="preserve"> </w:t>
      </w:r>
      <w:r>
        <w:t xml:space="preserve">(ISO 22316 2017)</w:t>
      </w:r>
    </w:p>
    <w:p>
      <w:pPr>
        <w:pStyle w:val="FirstParagraph"/>
      </w:pPr>
      <w:r>
        <w:t xml:space="preserve">Kernkomponenten:</w:t>
      </w:r>
    </w:p>
    <w:p>
      <w:pPr>
        <w:pStyle w:val="Compact"/>
        <w:numPr>
          <w:ilvl w:val="0"/>
          <w:numId w:val="1002"/>
        </w:numPr>
      </w:pPr>
      <w:r>
        <w:rPr>
          <w:b/>
          <w:bCs/>
        </w:rPr>
        <w:t xml:space="preserve">Strukturen</w:t>
      </w:r>
      <w:r>
        <w:t xml:space="preserve"> </w:t>
      </w:r>
      <w:r>
        <w:t xml:space="preserve">→ klare Rollen und Verantwortlichkeiten</w:t>
      </w:r>
    </w:p>
    <w:p>
      <w:pPr>
        <w:pStyle w:val="Compact"/>
        <w:numPr>
          <w:ilvl w:val="0"/>
          <w:numId w:val="1002"/>
        </w:numPr>
      </w:pPr>
      <w:r>
        <w:rPr>
          <w:b/>
          <w:bCs/>
        </w:rPr>
        <w:t xml:space="preserve">Prozesse</w:t>
      </w:r>
      <w:r>
        <w:t xml:space="preserve"> </w:t>
      </w:r>
      <w:r>
        <w:t xml:space="preserve">→ Detection, Reaktion, Wiederanlauf</w:t>
      </w:r>
    </w:p>
    <w:p>
      <w:pPr>
        <w:pStyle w:val="Compact"/>
        <w:numPr>
          <w:ilvl w:val="0"/>
          <w:numId w:val="1002"/>
        </w:numPr>
      </w:pPr>
      <w:r>
        <w:rPr>
          <w:b/>
          <w:bCs/>
        </w:rPr>
        <w:t xml:space="preserve">Menschen</w:t>
      </w:r>
      <w:r>
        <w:t xml:space="preserve"> </w:t>
      </w:r>
      <w:r>
        <w:t xml:space="preserve">→ Ausbildung, Training, Entscheidungsfähigkeit</w:t>
      </w:r>
    </w:p>
    <w:p>
      <w:pPr>
        <w:pStyle w:val="Compact"/>
        <w:numPr>
          <w:ilvl w:val="0"/>
          <w:numId w:val="1002"/>
        </w:numPr>
      </w:pPr>
      <w:r>
        <w:rPr>
          <w:b/>
          <w:bCs/>
        </w:rPr>
        <w:t xml:space="preserve">Kultur</w:t>
      </w:r>
      <w:r>
        <w:t xml:space="preserve"> </w:t>
      </w:r>
      <w:r>
        <w:t xml:space="preserve">→ Fehleroffenheit und Lernfähigkeit</w:t>
      </w:r>
    </w:p>
    <w:p>
      <w:pPr>
        <w:pStyle w:val="FirstParagraph"/>
      </w:pPr>
      <w:r>
        <w:t xml:space="preserve">Resilienz wird damit zu einer Verhaltensdisziplin: Sie entsteht nicht in der Dokumentation, sondern in der Übung.</w:t>
      </w:r>
    </w:p>
    <w:bookmarkEnd w:id="22"/>
    <w:bookmarkStart w:id="26" w:name="der-resilienzzyklus"/>
    <w:p>
      <w:pPr>
        <w:pStyle w:val="Heading2"/>
      </w:pPr>
      <w:r>
        <w:t xml:space="preserve">Der Resilienzzyklus</w:t>
      </w:r>
    </w:p>
    <w:p>
      <w:pPr>
        <w:pStyle w:val="CaptionedFigure"/>
      </w:pPr>
      <w:r>
        <w:drawing>
          <wp:inline>
            <wp:extent cx="4027170" cy="3229776"/>
            <wp:effectExtent b="0" l="0" r="0" t="0"/>
            <wp:docPr descr="Resilienzzyklus: Detection, Response, Recovery, Adapt" title="" id="24" name="Picture"/>
            <a:graphic>
              <a:graphicData uri="http://schemas.openxmlformats.org/drawingml/2006/picture">
                <pic:pic>
                  <pic:nvPicPr>
                    <pic:cNvPr descr="../assets/resilienzzyklus.png" id="25" name="Picture"/>
                    <pic:cNvPicPr>
                      <a:picLocks noChangeArrowheads="1" noChangeAspect="1"/>
                    </pic:cNvPicPr>
                  </pic:nvPicPr>
                  <pic:blipFill>
                    <a:blip r:embed="rId23"/>
                    <a:stretch>
                      <a:fillRect/>
                    </a:stretch>
                  </pic:blipFill>
                  <pic:spPr bwMode="auto">
                    <a:xfrm>
                      <a:off x="0" y="0"/>
                      <a:ext cx="4027170" cy="3229776"/>
                    </a:xfrm>
                    <a:prstGeom prst="rect">
                      <a:avLst/>
                    </a:prstGeom>
                    <a:noFill/>
                    <a:ln w="9525">
                      <a:noFill/>
                      <a:headEnd/>
                      <a:tailEnd/>
                    </a:ln>
                  </pic:spPr>
                </pic:pic>
              </a:graphicData>
            </a:graphic>
          </wp:inline>
        </w:drawing>
      </w:r>
    </w:p>
    <w:p>
      <w:pPr>
        <w:pStyle w:val="ImageCaption"/>
      </w:pPr>
      <w:r>
        <w:t xml:space="preserve">Resilienzzyklus: Detection, Response, Recovery, Adapt</w:t>
      </w:r>
    </w:p>
    <w:p>
      <w:pPr>
        <w:pStyle w:val="Compact"/>
        <w:numPr>
          <w:ilvl w:val="0"/>
          <w:numId w:val="1003"/>
        </w:numPr>
      </w:pPr>
      <w:r>
        <w:rPr>
          <w:b/>
          <w:bCs/>
        </w:rPr>
        <w:t xml:space="preserve">Detection</w:t>
      </w:r>
      <w:r>
        <w:t xml:space="preserve"> </w:t>
      </w:r>
      <w:r>
        <w:t xml:space="preserve">– Wahrnehmungsfähigkeit: technische Sensorik (SIEM, Anomalieerkennung) und organisatorische Meldekultur. Ziel ist zielgerichtete Wahrnehmung, nicht absolute Überwachung.</w:t>
      </w:r>
    </w:p>
    <w:p>
      <w:pPr>
        <w:pStyle w:val="Compact"/>
        <w:numPr>
          <w:ilvl w:val="0"/>
          <w:numId w:val="1003"/>
        </w:numPr>
      </w:pPr>
      <w:r>
        <w:rPr>
          <w:b/>
          <w:bCs/>
        </w:rPr>
        <w:t xml:space="preserve">Response</w:t>
      </w:r>
      <w:r>
        <w:t xml:space="preserve"> </w:t>
      </w:r>
      <w:r>
        <w:t xml:space="preserve">– koordinierte Reaktion unter Unsicherheit. Ein Incident darf nicht an individuellen Grenzen hängen bleiben; alle handeln entlang einer gemeinsamen Lageeinschätzung.</w:t>
      </w:r>
    </w:p>
    <w:p>
      <w:pPr>
        <w:pStyle w:val="Compact"/>
        <w:numPr>
          <w:ilvl w:val="0"/>
          <w:numId w:val="1003"/>
        </w:numPr>
      </w:pPr>
      <w:r>
        <w:rPr>
          <w:b/>
          <w:bCs/>
        </w:rPr>
        <w:t xml:space="preserve">Recovery</w:t>
      </w:r>
      <w:r>
        <w:t xml:space="preserve"> </w:t>
      </w:r>
      <w:r>
        <w:t xml:space="preserve">– Wiederherstellung der Handlungsfähigkeit, priorisiert nach Business Impact, mit gesicherter Stakeholder-Kommunikation und Blick auf die Belastung des Teams.</w:t>
      </w:r>
    </w:p>
    <w:p>
      <w:pPr>
        <w:pStyle w:val="Compact"/>
        <w:numPr>
          <w:ilvl w:val="0"/>
          <w:numId w:val="1003"/>
        </w:numPr>
      </w:pPr>
      <w:r>
        <w:rPr>
          <w:b/>
          <w:bCs/>
        </w:rPr>
        <w:t xml:space="preserve">Adapt</w:t>
      </w:r>
      <w:r>
        <w:t xml:space="preserve"> </w:t>
      </w:r>
      <w:r>
        <w:t xml:space="preserve">– Lernen über After-Action Reviews und Post-Mortems. Eine Organisation, die nach jedem Vorfall besser wird, ist per Definition resilient.</w:t>
      </w:r>
    </w:p>
    <w:p>
      <w:pPr>
        <w:pStyle w:val="FirstParagraph"/>
      </w:pPr>
      <w:r>
        <w:t xml:space="preserve">Während PDCA auf Qualitätsmanagement zielt, fokussiert der Resilienzzyklus reaktive und adaptive Fähigkeiten im Krisenfall.</w:t>
      </w:r>
    </w:p>
    <w:bookmarkEnd w:id="26"/>
    <w:bookmarkStart w:id="27" w:name="rollen-und-entscheidungslogik"/>
    <w:p>
      <w:pPr>
        <w:pStyle w:val="Heading2"/>
      </w:pPr>
      <w:r>
        <w:t xml:space="preserve">Rollen und Entscheidungslogik</w:t>
      </w:r>
    </w:p>
    <w:p>
      <w:pPr>
        <w:pStyle w:val="FirstParagraph"/>
      </w:pPr>
      <w:r>
        <w:t xml:space="preserve">Effektive Krisenorganisationen definieren</w:t>
      </w:r>
      <w:r>
        <w:t xml:space="preserve"> </w:t>
      </w:r>
      <w:r>
        <w:rPr>
          <w:b/>
          <w:bCs/>
        </w:rPr>
        <w:t xml:space="preserve">Rollen statt Personen</w:t>
      </w:r>
      <w:r>
        <w:t xml:space="preserve">. Das verhindert Abhängigkeit von Einzelnen und skaliert in 24/7-Betrieben.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Rolle</w:t>
            </w:r>
          </w:p>
        </w:tc>
        <w:tc>
          <w:tcPr/>
          <w:p>
            <w:pPr>
              <w:pStyle w:val="Compact"/>
            </w:pPr>
            <w:r>
              <w:t xml:space="preserve">Hauptverantwortung</w:t>
            </w:r>
          </w:p>
        </w:tc>
      </w:tr>
      <w:tr>
        <w:tc>
          <w:tcPr/>
          <w:p>
            <w:pPr>
              <w:pStyle w:val="Compact"/>
            </w:pPr>
            <w:r>
              <w:t xml:space="preserve">CISO</w:t>
            </w:r>
          </w:p>
        </w:tc>
        <w:tc>
          <w:tcPr/>
          <w:p>
            <w:pPr>
              <w:pStyle w:val="Compact"/>
            </w:pPr>
            <w:r>
              <w:t xml:space="preserve">Strategische Leitung, Entscheidung über Eskalationsstufen, Kommunikation mit der Geschäftsleitung</w:t>
            </w:r>
          </w:p>
        </w:tc>
      </w:tr>
      <w:tr>
        <w:tc>
          <w:tcPr/>
          <w:p>
            <w:pPr>
              <w:pStyle w:val="Compact"/>
            </w:pPr>
            <w:r>
              <w:t xml:space="preserve">Incident Commander</w:t>
            </w:r>
          </w:p>
        </w:tc>
        <w:tc>
          <w:tcPr/>
          <w:p>
            <w:pPr>
              <w:pStyle w:val="Compact"/>
            </w:pPr>
            <w:r>
              <w:t xml:space="preserve">Operative Gesamtkoordination im Ereignisfall, Priorisierung</w:t>
            </w:r>
          </w:p>
        </w:tc>
      </w:tr>
      <w:tr>
        <w:tc>
          <w:tcPr/>
          <w:p>
            <w:pPr>
              <w:pStyle w:val="Compact"/>
            </w:pPr>
            <w:r>
              <w:t xml:space="preserve">IT Operations / Technical Lead</w:t>
            </w:r>
          </w:p>
        </w:tc>
        <w:tc>
          <w:tcPr/>
          <w:p>
            <w:pPr>
              <w:pStyle w:val="Compact"/>
            </w:pPr>
            <w:r>
              <w:t xml:space="preserve">Analyse, technische Eindämmung und Wiederherstellung</w:t>
            </w:r>
          </w:p>
        </w:tc>
      </w:tr>
      <w:tr>
        <w:tc>
          <w:tcPr/>
          <w:p>
            <w:pPr>
              <w:pStyle w:val="Compact"/>
            </w:pPr>
            <w:r>
              <w:t xml:space="preserve">BCM-Manager</w:t>
            </w:r>
          </w:p>
        </w:tc>
        <w:tc>
          <w:tcPr/>
          <w:p>
            <w:pPr>
              <w:pStyle w:val="Compact"/>
            </w:pPr>
            <w:r>
              <w:t xml:space="preserve">Koordination mit Fachbereichen, Priorisierung kritischer Prozesse</w:t>
            </w:r>
          </w:p>
        </w:tc>
      </w:tr>
      <w:tr>
        <w:tc>
          <w:tcPr/>
          <w:p>
            <w:pPr>
              <w:pStyle w:val="Compact"/>
            </w:pPr>
            <w:r>
              <w:t xml:space="preserve">Kommunikation / PR</w:t>
            </w:r>
          </w:p>
        </w:tc>
        <w:tc>
          <w:tcPr/>
          <w:p>
            <w:pPr>
              <w:pStyle w:val="Compact"/>
            </w:pPr>
            <w:r>
              <w:t xml:space="preserve">Interne und externe Information</w:t>
            </w:r>
          </w:p>
        </w:tc>
      </w:tr>
      <w:tr>
        <w:tc>
          <w:tcPr/>
          <w:p>
            <w:pPr>
              <w:pStyle w:val="Compact"/>
            </w:pPr>
            <w:r>
              <w:t xml:space="preserve">Legal / Datenschutz</w:t>
            </w:r>
          </w:p>
        </w:tc>
        <w:tc>
          <w:tcPr/>
          <w:p>
            <w:pPr>
              <w:pStyle w:val="Compact"/>
            </w:pPr>
            <w:r>
              <w:t xml:space="preserve">Bewertung von Meldepflichten (z. B. Art. 33 DSGVO)</w:t>
            </w:r>
          </w:p>
        </w:tc>
      </w:tr>
      <w:tr>
        <w:tc>
          <w:tcPr/>
          <w:p>
            <w:pPr>
              <w:pStyle w:val="Compact"/>
            </w:pPr>
            <w:r>
              <w:t xml:space="preserve">Management Board</w:t>
            </w:r>
          </w:p>
        </w:tc>
        <w:tc>
          <w:tcPr/>
          <w:p>
            <w:pPr>
              <w:pStyle w:val="Compact"/>
            </w:pPr>
            <w:r>
              <w:t xml:space="preserve">Ressourcenfreigabe, Business-Priorisierung, Risikoakzeptanz</w:t>
            </w:r>
          </w:p>
        </w:tc>
      </w:tr>
    </w:tbl>
    <w:p>
      <w:pPr>
        <w:pStyle w:val="BodyText"/>
      </w:pPr>
      <w:r>
        <w:t xml:space="preserve">Kernprinzip:</w:t>
      </w:r>
      <w:r>
        <w:t xml:space="preserve"> </w:t>
      </w:r>
      <w:r>
        <w:rPr>
          <w:b/>
          <w:bCs/>
        </w:rPr>
        <w:t xml:space="preserve">Wer entscheidet was, wann und warum?</w:t>
      </w:r>
      <w:r>
        <w:t xml:space="preserve"> </w:t>
      </w:r>
      <w:r>
        <w:t xml:space="preserve">Der normale Linienweg ist in Krisen zu langsam. Das Incident Command System aus dem Katastrophenschutz liefert Entscheidungskompetenz auf Zeit: Command priorisiert, Operations handelt, Support dokumentiert und kommuniziert. Prinzipien wirksamer Führungsstrukturen: Unity of Command, Span of Control (5–7 Personen), Delegation of Authority, Documentation &amp; Traceability, Role Rotation &amp; Training.</w:t>
      </w:r>
    </w:p>
    <w:p>
      <w:pPr>
        <w:pStyle w:val="BodyText"/>
      </w:pPr>
      <w:r>
        <w:t xml:space="preserve">Unter Stress greifen Menschen auf erlernte Muster zurück. Playbooks, Priorisierungslisten und Entscheidungsbäume bereiten Entscheidungen vor.</w:t>
      </w:r>
    </w:p>
    <w:bookmarkEnd w:id="27"/>
    <w:bookmarkStart w:id="29" w:name="kommunikation-unter-stress"/>
    <w:p>
      <w:pPr>
        <w:pStyle w:val="Heading2"/>
      </w:pPr>
      <w:r>
        <w:t xml:space="preserve">Kommunikation unter Stress</w:t>
      </w:r>
    </w:p>
    <w:p>
      <w:pPr>
        <w:pStyle w:val="FirstParagraph"/>
      </w:pPr>
      <w:r>
        <w:t xml:space="preserve">Krisenkommunikation ist Teil der Resilienzarchitektur. Viele Vorfallsbehandlungen scheitern an Informationsfehlern, nicht an Technik. Leitprinzipien (CCCC):</w:t>
      </w:r>
    </w:p>
    <w:p>
      <w:pPr>
        <w:pStyle w:val="Compact"/>
        <w:numPr>
          <w:ilvl w:val="0"/>
          <w:numId w:val="1004"/>
        </w:numPr>
      </w:pPr>
      <w:r>
        <w:rPr>
          <w:b/>
          <w:bCs/>
        </w:rPr>
        <w:t xml:space="preserve">Clear</w:t>
      </w:r>
      <w:r>
        <w:t xml:space="preserve"> </w:t>
      </w:r>
      <w:r>
        <w:t xml:space="preserve">– eindeutig, frei von Mehrdeutigkeit</w:t>
      </w:r>
    </w:p>
    <w:p>
      <w:pPr>
        <w:pStyle w:val="Compact"/>
        <w:numPr>
          <w:ilvl w:val="0"/>
          <w:numId w:val="1004"/>
        </w:numPr>
      </w:pPr>
      <w:r>
        <w:rPr>
          <w:b/>
          <w:bCs/>
        </w:rPr>
        <w:t xml:space="preserve">Concise</w:t>
      </w:r>
      <w:r>
        <w:t xml:space="preserve"> </w:t>
      </w:r>
      <w:r>
        <w:t xml:space="preserve">– kurz statt detailüberladen</w:t>
      </w:r>
    </w:p>
    <w:p>
      <w:pPr>
        <w:pStyle w:val="Compact"/>
        <w:numPr>
          <w:ilvl w:val="0"/>
          <w:numId w:val="1004"/>
        </w:numPr>
      </w:pPr>
      <w:r>
        <w:rPr>
          <w:b/>
          <w:bCs/>
        </w:rPr>
        <w:t xml:space="preserve">Confirmed</w:t>
      </w:r>
      <w:r>
        <w:t xml:space="preserve"> </w:t>
      </w:r>
      <w:r>
        <w:t xml:space="preserve">– der Empfänger bestätigt („Readback“)</w:t>
      </w:r>
    </w:p>
    <w:p>
      <w:pPr>
        <w:pStyle w:val="Compact"/>
        <w:numPr>
          <w:ilvl w:val="0"/>
          <w:numId w:val="1004"/>
        </w:numPr>
      </w:pPr>
      <w:r>
        <w:rPr>
          <w:b/>
          <w:bCs/>
        </w:rPr>
        <w:t xml:space="preserve">Coordinated</w:t>
      </w:r>
      <w:r>
        <w:t xml:space="preserve"> </w:t>
      </w:r>
      <w:r>
        <w:t xml:space="preserve">– alle sprechen auf Basis derselben Lage</w:t>
      </w:r>
    </w:p>
    <w:p>
      <w:pPr>
        <w:pStyle w:val="FirstParagraph"/>
      </w:pPr>
      <w:r>
        <w:t xml:space="preserve">„Eine Info ist nur so gut wie ihre Bestätigung.“ Kommunikationskanäle müssen vorher definiert und getestet sein.</w:t>
      </w:r>
    </w:p>
    <w:bookmarkStart w:id="28" w:name="exkurs-vier-seiten-einer-nachricht"/>
    <w:p>
      <w:pPr>
        <w:pStyle w:val="Heading3"/>
      </w:pPr>
      <w:r>
        <w:t xml:space="preserve">Exkurs: Vier Seiten einer Nachricht</w:t>
      </w:r>
    </w:p>
    <w:p>
      <w:pPr>
        <w:pStyle w:val="FirstParagraph"/>
      </w:pPr>
      <w:r>
        <w:t xml:space="preserve">Nach Schulz von Thun hat jede Botschaft vier Ebenen</w:t>
      </w:r>
      <w:r>
        <w:t xml:space="preserve"> </w:t>
      </w:r>
      <w:r>
        <w:t xml:space="preserve">(Schulz von Thun 1981)</w:t>
      </w:r>
      <w:r>
        <w:t xml:space="preserve">: Sachinhalt, Selbstoffenbarung, Beziehung, Appell. Beispiel im Incident: „Der Server ist schon wieder 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Ebene</w:t>
            </w:r>
          </w:p>
        </w:tc>
        <w:tc>
          <w:tcPr/>
          <w:p>
            <w:pPr>
              <w:pStyle w:val="Compact"/>
            </w:pPr>
            <w:r>
              <w:t xml:space="preserve">Botschaft</w:t>
            </w:r>
          </w:p>
        </w:tc>
      </w:tr>
      <w:tr>
        <w:tc>
          <w:tcPr/>
          <w:p>
            <w:pPr>
              <w:pStyle w:val="Compact"/>
            </w:pPr>
            <w:r>
              <w:t xml:space="preserve">Sachinhalt</w:t>
            </w:r>
          </w:p>
        </w:tc>
        <w:tc>
          <w:tcPr/>
          <w:p>
            <w:pPr>
              <w:pStyle w:val="Compact"/>
            </w:pPr>
            <w:r>
              <w:t xml:space="preserve">Der Server ist nicht erreichbar.</w:t>
            </w:r>
          </w:p>
        </w:tc>
      </w:tr>
      <w:tr>
        <w:tc>
          <w:tcPr/>
          <w:p>
            <w:pPr>
              <w:pStyle w:val="Compact"/>
            </w:pPr>
            <w:r>
              <w:t xml:space="preserve">Selbstoffenbarung</w:t>
            </w:r>
          </w:p>
        </w:tc>
        <w:tc>
          <w:tcPr/>
          <w:p>
            <w:pPr>
              <w:pStyle w:val="Compact"/>
            </w:pPr>
            <w:r>
              <w:t xml:space="preserve">Ich bin genervt und gestresst.</w:t>
            </w:r>
          </w:p>
        </w:tc>
      </w:tr>
      <w:tr>
        <w:tc>
          <w:tcPr/>
          <w:p>
            <w:pPr>
              <w:pStyle w:val="Compact"/>
            </w:pPr>
            <w:r>
              <w:t xml:space="preserve">Beziehung</w:t>
            </w:r>
          </w:p>
        </w:tc>
        <w:tc>
          <w:tcPr/>
          <w:p>
            <w:pPr>
              <w:pStyle w:val="Compact"/>
            </w:pPr>
            <w:r>
              <w:t xml:space="preserve">Ihr hättet das früher merken müssen.</w:t>
            </w:r>
          </w:p>
        </w:tc>
      </w:tr>
      <w:tr>
        <w:tc>
          <w:tcPr/>
          <w:p>
            <w:pPr>
              <w:pStyle w:val="Compact"/>
            </w:pPr>
            <w:r>
              <w:t xml:space="preserve">Appell</w:t>
            </w:r>
          </w:p>
        </w:tc>
        <w:tc>
          <w:tcPr/>
          <w:p>
            <w:pPr>
              <w:pStyle w:val="Compact"/>
            </w:pPr>
            <w:r>
              <w:t xml:space="preserve">Bitte tut endlich etwas!</w:t>
            </w:r>
          </w:p>
        </w:tc>
      </w:tr>
    </w:tbl>
    <w:p>
      <w:pPr>
        <w:pStyle w:val="BodyText"/>
      </w:pPr>
      <w:r>
        <w:t xml:space="preserve">In Stresssituationen hören Menschen häufig auf der falschen Ebene. „Resilienz in Kommunikation heißt: auf allen vier Ohren bewusst sprechen und hören.“</w:t>
      </w:r>
    </w:p>
    <w:bookmarkEnd w:id="28"/>
    <w:bookmarkEnd w:id="29"/>
    <w:bookmarkStart w:id="31" w:name="incident-response-prozess"/>
    <w:p>
      <w:pPr>
        <w:pStyle w:val="Heading2"/>
      </w:pPr>
      <w:r>
        <w:t xml:space="preserve">Incident-Response-Prozess</w:t>
      </w:r>
    </w:p>
    <w:p>
      <w:pPr>
        <w:pStyle w:val="FirstParagraph"/>
      </w:pPr>
      <w:r>
        <w:t xml:space="preserve">Standardphasen laut Unterlagen (nach ISO/IEC 27035):</w:t>
      </w:r>
    </w:p>
    <w:p>
      <w:pPr>
        <w:pStyle w:val="Compact"/>
        <w:numPr>
          <w:ilvl w:val="0"/>
          <w:numId w:val="1005"/>
        </w:numPr>
      </w:pPr>
      <w:r>
        <w:t xml:space="preserve">Detection &amp; Reporting – Ereignis erkennen und melden</w:t>
      </w:r>
    </w:p>
    <w:p>
      <w:pPr>
        <w:pStyle w:val="Compact"/>
        <w:numPr>
          <w:ilvl w:val="0"/>
          <w:numId w:val="1005"/>
        </w:numPr>
      </w:pPr>
      <w:r>
        <w:t xml:space="preserve">Triage &amp; Classification – Kritikalität bestimmen</w:t>
      </w:r>
    </w:p>
    <w:p>
      <w:pPr>
        <w:pStyle w:val="Compact"/>
        <w:numPr>
          <w:ilvl w:val="0"/>
          <w:numId w:val="1005"/>
        </w:numPr>
      </w:pPr>
      <w:r>
        <w:t xml:space="preserve">Containment – Ausbreitung stoppen</w:t>
      </w:r>
    </w:p>
    <w:p>
      <w:pPr>
        <w:pStyle w:val="Compact"/>
        <w:numPr>
          <w:ilvl w:val="0"/>
          <w:numId w:val="1005"/>
        </w:numPr>
      </w:pPr>
      <w:r>
        <w:t xml:space="preserve">Eradication – Ursache beseitigen</w:t>
      </w:r>
    </w:p>
    <w:p>
      <w:pPr>
        <w:pStyle w:val="Compact"/>
        <w:numPr>
          <w:ilvl w:val="0"/>
          <w:numId w:val="1005"/>
        </w:numPr>
      </w:pPr>
      <w:r>
        <w:t xml:space="preserve">Recovery – Systeme wiederherstellen</w:t>
      </w:r>
    </w:p>
    <w:p>
      <w:pPr>
        <w:pStyle w:val="Compact"/>
        <w:numPr>
          <w:ilvl w:val="0"/>
          <w:numId w:val="1005"/>
        </w:numPr>
      </w:pPr>
      <w:r>
        <w:t xml:space="preserve">Lessons Learned – Erkenntnisse in Prozesse zurückführen</w:t>
      </w:r>
    </w:p>
    <w:p>
      <w:pPr>
        <w:pStyle w:val="FirstParagraph"/>
      </w:pPr>
      <w:r>
        <w:t xml:space="preserve">Jede Phase braucht definierte Owner, Playbooks und Kommunikationskanäle. Zur Phasengliederung der Norm siehe</w:t>
      </w:r>
      <w:r>
        <w:t xml:space="preserve"> </w:t>
      </w:r>
      <w:hyperlink r:id="rId30">
        <w:r>
          <w:rPr>
            <w:rStyle w:val="Hyperlink"/>
          </w:rPr>
          <w:t xml:space="preserve">Hinweise zur Aktualität</w:t>
        </w:r>
      </w:hyperlink>
      <w:r>
        <w:t xml:space="preserve">.</w:t>
      </w:r>
    </w:p>
    <w:bookmarkEnd w:id="31"/>
    <w:bookmarkStart w:id="32" w:name="übungs--und-trainingskultur"/>
    <w:p>
      <w:pPr>
        <w:pStyle w:val="Heading2"/>
      </w:pPr>
      <w:r>
        <w:t xml:space="preserve">Übungs- und Trainingskultur</w:t>
      </w:r>
    </w:p>
    <w:p>
      <w:pPr>
        <w:pStyle w:val="FirstParagraph"/>
      </w:pPr>
      <w:r>
        <w:t xml:space="preserve">Resilienz ist keine Theorie – sie entsteht durch Übung.</w:t>
      </w:r>
    </w:p>
    <w:p>
      <w:pPr>
        <w:pStyle w:val="Compact"/>
        <w:numPr>
          <w:ilvl w:val="0"/>
          <w:numId w:val="1006"/>
        </w:numPr>
      </w:pPr>
      <w:r>
        <w:rPr>
          <w:b/>
          <w:bCs/>
        </w:rPr>
        <w:t xml:space="preserve">Tabletop-Übungen:</w:t>
      </w:r>
      <w:r>
        <w:t xml:space="preserve"> </w:t>
      </w:r>
      <w:r>
        <w:t xml:space="preserve">szenariobasierte Planspiele zu Kommunikation und Entscheidungswegen, ohne technischen Aufwand.</w:t>
      </w:r>
    </w:p>
    <w:p>
      <w:pPr>
        <w:pStyle w:val="Compact"/>
        <w:numPr>
          <w:ilvl w:val="0"/>
          <w:numId w:val="1006"/>
        </w:numPr>
      </w:pPr>
      <w:r>
        <w:rPr>
          <w:b/>
          <w:bCs/>
        </w:rPr>
        <w:t xml:space="preserve">Live-Simulationen:</w:t>
      </w:r>
      <w:r>
        <w:t xml:space="preserve"> </w:t>
      </w:r>
      <w:r>
        <w:t xml:space="preserve">technische Reaktionsfähigkeit unter Realbedingungen (Red Team, „Ransomware-Day“, Provider-Ausfall).</w:t>
      </w:r>
    </w:p>
    <w:p>
      <w:pPr>
        <w:pStyle w:val="Compact"/>
        <w:numPr>
          <w:ilvl w:val="0"/>
          <w:numId w:val="1006"/>
        </w:numPr>
      </w:pPr>
      <w:r>
        <w:rPr>
          <w:b/>
          <w:bCs/>
        </w:rPr>
        <w:t xml:space="preserve">After-Action Reviews:</w:t>
      </w:r>
      <w:r>
        <w:t xml:space="preserve"> </w:t>
      </w:r>
      <w:r>
        <w:t xml:space="preserve">strukturiertes Feedback, keine Schuldzuweisung.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pPr>
            <w:r>
              <w:t xml:space="preserve">Aussage</w:t>
            </w:r>
          </w:p>
        </w:tc>
      </w:tr>
      <w:tr>
        <w:tc>
          <w:tcPr/>
          <w:p>
            <w:pPr>
              <w:pStyle w:val="Compact"/>
            </w:pPr>
            <w:r>
              <w:t xml:space="preserve">Time to Detect (TTD)</w:t>
            </w:r>
          </w:p>
        </w:tc>
        <w:tc>
          <w:tcPr/>
          <w:p>
            <w:pPr>
              <w:pStyle w:val="Compact"/>
            </w:pPr>
            <w:r>
              <w:t xml:space="preserve">Wie schnell wird ein Incident erkannt?</w:t>
            </w:r>
          </w:p>
        </w:tc>
      </w:tr>
      <w:tr>
        <w:tc>
          <w:tcPr/>
          <w:p>
            <w:pPr>
              <w:pStyle w:val="Compact"/>
            </w:pPr>
            <w:r>
              <w:t xml:space="preserve">Time to Decision</w:t>
            </w:r>
          </w:p>
        </w:tc>
        <w:tc>
          <w:tcPr/>
          <w:p>
            <w:pPr>
              <w:pStyle w:val="Compact"/>
            </w:pPr>
            <w:r>
              <w:t xml:space="preserve">Wie schnell fällt eine handlungsleitende Entscheidung?</w:t>
            </w:r>
          </w:p>
        </w:tc>
      </w:tr>
      <w:tr>
        <w:tc>
          <w:tcPr/>
          <w:p>
            <w:pPr>
              <w:pStyle w:val="Compact"/>
            </w:pPr>
            <w:r>
              <w:t xml:space="preserve">Time to Recover (TTR)</w:t>
            </w:r>
          </w:p>
        </w:tc>
        <w:tc>
          <w:tcPr/>
          <w:p>
            <w:pPr>
              <w:pStyle w:val="Compact"/>
            </w:pPr>
            <w:r>
              <w:t xml:space="preserve">Wann sind kritische Systeme wieder lauffähig?</w:t>
            </w:r>
          </w:p>
        </w:tc>
      </w:tr>
      <w:tr>
        <w:tc>
          <w:tcPr/>
          <w:p>
            <w:pPr>
              <w:pStyle w:val="Compact"/>
            </w:pPr>
            <w:r>
              <w:t xml:space="preserve">Communication Efficiency</w:t>
            </w:r>
          </w:p>
        </w:tc>
        <w:tc>
          <w:tcPr/>
          <w:p>
            <w:pPr>
              <w:pStyle w:val="Compact"/>
            </w:pPr>
            <w:r>
              <w:t xml:space="preserve">Verhältnis bestätigter zu gesendeten Meldungen</w:t>
            </w:r>
          </w:p>
        </w:tc>
      </w:tr>
      <w:tr>
        <w:tc>
          <w:tcPr/>
          <w:p>
            <w:pPr>
              <w:pStyle w:val="Compact"/>
            </w:pPr>
            <w:r>
              <w:t xml:space="preserve">Exercise Frequency</w:t>
            </w:r>
          </w:p>
        </w:tc>
        <w:tc>
          <w:tcPr/>
          <w:p>
            <w:pPr>
              <w:pStyle w:val="Compact"/>
            </w:pPr>
            <w:r>
              <w:t xml:space="preserve">Anzahl der Übungen pro Jahr</w:t>
            </w:r>
          </w:p>
        </w:tc>
      </w:tr>
    </w:tbl>
    <w:p>
      <w:pPr>
        <w:pStyle w:val="BodyText"/>
      </w:pPr>
      <w:r>
        <w:t xml:space="preserve">Verankerung: mindestens zwei Tabletop-Übungen pro Jahr, strukturierte Lessons-Learned-Protokolle, Teilnahme des Managements, standardisierte Bewertung. Ein Team, das regelmäßig übt, erlebt weniger Panik im Ernstfall.</w:t>
      </w:r>
    </w:p>
    <w:bookmarkEnd w:id="32"/>
    <w:bookmarkStart w:id="33" w:name="resilienz-governance"/>
    <w:p>
      <w:pPr>
        <w:pStyle w:val="Heading2"/>
      </w:pPr>
      <w:r>
        <w:t xml:space="preserve">Resilienz-Governance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Managementsystem</w:t>
            </w:r>
          </w:p>
        </w:tc>
        <w:tc>
          <w:tcPr/>
          <w:p>
            <w:pPr>
              <w:pStyle w:val="Compact"/>
            </w:pPr>
            <w:r>
              <w:t xml:space="preserve">Bezug zur Resilienz</w:t>
            </w:r>
          </w:p>
        </w:tc>
      </w:tr>
      <w:tr>
        <w:tc>
          <w:tcPr/>
          <w:p>
            <w:pPr>
              <w:pStyle w:val="Compact"/>
            </w:pPr>
            <w:r>
              <w:t xml:space="preserve">ISMS (ISO/IEC 27001)</w:t>
            </w:r>
          </w:p>
        </w:tc>
        <w:tc>
          <w:tcPr/>
          <w:p>
            <w:pPr>
              <w:pStyle w:val="Compact"/>
            </w:pPr>
            <w:r>
              <w:t xml:space="preserve">Struktur für Informationssicherheit und Incident Management</w:t>
            </w:r>
          </w:p>
        </w:tc>
      </w:tr>
      <w:tr>
        <w:tc>
          <w:tcPr/>
          <w:p>
            <w:pPr>
              <w:pStyle w:val="Compact"/>
            </w:pPr>
            <w:r>
              <w:t xml:space="preserve">BCMS (ISO 22301)</w:t>
            </w:r>
          </w:p>
        </w:tc>
        <w:tc>
          <w:tcPr/>
          <w:p>
            <w:pPr>
              <w:pStyle w:val="Compact"/>
            </w:pPr>
            <w:r>
              <w:t xml:space="preserve">Kontinuität kritischer Geschäftsprozesse</w:t>
            </w:r>
          </w:p>
        </w:tc>
      </w:tr>
      <w:tr>
        <w:tc>
          <w:tcPr/>
          <w:p>
            <w:pPr>
              <w:pStyle w:val="Compact"/>
            </w:pPr>
            <w:r>
              <w:t xml:space="preserve">Risk Management (ISO 31000)</w:t>
            </w:r>
          </w:p>
        </w:tc>
        <w:tc>
          <w:tcPr/>
          <w:p>
            <w:pPr>
              <w:pStyle w:val="Compact"/>
            </w:pPr>
            <w:r>
              <w:t xml:space="preserve">Identifikation und Bewertung von Bedrohungen</w:t>
            </w:r>
          </w:p>
        </w:tc>
      </w:tr>
      <w:tr>
        <w:tc>
          <w:tcPr/>
          <w:p>
            <w:pPr>
              <w:pStyle w:val="Compact"/>
            </w:pPr>
            <w:r>
              <w:t xml:space="preserve">Crisis Management (ISO 22320)</w:t>
            </w:r>
          </w:p>
        </w:tc>
        <w:tc>
          <w:tcPr/>
          <w:p>
            <w:pPr>
              <w:pStyle w:val="Compact"/>
            </w:pPr>
            <w:r>
              <w:t xml:space="preserve">Entscheidungs- und Kommunikationsstrukturen im Ereignisfall</w:t>
            </w:r>
          </w:p>
        </w:tc>
      </w:tr>
      <w:tr>
        <w:tc>
          <w:tcPr/>
          <w:p>
            <w:pPr>
              <w:pStyle w:val="Compact"/>
            </w:pPr>
            <w:r>
              <w:t xml:space="preserve">Resilience Management (ISO 22316)</w:t>
            </w:r>
          </w:p>
        </w:tc>
        <w:tc>
          <w:tcPr/>
          <w:p>
            <w:pPr>
              <w:pStyle w:val="Compact"/>
            </w:pPr>
            <w:r>
              <w:t xml:space="preserve">verbindet die Systeme zu einer adaptiven Gesamtstruktur</w:t>
            </w:r>
          </w:p>
        </w:tc>
      </w:tr>
    </w:tbl>
    <w:p>
      <w:pPr>
        <w:pStyle w:val="BodyText"/>
      </w:pPr>
      <w:r>
        <w:t xml:space="preserve">Governance-Prinzipien: Verantwortung, Transparenz, Partizipation, Kontinuität, Lernfähigkeit. Kennzahlen: RTO-Erreichung, Übungshäufigkeit, Umsetzungsgrad der Lessons Learned, Reaktionszeit von Managemententscheidungen, Kommunikationslatenz. Nachweise: Übungs- und Incident-Protokolle, Nachverfolgung von Lessons Learned, Management Reviews, Schulungsnachweise. Berichtspflicht an Management und Aufsicht.</w:t>
      </w:r>
    </w:p>
    <w:p>
      <w:pPr>
        <w:pStyle w:val="BodyText"/>
      </w:pPr>
      <w:r>
        <w:t xml:space="preserve">„Resilienz ist keine Projektaufgabe, sondern Führungsverhalten.“</w:t>
      </w:r>
    </w:p>
    <w:bookmarkEnd w:id="33"/>
    <w:bookmarkStart w:id="34" w:name="kultur-und-lernen"/>
    <w:p>
      <w:pPr>
        <w:pStyle w:val="Heading2"/>
      </w:pPr>
      <w:r>
        <w:t xml:space="preserve">Kultur und Lernen</w:t>
      </w:r>
    </w:p>
    <w:p>
      <w:pPr>
        <w:pStyle w:val="Compact"/>
        <w:numPr>
          <w:ilvl w:val="0"/>
          <w:numId w:val="1007"/>
        </w:numPr>
      </w:pPr>
      <w:r>
        <w:rPr>
          <w:b/>
          <w:bCs/>
        </w:rPr>
        <w:t xml:space="preserve">Blame-free Post-Mortems:</w:t>
      </w:r>
      <w:r>
        <w:t xml:space="preserve"> </w:t>
      </w:r>
      <w:r>
        <w:t xml:space="preserve">Statt „Who caused it?“ lautet die Frage „What can we improve?“ Leitfragen: Was ist passiert? Warum? Wie haben wir reagiert? Was lernen wir und wie setzen wir es um?</w:t>
      </w:r>
    </w:p>
    <w:p>
      <w:pPr>
        <w:pStyle w:val="Compact"/>
        <w:numPr>
          <w:ilvl w:val="0"/>
          <w:numId w:val="1007"/>
        </w:numPr>
      </w:pPr>
      <w:r>
        <w:rPr>
          <w:b/>
          <w:bCs/>
        </w:rPr>
        <w:t xml:space="preserve">Psychologische Sicherheit</w:t>
      </w:r>
      <w:r>
        <w:t xml:space="preserve"> </w:t>
      </w:r>
      <w:r>
        <w:t xml:space="preserve">(Edmondson 1999)</w:t>
      </w:r>
      <w:r>
        <w:t xml:space="preserve">: Teams dürfen Fehler zugeben und Unsicherheiten melden, ohne Angst vor persönlichen Konsequenzen.</w:t>
      </w:r>
    </w:p>
    <w:p>
      <w:pPr>
        <w:pStyle w:val="Compact"/>
        <w:numPr>
          <w:ilvl w:val="0"/>
          <w:numId w:val="1007"/>
        </w:numPr>
      </w:pPr>
      <w:r>
        <w:rPr>
          <w:b/>
          <w:bCs/>
        </w:rPr>
        <w:t xml:space="preserve">Transparente Kommunikation:</w:t>
      </w:r>
      <w:r>
        <w:t xml:space="preserve"> </w:t>
      </w:r>
      <w:r>
        <w:t xml:space="preserve">Fehler werden geteilt, nicht versteckt.</w:t>
      </w:r>
    </w:p>
    <w:p>
      <w:pPr>
        <w:pStyle w:val="Compact"/>
        <w:numPr>
          <w:ilvl w:val="0"/>
          <w:numId w:val="1007"/>
        </w:numPr>
      </w:pPr>
      <w:r>
        <w:rPr>
          <w:b/>
          <w:bCs/>
        </w:rPr>
        <w:t xml:space="preserve">Institutionelles Lernen:</w:t>
      </w:r>
      <w:r>
        <w:t xml:space="preserve"> </w:t>
      </w:r>
      <w:r>
        <w:t xml:space="preserve">Lessons Learned fließen in Prozesse; Organisationen entwickeln sich zur lernenden Organisation</w:t>
      </w:r>
      <w:r>
        <w:t xml:space="preserve"> </w:t>
      </w:r>
      <w:r>
        <w:t xml:space="preserve">(Senge 1990)</w:t>
      </w:r>
      <w:r>
        <w:t xml:space="preserve">.</w:t>
      </w:r>
    </w:p>
    <w:p>
      <w:pPr>
        <w:pStyle w:val="FirstParagraph"/>
      </w:pPr>
      <w:r>
        <w:t xml:space="preserve">„Technik stabilisiert Systeme – Organisation stabilisiert Verhalten – Kultur stabilisiert Vertrauen.“</w:t>
      </w:r>
    </w:p>
    <w:bookmarkEnd w:id="34"/>
    <w:bookmarkEnd w:id="35"/>
    <w:bookmarkStart w:id="38" w:name="übungen"/>
    <w:p>
      <w:pPr>
        <w:pStyle w:val="Heading1"/>
      </w:pPr>
      <w:r>
        <w:t xml:space="preserve">Übungen</w:t>
      </w:r>
    </w:p>
    <w:bookmarkStart w:id="36" w:name="X3da9ae938ecb91d8e0153fcf53b9b47ea499c7e"/>
    <w:p>
      <w:pPr>
        <w:pStyle w:val="Heading2"/>
      </w:pPr>
      <w:r>
        <w:t xml:space="preserve">Kommunikationsübung: Vier Seiten einer Nachricht</w:t>
      </w:r>
    </w:p>
    <w:p>
      <w:pPr>
        <w:pStyle w:val="FirstParagraph"/>
      </w:pPr>
      <w:r>
        <w:t xml:space="preserve">3er-Gruppen, 10 Minuten. Analysieren Sie die Aussage aus einer Incident-Situation:</w:t>
      </w:r>
      <w:r>
        <w:t xml:space="preserve"> </w:t>
      </w:r>
      <w:r>
        <w:rPr>
          <w:b/>
          <w:bCs/>
        </w:rPr>
        <w:t xml:space="preserve">„Warum habt ihr das Backup noch nicht eingespielt?“</w:t>
      </w:r>
    </w:p>
    <w:p>
      <w:pPr>
        <w:pStyle w:val="Compact"/>
        <w:numPr>
          <w:ilvl w:val="0"/>
          <w:numId w:val="1008"/>
        </w:numPr>
      </w:pPr>
      <w:r>
        <w:t xml:space="preserve">Welche Botschaften stecken in den vier Ebenen?</w:t>
      </w:r>
    </w:p>
    <w:p>
      <w:pPr>
        <w:pStyle w:val="Compact"/>
        <w:numPr>
          <w:ilvl w:val="0"/>
          <w:numId w:val="1008"/>
        </w:numPr>
      </w:pPr>
      <w:r>
        <w:t xml:space="preserve">Wie könnte dieselbe Aussage resilienter formuliert werden?</w:t>
      </w:r>
    </w:p>
    <w:p>
      <w:pPr>
        <w:pStyle w:val="Compact"/>
        <w:numPr>
          <w:ilvl w:val="0"/>
          <w:numId w:val="1008"/>
        </w:numPr>
      </w:pPr>
      <w:r>
        <w:t xml:space="preserve">Welche Missverständnisse entstehen, wenn nur eine Ebene gehört wird?</w:t>
      </w:r>
    </w:p>
    <w:p>
      <w:pPr>
        <w:pStyle w:val="Compact"/>
        <w:numPr>
          <w:ilvl w:val="0"/>
          <w:numId w:val="1008"/>
        </w:numPr>
      </w:pPr>
      <w:r>
        <w:t xml:space="preserve">Welche Kommunikationsregeln helfen, in Stresslagen klar zu bleiben?</w:t>
      </w:r>
    </w:p>
    <w:bookmarkEnd w:id="36"/>
    <w:bookmarkStart w:id="37" w:name="gruppenübung-ransomware-am-montagmorgen"/>
    <w:p>
      <w:pPr>
        <w:pStyle w:val="Heading2"/>
      </w:pPr>
      <w:r>
        <w:t xml:space="preserve">Gruppenübung: Ransomware am Montagmorgen</w:t>
      </w:r>
    </w:p>
    <w:p>
      <w:pPr>
        <w:pStyle w:val="FirstParagraph"/>
      </w:pPr>
      <w:r>
        <w:t xml:space="preserve">Montag, 08:15 Uhr: Mitarbeitende melden, dass Dateien auf Netzlaufwerken nicht mehr geöffnet werden können. Mehrere File-Server sind verschlüsselt, eine Lösegeldforderung erscheint. Cloud-Sync ist betroffen, VPN und Mail laufen noch.</w:t>
      </w:r>
    </w:p>
    <w:p>
      <w:pPr>
        <w:pStyle w:val="BodyText"/>
      </w:pPr>
      <w:r>
        <w:t xml:space="preserve">Gruppen, 15–20 Minuten:</w:t>
      </w:r>
    </w:p>
    <w:p>
      <w:pPr>
        <w:pStyle w:val="Compact"/>
        <w:numPr>
          <w:ilvl w:val="0"/>
          <w:numId w:val="1009"/>
        </w:numPr>
      </w:pPr>
      <w:r>
        <w:t xml:space="preserve">Wer übernimmt die Incident-Leitung?</w:t>
      </w:r>
    </w:p>
    <w:p>
      <w:pPr>
        <w:pStyle w:val="Compact"/>
        <w:numPr>
          <w:ilvl w:val="0"/>
          <w:numId w:val="1009"/>
        </w:numPr>
      </w:pPr>
      <w:r>
        <w:t xml:space="preserve">Welche Systeme oder Personen müssen sofort informiert werden?</w:t>
      </w:r>
    </w:p>
    <w:p>
      <w:pPr>
        <w:pStyle w:val="Compact"/>
        <w:numPr>
          <w:ilvl w:val="0"/>
          <w:numId w:val="1009"/>
        </w:numPr>
      </w:pPr>
      <w:r>
        <w:t xml:space="preserve">Welche Entscheidungen sind in den ersten 30 Minuten kritisch?</w:t>
      </w:r>
    </w:p>
    <w:p>
      <w:pPr>
        <w:pStyle w:val="Compact"/>
        <w:numPr>
          <w:ilvl w:val="0"/>
          <w:numId w:val="1009"/>
        </w:numPr>
      </w:pPr>
      <w:r>
        <w:t xml:space="preserve">Wie läuft die interne und externe Kommunikation?</w:t>
      </w:r>
    </w:p>
    <w:p>
      <w:pPr>
        <w:pStyle w:val="Compact"/>
        <w:numPr>
          <w:ilvl w:val="0"/>
          <w:numId w:val="1009"/>
        </w:numPr>
      </w:pPr>
      <w:r>
        <w:t xml:space="preserve">Welche Priorität hat Recovery gegenüber Forensik?</w:t>
      </w:r>
    </w:p>
    <w:p>
      <w:pPr>
        <w:pStyle w:val="Compact"/>
        <w:numPr>
          <w:ilvl w:val="0"/>
          <w:numId w:val="1009"/>
        </w:numPr>
      </w:pPr>
      <w:r>
        <w:t xml:space="preserve">Wann erfolgt die Meldung an Aufsichtsbehörden (DSGVO Art. 33 / NIS-2)?</w:t>
      </w:r>
    </w:p>
    <w:p>
      <w:pPr>
        <w:pStyle w:val="FirstParagraph"/>
      </w:pPr>
      <w:r>
        <w:t xml:space="preserve">Typischer Verlauf und häufige Fehler zur Reflexion im Plenum: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Beschreibung</w:t>
            </w:r>
          </w:p>
        </w:tc>
        <w:tc>
          <w:tcPr/>
          <w:p>
            <w:pPr>
              <w:pStyle w:val="Compact"/>
            </w:pPr>
            <w:r>
              <w:t xml:space="preserve">Häufige Fehler</w:t>
            </w:r>
          </w:p>
        </w:tc>
      </w:tr>
      <w:tr>
        <w:tc>
          <w:tcPr/>
          <w:p>
            <w:pPr>
              <w:pStyle w:val="Compact"/>
            </w:pPr>
            <w:r>
              <w:t xml:space="preserve">Detection</w:t>
            </w:r>
          </w:p>
        </w:tc>
        <w:tc>
          <w:tcPr/>
          <w:p>
            <w:pPr>
              <w:pStyle w:val="Compact"/>
            </w:pPr>
            <w:r>
              <w:t xml:space="preserve">erste Hinweise, z. B. unzugängliche Daten</w:t>
            </w:r>
          </w:p>
        </w:tc>
        <w:tc>
          <w:tcPr/>
          <w:p>
            <w:pPr>
              <w:pStyle w:val="Compact"/>
            </w:pPr>
            <w:r>
              <w:t xml:space="preserve">Unterschätzung der Lage, verspätete Eskalation</w:t>
            </w:r>
          </w:p>
        </w:tc>
      </w:tr>
      <w:tr>
        <w:tc>
          <w:tcPr/>
          <w:p>
            <w:pPr>
              <w:pStyle w:val="Compact"/>
            </w:pPr>
            <w:r>
              <w:t xml:space="preserve">Response</w:t>
            </w:r>
          </w:p>
        </w:tc>
        <w:tc>
          <w:tcPr/>
          <w:p>
            <w:pPr>
              <w:pStyle w:val="Compact"/>
            </w:pPr>
            <w:r>
              <w:t xml:space="preserve">Eindämmung, z. B. Netzwerksegmentierung</w:t>
            </w:r>
          </w:p>
        </w:tc>
        <w:tc>
          <w:tcPr/>
          <w:p>
            <w:pPr>
              <w:pStyle w:val="Compact"/>
            </w:pPr>
            <w:r>
              <w:t xml:space="preserve">fehlende Koordination, doppelte Maßnahmen</w:t>
            </w:r>
          </w:p>
        </w:tc>
      </w:tr>
      <w:tr>
        <w:tc>
          <w:tcPr/>
          <w:p>
            <w:pPr>
              <w:pStyle w:val="Compact"/>
            </w:pPr>
            <w:r>
              <w:t xml:space="preserve">Communication</w:t>
            </w:r>
          </w:p>
        </w:tc>
        <w:tc>
          <w:tcPr/>
          <w:p>
            <w:pPr>
              <w:pStyle w:val="Compact"/>
            </w:pPr>
            <w:r>
              <w:t xml:space="preserve">interne und externe Information</w:t>
            </w:r>
          </w:p>
        </w:tc>
        <w:tc>
          <w:tcPr/>
          <w:p>
            <w:pPr>
              <w:pStyle w:val="Compact"/>
            </w:pPr>
            <w:r>
              <w:t xml:space="preserve">Intransparenz, widersprüchliche Aussagen</w:t>
            </w:r>
          </w:p>
        </w:tc>
      </w:tr>
      <w:tr>
        <w:tc>
          <w:tcPr/>
          <w:p>
            <w:pPr>
              <w:pStyle w:val="Compact"/>
            </w:pPr>
            <w:r>
              <w:t xml:space="preserve">Recovery</w:t>
            </w:r>
          </w:p>
        </w:tc>
        <w:tc>
          <w:tcPr/>
          <w:p>
            <w:pPr>
              <w:pStyle w:val="Compact"/>
            </w:pPr>
            <w:r>
              <w:t xml:space="preserve">Wiederherstellung aus Backups</w:t>
            </w:r>
          </w:p>
        </w:tc>
        <w:tc>
          <w:tcPr/>
          <w:p>
            <w:pPr>
              <w:pStyle w:val="Compact"/>
            </w:pPr>
            <w:r>
              <w:t xml:space="preserve">keine Priorisierung, ungetestete Backups</w:t>
            </w:r>
          </w:p>
        </w:tc>
      </w:tr>
      <w:tr>
        <w:tc>
          <w:tcPr/>
          <w:p>
            <w:pPr>
              <w:pStyle w:val="Compact"/>
            </w:pPr>
            <w:r>
              <w:t xml:space="preserve">Adapt</w:t>
            </w:r>
          </w:p>
        </w:tc>
        <w:tc>
          <w:tcPr/>
          <w:p>
            <w:pPr>
              <w:pStyle w:val="Compact"/>
            </w:pPr>
            <w:r>
              <w:t xml:space="preserve">Ursachenanalyse, Lessons Learned</w:t>
            </w:r>
          </w:p>
        </w:tc>
        <w:tc>
          <w:tcPr/>
          <w:p>
            <w:pPr>
              <w:pStyle w:val="Compact"/>
            </w:pPr>
            <w:r>
              <w:t xml:space="preserve">keine systematische Nachbereitung</w:t>
            </w:r>
          </w:p>
        </w:tc>
      </w:tr>
    </w:tbl>
    <w:p>
      <w:pPr>
        <w:pStyle w:val="BodyText"/>
      </w:pPr>
      <w:r>
        <w:t xml:space="preserve">Typische Lessons Learned: Playbooks sind Gold wert, wenn sie aktuell und trainiert sind. Ein Backup ist nur so gut wie der letzte Restore. Kommunikation entscheidet über Vertrauen. Forensik und Wiederanlauf müssen abgestimmt sein. Reviews sind Lerngelegenheiten.</w:t>
      </w:r>
    </w:p>
    <w:bookmarkEnd w:id="37"/>
    <w:bookmarkEnd w:id="38"/>
    <w:bookmarkStart w:id="39" w:name="prüfungsrelevante-leitfragen"/>
    <w:p>
      <w:pPr>
        <w:pStyle w:val="Heading1"/>
      </w:pPr>
      <w:r>
        <w:t xml:space="preserve">Prüfungsrelevante Leitfragen</w:t>
      </w:r>
    </w:p>
    <w:p>
      <w:pPr>
        <w:pStyle w:val="Compact"/>
        <w:numPr>
          <w:ilvl w:val="0"/>
          <w:numId w:val="1010"/>
        </w:numPr>
      </w:pPr>
      <w:r>
        <w:t xml:space="preserve">Was versteht ISO 22316 unter organisationaler Resilienz, und welche Kernkomponenten gehören dazu?</w:t>
      </w:r>
    </w:p>
    <w:p>
      <w:pPr>
        <w:pStyle w:val="Compact"/>
        <w:numPr>
          <w:ilvl w:val="0"/>
          <w:numId w:val="1010"/>
        </w:numPr>
      </w:pPr>
      <w:r>
        <w:t xml:space="preserve">Beschreiben Sie die vier Phasen des Resilienzzyklus und ihre organisatorische Umsetzung.</w:t>
      </w:r>
    </w:p>
    <w:p>
      <w:pPr>
        <w:pStyle w:val="Compact"/>
        <w:numPr>
          <w:ilvl w:val="0"/>
          <w:numId w:val="1010"/>
        </w:numPr>
      </w:pPr>
      <w:r>
        <w:t xml:space="preserve">Warum scheitern viele Cyber-Resilienzmaßnahmen nicht an Technik, sondern an Organisation?</w:t>
      </w:r>
    </w:p>
    <w:p>
      <w:pPr>
        <w:pStyle w:val="Compact"/>
        <w:numPr>
          <w:ilvl w:val="0"/>
          <w:numId w:val="1010"/>
        </w:numPr>
      </w:pPr>
      <w:r>
        <w:t xml:space="preserve">Welche Rolle spielt Kommunikation in Krisen- und Notfallsituationen? Erläutern Sie die CCCC-Prinzipien.</w:t>
      </w:r>
    </w:p>
    <w:p>
      <w:pPr>
        <w:pStyle w:val="Compact"/>
        <w:numPr>
          <w:ilvl w:val="0"/>
          <w:numId w:val="1010"/>
        </w:numPr>
      </w:pPr>
      <w:r>
        <w:t xml:space="preserve">Wenden Sie das Modell von Schulz von Thun auf eine Aussage aus einem Incident an.</w:t>
      </w:r>
    </w:p>
    <w:p>
      <w:pPr>
        <w:pStyle w:val="Compact"/>
        <w:numPr>
          <w:ilvl w:val="0"/>
          <w:numId w:val="1010"/>
        </w:numPr>
      </w:pPr>
      <w:r>
        <w:t xml:space="preserve">Welche Formen von Resilienztraining gibt es, und welche Kennzahlen machen ihren Erfolg sichtbar?</w:t>
      </w:r>
    </w:p>
    <w:p>
      <w:pPr>
        <w:pStyle w:val="Compact"/>
        <w:numPr>
          <w:ilvl w:val="0"/>
          <w:numId w:val="1010"/>
        </w:numPr>
      </w:pPr>
      <w:r>
        <w:t xml:space="preserve">Wie wird Resilienz in bestehende Managementsysteme integriert?</w:t>
      </w:r>
    </w:p>
    <w:p>
      <w:pPr>
        <w:pStyle w:val="FirstParagraph"/>
      </w:pPr>
      <w:r>
        <w:rPr>
          <w:b/>
          <w:bCs/>
        </w:rPr>
        <w:t xml:space="preserve">Merksätze:</w:t>
      </w:r>
      <w:r>
        <w:t xml:space="preserve"> </w:t>
      </w:r>
      <w:r>
        <w:t xml:space="preserve">Organisationale Resilienz ist die Fähigkeit zur koordinierten Reaktion. Rollen, Kommunikation und Übung sind entscheidend. Recovery muss technisch und organisatorisch funktionieren. Lernen ist Teil des Zyklus, nicht dessen Nachbereitung.</w:t>
      </w:r>
    </w:p>
    <w:bookmarkEnd w:id="39"/>
    <w:bookmarkStart w:id="40" w:name="vor--und-nachbereitung"/>
    <w:p>
      <w:pPr>
        <w:pStyle w:val="Heading1"/>
      </w:pPr>
      <w:r>
        <w:t xml:space="preserve">Vor- und Nachbereitung</w:t>
      </w:r>
    </w:p>
    <w:p>
      <w:pPr>
        <w:pStyle w:val="FirstParagraph"/>
      </w:pPr>
      <w:r>
        <w:rPr>
          <w:b/>
          <w:bCs/>
        </w:rPr>
        <w:t xml:space="preserve">Ausblick Termin 6:</w:t>
      </w:r>
      <w:r>
        <w:t xml:space="preserve"> </w:t>
      </w:r>
      <w:r>
        <w:t xml:space="preserve">Rollen und Verantwortlichkeiten in der Cyber-Organisation – CISO, SOC, CERT und weitere Schlüsselrollen.</w:t>
      </w:r>
    </w:p>
    <w:bookmarkEnd w:id="40"/>
    <w:bookmarkStart w:id="41" w:name="material-aus-dem-archiv"/>
    <w:p>
      <w:pPr>
        <w:pStyle w:val="Heading1"/>
      </w:pPr>
      <w:r>
        <w:t xml:space="preserve">Material aus dem Archiv</w:t>
      </w:r>
    </w:p>
    <w:p>
      <w:pPr>
        <w:pStyle w:val="FirstParagraph"/>
      </w:pPr>
      <w:r>
        <w:rPr>
          <w:rStyle w:val="VerbatimChar"/>
        </w:rPr>
        <w:t xml:space="preserve">05 Resilienz als Organisationsfähigkeit/05_Resilienz als Organisationsfahigkeit.pdf</w:t>
      </w:r>
      <w:r>
        <w:t xml:space="preserve"> </w:t>
      </w:r>
      <w:r>
        <w:t xml:space="preserve">und</w:t>
      </w:r>
      <w:r>
        <w:t xml:space="preserve"> </w:t>
      </w:r>
      <w:r>
        <w:rPr>
          <w:rStyle w:val="VerbatimChar"/>
        </w:rPr>
        <w:t xml:space="preserve">Skript Sitzung 5 Resiliente Organisationsentwicklung.pdf</w:t>
      </w:r>
      <w:r>
        <w:t xml:space="preserve">.</w:t>
      </w:r>
    </w:p>
    <w:bookmarkEnd w:id="41"/>
    <w:bookmarkStart w:id="50" w:name="bibliography"/>
    <w:p>
      <w:pPr>
        <w:pStyle w:val="Heading1"/>
      </w:pPr>
      <w:r>
        <w:t xml:space="preserve">Literatur</w:t>
      </w:r>
    </w:p>
    <w:bookmarkStart w:id="49" w:name="refs"/>
    <w:bookmarkStart w:id="43" w:name="ref-nist80061r2"/>
    <w:p>
      <w:pPr>
        <w:pStyle w:val="Bibliography"/>
      </w:pPr>
      <w:r>
        <w:t xml:space="preserve">Cichonski, Paul, Tom Millar, Tim Grance, und Karen Scarfone. 2012.</w:t>
      </w:r>
      <w:r>
        <w:t xml:space="preserve"> </w:t>
      </w:r>
      <w:r>
        <w:rPr>
          <w:i/>
          <w:iCs/>
        </w:rPr>
        <w:t xml:space="preserve">Computer Security Incident Handling Guide</w:t>
      </w:r>
      <w:r>
        <w:t xml:space="preserve">. NIST Special Publication 800-61 Rev. 2. National Institute of Standards; Technology.</w:t>
      </w:r>
      <w:r>
        <w:t xml:space="preserve"> </w:t>
      </w:r>
      <w:hyperlink r:id="rId42">
        <w:r>
          <w:rPr>
            <w:rStyle w:val="Hyperlink"/>
          </w:rPr>
          <w:t xml:space="preserve">https://doi.org/10.6028/NIST.SP.800-61r2</w:t>
        </w:r>
      </w:hyperlink>
      <w:r>
        <w:t xml:space="preserve">.</w:t>
      </w:r>
    </w:p>
    <w:bookmarkEnd w:id="43"/>
    <w:bookmarkStart w:id="45" w:name="ref-edmondson1999"/>
    <w:p>
      <w:pPr>
        <w:pStyle w:val="Bibliography"/>
      </w:pPr>
      <w:r>
        <w:t xml:space="preserve">Edmondson, Amy C. 1999.</w:t>
      </w:r>
      <w:r>
        <w:t xml:space="preserve"> </w:t>
      </w:r>
      <w:r>
        <w:t xml:space="preserve">„Psychological Safety and Learning Behavior in Work Teams“</w:t>
      </w:r>
      <w:r>
        <w:t xml:space="preserve">.</w:t>
      </w:r>
      <w:r>
        <w:t xml:space="preserve"> </w:t>
      </w:r>
      <w:r>
        <w:rPr>
          <w:i/>
          <w:iCs/>
        </w:rPr>
        <w:t xml:space="preserve">Administrative Science Quarterly</w:t>
      </w:r>
      <w:r>
        <w:t xml:space="preserve"> </w:t>
      </w:r>
      <w:r>
        <w:t xml:space="preserve">44 (2): 350–83.</w:t>
      </w:r>
      <w:r>
        <w:t xml:space="preserve"> </w:t>
      </w:r>
      <w:hyperlink r:id="rId44">
        <w:r>
          <w:rPr>
            <w:rStyle w:val="Hyperlink"/>
          </w:rPr>
          <w:t xml:space="preserve">https://doi.org/10.2307/2666999</w:t>
        </w:r>
      </w:hyperlink>
      <w:r>
        <w:t xml:space="preserve">.</w:t>
      </w:r>
    </w:p>
    <w:bookmarkEnd w:id="45"/>
    <w:bookmarkStart w:id="46" w:name="ref-iso22316"/>
    <w:p>
      <w:pPr>
        <w:pStyle w:val="Bibliography"/>
      </w:pPr>
      <w:r>
        <w:t xml:space="preserve">ISO 22316:2017 Security and Resilience – Organizational Resilience – Principles and Attributes (2017).</w:t>
      </w:r>
    </w:p>
    <w:bookmarkEnd w:id="46"/>
    <w:bookmarkStart w:id="47" w:name="ref-schulzvonthun1981"/>
    <w:p>
      <w:pPr>
        <w:pStyle w:val="Bibliography"/>
      </w:pPr>
      <w:r>
        <w:t xml:space="preserve">Schulz von Thun, Friedemann. 1981.</w:t>
      </w:r>
      <w:r>
        <w:t xml:space="preserve"> </w:t>
      </w:r>
      <w:r>
        <w:rPr>
          <w:i/>
          <w:iCs/>
        </w:rPr>
        <w:t xml:space="preserve">Miteinander reden 1: Störungen und Klärungen</w:t>
      </w:r>
      <w:r>
        <w:t xml:space="preserve">. Rowohlt.</w:t>
      </w:r>
    </w:p>
    <w:bookmarkEnd w:id="47"/>
    <w:bookmarkStart w:id="48" w:name="ref-senge1990"/>
    <w:p>
      <w:pPr>
        <w:pStyle w:val="Bibliography"/>
      </w:pPr>
      <w:r>
        <w:t xml:space="preserve">Senge, Peter M. 1990.</w:t>
      </w:r>
      <w:r>
        <w:t xml:space="preserve"> </w:t>
      </w:r>
      <w:r>
        <w:rPr>
          <w:i/>
          <w:iCs/>
        </w:rPr>
        <w:t xml:space="preserve">The Fifth Discipline: The Art and Practice of the Learning Organization</w:t>
      </w:r>
      <w:r>
        <w:t xml:space="preserve">. Doubleday.</w:t>
      </w:r>
    </w:p>
    <w:bookmarkEnd w:id="48"/>
    <w:bookmarkEnd w:id="49"/>
    <w:bookmarkEnd w:id="50"/>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3" Target="media/rId23.png" /><Relationship Type="http://schemas.openxmlformats.org/officeDocument/2006/relationships/hyperlink" Id="rId30" Target="../quellen.html#hinweise-zur-aktualit&#228;t" TargetMode="External" /><Relationship Type="http://schemas.openxmlformats.org/officeDocument/2006/relationships/hyperlink" Id="rId44" Target="https://doi.org/10.2307/2666999" TargetMode="External" /><Relationship Type="http://schemas.openxmlformats.org/officeDocument/2006/relationships/hyperlink" Id="rId42" Target="https://doi.org/10.6028/NIST.SP.800-61r2" TargetMode="External" /></Relationships>
</file>

<file path=word/_rels/footnotes.xml.rels><?xml version="1.0" encoding="UTF-8"?><Relationships xmlns="http://schemas.openxmlformats.org/package/2006/relationships"><Relationship Type="http://schemas.openxmlformats.org/officeDocument/2006/relationships/hyperlink" Id="rId30" Target="../quellen.html#hinweise-zur-aktualit&#228;t" TargetMode="External" /><Relationship Type="http://schemas.openxmlformats.org/officeDocument/2006/relationships/hyperlink" Id="rId44" Target="https://doi.org/10.2307/2666999" TargetMode="External" /><Relationship Type="http://schemas.openxmlformats.org/officeDocument/2006/relationships/hyperlink" Id="rId42" Target="https://doi.org/10.6028/NIST.SP.800-61r2"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 5 – Resilienz als Organisationsfähigkeit</dc:title>
  <dc:creator>Prof. Dr. Dirk Loomans</dc:creator>
  <dc:language>de</dc:language>
  <cp:keywords/>
  <dcterms:created xsi:type="dcterms:W3CDTF">2026-09-29T12:29:57Z</dcterms:created>
  <dcterms:modified xsi:type="dcterms:W3CDTF">2026-09-29T12:29:57Z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toc-title">
    <vt:lpwstr>Inhaltsverzeichnis</vt:lpwstr>
  </property>
</Properties>
</file>