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Termin 6 – Organisatorische Resilienz II: Rollen und Verantwortlichkeiten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bookmarkStart w:id="19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t xml:space="preserve">Wie wird aus Verantwortlichkeit Organisation – und aus Organisation Resilienz?</w:t>
      </w:r>
    </w:p>
    <w:p>
      <w:pPr>
        <w:pStyle w:val="FirstParagraph"/>
      </w:pPr>
      <w:r>
        <w:t xml:space="preserve">Resilienz bedeutet nicht, dass jeder alles kann, sondern dass jeder weiß, wann er in welcher Rolle handeln muss.</w:t>
      </w:r>
    </w:p>
    <w:bookmarkEnd w:id="19"/>
    <w:bookmarkStart w:id="20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Nach diesem Termin können Studierende</w:t>
      </w:r>
    </w:p>
    <w:p>
      <w:pPr>
        <w:pStyle w:val="Compact"/>
        <w:numPr>
          <w:ilvl w:val="0"/>
          <w:numId w:val="1001"/>
        </w:numPr>
      </w:pPr>
      <w:r>
        <w:t xml:space="preserve">die zentralen Rollen der Cyber-Resilienz (CISO, SOC, CERT, DPO, BCM, IT Operations, Management) und ihr Zusammenspiel erklären,</w:t>
      </w:r>
    </w:p>
    <w:p>
      <w:pPr>
        <w:pStyle w:val="Compact"/>
        <w:numPr>
          <w:ilvl w:val="0"/>
          <w:numId w:val="1001"/>
        </w:numPr>
      </w:pPr>
      <w:r>
        <w:t xml:space="preserve">Aufgaben, Befugnisse und Grenzen dieser Rollen analysieren,</w:t>
      </w:r>
    </w:p>
    <w:p>
      <w:pPr>
        <w:pStyle w:val="Compact"/>
        <w:numPr>
          <w:ilvl w:val="0"/>
          <w:numId w:val="1001"/>
        </w:numPr>
      </w:pPr>
      <w:r>
        <w:t xml:space="preserve">typische Konflikte und Governance-Lösungen erkennen,</w:t>
      </w:r>
    </w:p>
    <w:p>
      <w:pPr>
        <w:pStyle w:val="Compact"/>
        <w:numPr>
          <w:ilvl w:val="0"/>
          <w:numId w:val="1001"/>
        </w:numPr>
      </w:pPr>
      <w:r>
        <w:t xml:space="preserve">Rollenverantwortung und Eskalationslogik in einer Übung anwenden.</w:t>
      </w:r>
    </w:p>
    <w:bookmarkEnd w:id="20"/>
    <w:bookmarkStart w:id="38" w:name="fachinhalte"/>
    <w:p>
      <w:pPr>
        <w:pStyle w:val="Heading1"/>
      </w:pPr>
      <w:r>
        <w:t xml:space="preserve">Fachinhalte</w:t>
      </w:r>
    </w:p>
    <w:bookmarkStart w:id="21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Kommunikation ist ein Schlüsselfaktor der Resilienz; Struktur und Verhalten sind zu unterscheiden; Rollenverständnis und Eskalationslogik tragen die Reaktion. „Resilienz ist Teamarbeit – aber nur, wenn das Team dieselbe Sprache spricht.“</w:t>
      </w:r>
    </w:p>
    <w:bookmarkEnd w:id="21"/>
    <w:bookmarkStart w:id="22" w:name="rollen-als-strukturprinzip"/>
    <w:p>
      <w:pPr>
        <w:pStyle w:val="Heading2"/>
      </w:pPr>
      <w:r>
        <w:t xml:space="preserve">Rollen als Strukturprinzip</w:t>
      </w:r>
    </w:p>
    <w:p>
      <w:pPr>
        <w:pStyle w:val="FirstParagraph"/>
      </w:pPr>
      <w:r>
        <w:t xml:space="preserve">Rollen definieren Zuständigkeiten unabhängig von Personen und Hierarchie. Eine Rolle beschreibt</w:t>
      </w:r>
      <w:r>
        <w:t xml:space="preserve"> </w:t>
      </w:r>
      <w:r>
        <w:rPr>
          <w:b/>
          <w:bCs/>
        </w:rPr>
        <w:t xml:space="preserve">Verantwortung</w:t>
      </w:r>
      <w:r>
        <w:t xml:space="preserve"> </w:t>
      </w:r>
      <w:r>
        <w:t xml:space="preserve">(wofür bin ich zuständig?),</w:t>
      </w:r>
      <w:r>
        <w:t xml:space="preserve"> </w:t>
      </w:r>
      <w:r>
        <w:rPr>
          <w:b/>
          <w:bCs/>
        </w:rPr>
        <w:t xml:space="preserve">Befugnis</w:t>
      </w:r>
      <w:r>
        <w:t xml:space="preserve"> </w:t>
      </w:r>
      <w:r>
        <w:t xml:space="preserve">(was darf ich entscheiden?) und</w:t>
      </w:r>
      <w:r>
        <w:t xml:space="preserve"> </w:t>
      </w:r>
      <w:r>
        <w:rPr>
          <w:b/>
          <w:bCs/>
        </w:rPr>
        <w:t xml:space="preserve">Schnittstellen</w:t>
      </w:r>
      <w:r>
        <w:t xml:space="preserve"> </w:t>
      </w:r>
      <w:r>
        <w:t xml:space="preserve">(mit wem interagiere ich?).</w:t>
      </w:r>
    </w:p>
    <w:p>
      <w:pPr>
        <w:pStyle w:val="Compact"/>
        <w:numPr>
          <w:ilvl w:val="0"/>
          <w:numId w:val="1002"/>
        </w:numPr>
      </w:pPr>
      <w:r>
        <w:t xml:space="preserve">Technik kann reagieren – Menschen entscheiden.</w:t>
      </w:r>
    </w:p>
    <w:p>
      <w:pPr>
        <w:pStyle w:val="Compact"/>
        <w:numPr>
          <w:ilvl w:val="0"/>
          <w:numId w:val="1002"/>
        </w:numPr>
      </w:pPr>
      <w:r>
        <w:t xml:space="preserve">Klare Rollen verhindern Chaos und Doppelarbeit.</w:t>
      </w:r>
    </w:p>
    <w:p>
      <w:pPr>
        <w:pStyle w:val="Compact"/>
        <w:numPr>
          <w:ilvl w:val="0"/>
          <w:numId w:val="1002"/>
        </w:numPr>
      </w:pPr>
      <w:r>
        <w:t xml:space="preserve">Verantwortung ersetzt Schuld: Fehler werden als Prozessprobleme verstanden.</w:t>
      </w:r>
    </w:p>
    <w:p>
      <w:pPr>
        <w:pStyle w:val="Compact"/>
        <w:numPr>
          <w:ilvl w:val="0"/>
          <w:numId w:val="1002"/>
        </w:numPr>
      </w:pPr>
      <w:r>
        <w:t xml:space="preserve">Ohne Struktur keine Geschwindigkeit.</w:t>
      </w:r>
    </w:p>
    <w:p>
      <w:pPr>
        <w:pStyle w:val="FirstParagraph"/>
      </w:pPr>
      <w:r>
        <w:t xml:space="preserve">Typische Fragen, die vorab beantwortet sein müssen: Wer schaltet Systeme ab, wenn Malware erkannt wird? Wer informiert Behörden oder Kunden? Wer genehmigt öffentliche Kommunikation?</w:t>
      </w:r>
    </w:p>
    <w:bookmarkEnd w:id="22"/>
    <w:bookmarkStart w:id="23" w:name="ciso-mandat-und-strategische-steuerung"/>
    <w:p>
      <w:pPr>
        <w:pStyle w:val="Heading2"/>
      </w:pPr>
      <w:r>
        <w:t xml:space="preserve">CISO – Mandat und strategische Steuerung</w:t>
      </w:r>
    </w:p>
    <w:p>
      <w:pPr>
        <w:pStyle w:val="FirstParagraph"/>
      </w:pPr>
      <w:r>
        <w:t xml:space="preserve">Das Mandat ergibt sich in der Regel aus dem ISMS nach ISO/IEC 27001</w:t>
      </w:r>
      <w:r>
        <w:t xml:space="preserve"> </w:t>
      </w:r>
      <w:r>
        <w:t xml:space="preserve">(ISO/IEC 27001 2022)</w:t>
      </w:r>
      <w:r>
        <w:t xml:space="preserve">. Der CISO berichtet idealerweise direkt an Geschäftsführung oder Vorstand.</w:t>
      </w:r>
    </w:p>
    <w:p>
      <w:pPr>
        <w:pStyle w:val="BodyText"/>
      </w:pPr>
      <w:r>
        <w:rPr>
          <w:b/>
          <w:bCs/>
        </w:rPr>
        <w:t xml:space="preserve">Kernverantwortlichkeiten:</w:t>
      </w:r>
      <w:r>
        <w:t xml:space="preserve"> </w:t>
      </w:r>
      <w:r>
        <w:t xml:space="preserve">Sicherheitsstrategie entwickeln und pflegen; ISMS steuern und auditieren; Incident-Management-Prozess leiten und mit SOC/CERT koordinieren; Risiken an Management und Aufsicht kommunizieren; regulatorische Compliance (NIS-2, DSGVO, KRITIS) sicherstellen; Sicherheitskultur fördern.</w:t>
      </w:r>
    </w:p>
    <w:p>
      <w:pPr>
        <w:pStyle w:val="BodyText"/>
      </w:pPr>
      <w:r>
        <w:rPr>
          <w:b/>
          <w:bCs/>
        </w:rPr>
        <w:t xml:space="preserve">Mandatsdilemma:</w:t>
      </w:r>
      <w:r>
        <w:t xml:space="preserve"> </w:t>
      </w:r>
      <w:r>
        <w:t xml:space="preserve">Verantwortung ohne formale Entscheidungsgewalt oder Ressourcen („Accountability without Authority“). Lösung: strategische Verankerung, festes Budget und Reporting-Mandat, dokumentierte Eskalationsrechte. Eine zu tiefe Einbettung in die IT-Linie birgt Zielkonflikte zwischen Verfügbarkeit und Sicherheit.</w:t>
      </w:r>
    </w:p>
    <w:p>
      <w:pPr>
        <w:pStyle w:val="BodyText"/>
      </w:pPr>
      <w:r>
        <w:t xml:space="preserve">Der CISO ist kein „Security-Polizist“, sondern Business-Partner: Er übersetzt technische Risiken in betriebswirtschaftliche Entscheidungsgrundlagen. „Ein CISO ohne Mandat ist wie ein Pilot ohne Steuerknüppel.“</w:t>
      </w:r>
    </w:p>
    <w:bookmarkEnd w:id="23"/>
    <w:bookmarkStart w:id="24" w:name="soc-das-sensorische-nervensystem"/>
    <w:p>
      <w:pPr>
        <w:pStyle w:val="Heading2"/>
      </w:pPr>
      <w:r>
        <w:t xml:space="preserve">SOC – das sensorische Nervensystem</w:t>
      </w:r>
    </w:p>
    <w:p>
      <w:pPr>
        <w:pStyle w:val="FirstParagraph"/>
      </w:pPr>
      <w:r>
        <w:t xml:space="preserve">Das Security Operations Center überwacht Systeme, Netze und Anwendungen rund um die Uhr. Herzstück ist das SIEM, das Logdaten aggregiert und gegen Use Cases abgleicht.</w:t>
      </w:r>
    </w:p>
    <w:p>
      <w:pPr>
        <w:pStyle w:val="BodyText"/>
      </w:pPr>
      <w:r>
        <w:rPr>
          <w:b/>
          <w:bCs/>
        </w:rPr>
        <w:t xml:space="preserve">Aufgaben:</w:t>
      </w:r>
      <w:r>
        <w:t xml:space="preserve"> </w:t>
      </w:r>
      <w:r>
        <w:t xml:space="preserve">Monitoring &amp; Detection, Analysis &amp; Classification, Eskalation bestätigter Vorfälle an das CERT, Threat Intelligence, Reporting und Lagebilder.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Ebene</w:t>
            </w:r>
          </w:p>
        </w:tc>
        <w:tc>
          <w:tcPr/>
          <w:p>
            <w:pPr>
              <w:pStyle w:val="Compact"/>
            </w:pPr>
            <w:r>
              <w:t xml:space="preserve">Bezeichnung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Monitoring / Analysis</w:t>
            </w:r>
          </w:p>
        </w:tc>
        <w:tc>
          <w:tcPr/>
          <w:p>
            <w:pPr>
              <w:pStyle w:val="Compact"/>
            </w:pPr>
            <w:r>
              <w:t xml:space="preserve">erste Alarmbewertung, Triage, Eskalation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vertiefte Analyse, Kontext, Angriffsketten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Response / Forensics / Threat Hunting</w:t>
            </w:r>
          </w:p>
        </w:tc>
        <w:tc>
          <w:tcPr/>
          <w:p>
            <w:pPr>
              <w:pStyle w:val="Compact"/>
            </w:pPr>
            <w:r>
              <w:t xml:space="preserve">technische Eindämmung, Spezialanalyse, proaktive Suche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Herausforderungen:</w:t>
      </w:r>
      <w:r>
        <w:t xml:space="preserve"> </w:t>
      </w:r>
      <w:r>
        <w:t xml:space="preserve">Alarm Fatigue, Personalmangel, fragmentierte Tool-Landschaft, unklare Übergaben, fehlende Priorisierung nach Business Impact. Antworten: Automatisierung (SOAR), klare Playbooks, Risikopriorisierung, kontinuierliches Training. „Resilienz beginnt mit Wahrnehmung – und Wahrnehmung beginnt im SOC.“</w:t>
      </w:r>
    </w:p>
    <w:bookmarkEnd w:id="24"/>
    <w:bookmarkStart w:id="25" w:name="cert-die-operative-reaktionseinheit"/>
    <w:p>
      <w:pPr>
        <w:pStyle w:val="Heading2"/>
      </w:pPr>
      <w:r>
        <w:t xml:space="preserve">CERT – die operative Reaktionseinheit</w:t>
      </w:r>
    </w:p>
    <w:p>
      <w:pPr>
        <w:pStyle w:val="FirstParagraph"/>
      </w:pPr>
      <w:r>
        <w:rPr>
          <w:b/>
          <w:bCs/>
        </w:rPr>
        <w:t xml:space="preserve">Mandat:</w:t>
      </w:r>
      <w:r>
        <w:t xml:space="preserve"> </w:t>
      </w:r>
      <w:r>
        <w:t xml:space="preserve">Koordination der technischen Incident Response; Forensik und Ursachenanalyse; Containment und Eradication; Unterstützung des Wiederanlaufs; Kommunikation mit internen Stellen und externen Partnern (BSI, ENISA, Branchen-CERTs); Lessons-Learned-Dokumentation.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CERT</w:t>
            </w:r>
          </w:p>
        </w:tc>
        <w:tc>
          <w:tcPr/>
          <w:p>
            <w:pPr>
              <w:pStyle w:val="Compact"/>
            </w:pPr>
            <w:r>
              <w:t xml:space="preserve">eigenes Unternehmen oder Konzern</w:t>
            </w:r>
          </w:p>
        </w:tc>
        <w:tc>
          <w:tcPr/>
          <w:p>
            <w:pPr>
              <w:pStyle w:val="Compact"/>
            </w:pPr>
            <w:r>
              <w:t xml:space="preserve">Corporate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CERT</w:t>
            </w:r>
          </w:p>
        </w:tc>
        <w:tc>
          <w:tcPr/>
          <w:p>
            <w:pPr>
              <w:pStyle w:val="Compact"/>
            </w:pPr>
            <w:r>
              <w:t xml:space="preserve">staatliche Koordination</w:t>
            </w:r>
          </w:p>
        </w:tc>
        <w:tc>
          <w:tcPr/>
          <w:p>
            <w:pPr>
              <w:pStyle w:val="Compact"/>
            </w:pPr>
            <w:r>
              <w:t xml:space="preserve">CERT-Bund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Sectoral CERT</w:t>
            </w:r>
          </w:p>
        </w:tc>
        <w:tc>
          <w:tcPr/>
          <w:p>
            <w:pPr>
              <w:pStyle w:val="Compact"/>
            </w:pPr>
            <w:r>
              <w:t xml:space="preserve">branchenbezogene Zusammenarbeit</w:t>
            </w:r>
          </w:p>
        </w:tc>
        <w:tc>
          <w:tcPr/>
          <w:p>
            <w:pPr>
              <w:pStyle w:val="Compact"/>
            </w:pPr>
            <w:r>
              <w:t xml:space="preserve">Finanz-, Energie-CERTs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CERT</w:t>
            </w:r>
          </w:p>
        </w:tc>
        <w:tc>
          <w:tcPr/>
          <w:p>
            <w:pPr>
              <w:pStyle w:val="Compact"/>
            </w:pPr>
            <w:r>
              <w:t xml:space="preserve">Forschung und Bildung</w:t>
            </w:r>
          </w:p>
        </w:tc>
        <w:tc>
          <w:tcPr/>
          <w:p>
            <w:pPr>
              <w:pStyle w:val="Compact"/>
            </w:pPr>
            <w:r>
              <w:t xml:space="preserve">DFN-CERT</w:t>
            </w:r>
          </w:p>
        </w:tc>
      </w:tr>
    </w:tbl>
    <w:p>
      <w:pPr>
        <w:pStyle w:val="BodyText"/>
      </w:pPr>
      <w:r>
        <w:t xml:space="preserve">Erfolgskriterien: klare Governance, trainierte Teams, standardisierte Playbooks, forensische Kompetenz, transparente Kommunikation, Nachbereitungskultur. „Das CERT ist das Immunsystem der Organisation – es reagiert, bekämpft, heilt und erinnert.“</w:t>
      </w:r>
    </w:p>
    <w:bookmarkEnd w:id="25"/>
    <w:bookmarkStart w:id="26" w:name="zusammenspiel-von-ciso-soc-und-cert"/>
    <w:p>
      <w:pPr>
        <w:pStyle w:val="Heading2"/>
      </w:pPr>
      <w:r>
        <w:t xml:space="preserve">Zusammenspiel von CISO, SOC und CERT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Ebene</w:t>
            </w:r>
          </w:p>
        </w:tc>
        <w:tc>
          <w:tcPr/>
          <w:p>
            <w:pPr>
              <w:pStyle w:val="Compact"/>
            </w:pPr>
            <w:r>
              <w:t xml:space="preserve">Hauptaufgabe</w:t>
            </w:r>
          </w:p>
        </w:tc>
        <w:tc>
          <w:tcPr/>
          <w:p>
            <w:pPr>
              <w:pStyle w:val="Compact"/>
            </w:pPr>
            <w:r>
              <w:t xml:space="preserve">Zeithorizont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strategisch</w:t>
            </w:r>
          </w:p>
        </w:tc>
        <w:tc>
          <w:tcPr/>
          <w:p>
            <w:pPr>
              <w:pStyle w:val="Compact"/>
            </w:pPr>
            <w:r>
              <w:t xml:space="preserve">Richtlinien, Ressourcen, Governance, Reporting</w:t>
            </w:r>
          </w:p>
        </w:tc>
        <w:tc>
          <w:tcPr/>
          <w:p>
            <w:pPr>
              <w:pStyle w:val="Compact"/>
            </w:pPr>
            <w:r>
              <w:t xml:space="preserve">langfristig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operativ</w:t>
            </w:r>
          </w:p>
        </w:tc>
        <w:tc>
          <w:tcPr/>
          <w:p>
            <w:pPr>
              <w:pStyle w:val="Compact"/>
            </w:pPr>
            <w:r>
              <w:t xml:space="preserve">Erkennen, Bewerten, Eskalieren</w:t>
            </w:r>
          </w:p>
        </w:tc>
        <w:tc>
          <w:tcPr/>
          <w:p>
            <w:pPr>
              <w:pStyle w:val="Compact"/>
            </w:pPr>
            <w:r>
              <w:t xml:space="preserve">kurzfristig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taktisch</w:t>
            </w:r>
          </w:p>
        </w:tc>
        <w:tc>
          <w:tcPr/>
          <w:p>
            <w:pPr>
              <w:pStyle w:val="Compact"/>
            </w:pPr>
            <w:r>
              <w:t xml:space="preserve">Koordinieren, Reagieren, Lernen</w:t>
            </w:r>
          </w:p>
        </w:tc>
        <w:tc>
          <w:tcPr/>
          <w:p>
            <w:pPr>
              <w:pStyle w:val="Compact"/>
            </w:pPr>
            <w:r>
              <w:t xml:space="preserve">mittelfristig</w:t>
            </w:r>
          </w:p>
        </w:tc>
      </w:tr>
    </w:tbl>
    <w:p>
      <w:pPr>
        <w:pStyle w:val="BodyText"/>
      </w:pPr>
      <w:r>
        <w:t xml:space="preserve">Prinzip:</w:t>
      </w:r>
      <w:r>
        <w:t xml:space="preserve"> </w:t>
      </w:r>
      <w:r>
        <w:rPr>
          <w:b/>
          <w:bCs/>
        </w:rPr>
        <w:t xml:space="preserve">Trennung der Funktionen – Integration der Wirkung.</w:t>
      </w:r>
      <w:r>
        <w:t xml:space="preserve"> </w:t>
      </w:r>
      <w:r>
        <w:t xml:space="preserve">Erfolgsfaktoren sind definierte Eskalationsschwellen, ein gemeinsames Lagebild (Single Source of Truth, etwa SIEM/SOAR, Lageberichte, Dashboards) und regelmäßige Lage- und Lessons-Learned-Meetings. „Was das SOC sieht, muss das CERT wissen – und was das CERT lernt, muss der CISO verstehen.“</w:t>
      </w:r>
    </w:p>
    <w:bookmarkEnd w:id="26"/>
    <w:bookmarkStart w:id="27" w:name="weitere-schlüsselrollen"/>
    <w:p>
      <w:pPr>
        <w:pStyle w:val="Heading2"/>
      </w:pPr>
      <w:r>
        <w:t xml:space="preserve">Weitere Schlüsselrollen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Kernaufgaben</w:t>
            </w:r>
          </w:p>
        </w:tc>
        <w:tc>
          <w:tcPr/>
          <w:p>
            <w:pPr>
              <w:pStyle w:val="Compact"/>
            </w:pPr>
            <w:r>
              <w:t xml:space="preserve">Bezug zur Resilienz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(Datenschutzbeauftragte Person)</w:t>
            </w:r>
          </w:p>
        </w:tc>
        <w:tc>
          <w:tcPr/>
          <w:p>
            <w:pPr>
              <w:pStyle w:val="Compact"/>
            </w:pPr>
            <w:r>
              <w:t xml:space="preserve">DSGVO-Compliance, Bewertung von Datenschutzvorfällen, Schnittstelle zur Aufsicht</w:t>
            </w:r>
          </w:p>
        </w:tc>
        <w:tc>
          <w:tcPr/>
          <w:p>
            <w:pPr>
              <w:pStyle w:val="Compact"/>
            </w:pPr>
            <w:r>
              <w:t xml:space="preserve">schützt Vertrauen und Reputation; bewertet Meldepflicht nach Art. 33 DSGVO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BCM-Manager</w:t>
            </w:r>
          </w:p>
        </w:tc>
        <w:tc>
          <w:tcPr/>
          <w:p>
            <w:pPr>
              <w:pStyle w:val="Compact"/>
            </w:pPr>
            <w:r>
              <w:t xml:space="preserve">Business Impact Analysis, Notfallpläne, Wiederanlaufkoordination, Übungen</w:t>
            </w:r>
          </w:p>
        </w:tc>
        <w:tc>
          <w:tcPr/>
          <w:p>
            <w:pPr>
              <w:pStyle w:val="Compact"/>
            </w:pPr>
            <w:r>
              <w:t xml:space="preserve">Recovery und Priorisierung: „Das CERT schützt Systeme – das BCM schützt den Zweck.“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 Lead</w:t>
            </w:r>
          </w:p>
        </w:tc>
        <w:tc>
          <w:tcPr/>
          <w:p>
            <w:pPr>
              <w:pStyle w:val="Compact"/>
            </w:pPr>
            <w:r>
              <w:t xml:space="preserve">Betrieb, Infrastruktur, Wiederherstellung nach CERT-Anweisung</w:t>
            </w:r>
          </w:p>
        </w:tc>
        <w:tc>
          <w:tcPr/>
          <w:p>
            <w:pPr>
              <w:pStyle w:val="Compact"/>
            </w:pPr>
            <w:r>
              <w:t xml:space="preserve">technische Umsetzung; im Incident Betroffener und Akteur zugleich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Manager</w:t>
            </w:r>
          </w:p>
        </w:tc>
        <w:tc>
          <w:tcPr/>
          <w:p>
            <w:pPr>
              <w:pStyle w:val="Compact"/>
            </w:pPr>
            <w:r>
              <w:t xml:space="preserve">Risikoanalyse, Bewertung, Register</w:t>
            </w:r>
          </w:p>
        </w:tc>
        <w:tc>
          <w:tcPr/>
          <w:p>
            <w:pPr>
              <w:pStyle w:val="Compact"/>
            </w:pPr>
            <w:r>
              <w:t xml:space="preserve">Früherkennung und Priorisierung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Board</w:t>
            </w:r>
          </w:p>
        </w:tc>
        <w:tc>
          <w:tcPr/>
          <w:p>
            <w:pPr>
              <w:pStyle w:val="Compact"/>
            </w:pPr>
            <w:r>
              <w:t xml:space="preserve">Strategie genehmigen, Ressourcen, Risikoakzeptanz, externe Kommunikation</w:t>
            </w:r>
          </w:p>
        </w:tc>
        <w:tc>
          <w:tcPr/>
          <w:p>
            <w:pPr>
              <w:pStyle w:val="Compact"/>
            </w:pPr>
            <w:r>
              <w:t xml:space="preserve">Gesamtverantwortung: Resilienz ist Chefsache</w:t>
            </w:r>
          </w:p>
        </w:tc>
      </w:tr>
    </w:tbl>
    <w:p>
      <w:pPr>
        <w:pStyle w:val="BodyText"/>
      </w:pPr>
      <w:r>
        <w:t xml:space="preserve">Nach NIS-2-Richtlinie</w:t>
      </w:r>
      <w:r>
        <w:t xml:space="preserve"> </w:t>
      </w:r>
      <w:r>
        <w:t xml:space="preserve">(Richtlinie (EU) 2022/2555 des Europäischen Parlaments und des Rates vom 14. Dezember 2022 über Maßnahmen für ein hohes gemeinsames Cybersicherheitsniveau in der Union (NIS-2-Richtlinie) 2022)</w:t>
      </w:r>
      <w:r>
        <w:t xml:space="preserve"> </w:t>
      </w:r>
      <w:r>
        <w:t xml:space="preserve">und ISO/IEC 27001 muss die Leitung nachweislich Verantwortung für Sicherheits- und Resilienzmaßnahmen übernehmen.</w:t>
      </w:r>
    </w:p>
    <w:bookmarkEnd w:id="27"/>
    <w:bookmarkStart w:id="31" w:name="kommunikations--und-eskalationsmodell"/>
    <w:p>
      <w:pPr>
        <w:pStyle w:val="Heading2"/>
      </w:pPr>
      <w:r>
        <w:t xml:space="preserve">Kommunikations- und Eskalationsmodell</w:t>
      </w:r>
    </w:p>
    <w:p>
      <w:pPr>
        <w:pStyle w:val="FirstParagraph"/>
      </w:pPr>
      <w:r>
        <w:t xml:space="preserve">Grundprinzipien resilienter Kommunikation:</w:t>
      </w:r>
      <w:r>
        <w:t xml:space="preserve"> </w:t>
      </w:r>
      <w:r>
        <w:rPr>
          <w:b/>
          <w:bCs/>
        </w:rPr>
        <w:t xml:space="preserve">Klarheit</w:t>
      </w:r>
      <w:r>
        <w:t xml:space="preserve"> </w:t>
      </w:r>
      <w:r>
        <w:t xml:space="preserve">(wer informiert wen, über welchen Kanal, mit welchem Ziel?),</w:t>
      </w:r>
      <w:r>
        <w:t xml:space="preserve"> </w:t>
      </w:r>
      <w:r>
        <w:rPr>
          <w:b/>
          <w:bCs/>
        </w:rPr>
        <w:t xml:space="preserve">Redundanz</w:t>
      </w:r>
      <w:r>
        <w:t xml:space="preserve"> </w:t>
      </w:r>
      <w:r>
        <w:t xml:space="preserve">(mehr als ein Pfad),</w:t>
      </w:r>
      <w:r>
        <w:t xml:space="preserve"> </w:t>
      </w:r>
      <w:r>
        <w:rPr>
          <w:b/>
          <w:bCs/>
        </w:rPr>
        <w:t xml:space="preserve">Priorisierung</w:t>
      </w:r>
      <w:r>
        <w:t xml:space="preserve"> </w:t>
      </w:r>
      <w:r>
        <w:t xml:space="preserve">nach Schweregrad,</w:t>
      </w:r>
      <w:r>
        <w:t xml:space="preserve"> </w:t>
      </w:r>
      <w:r>
        <w:rPr>
          <w:b/>
          <w:bCs/>
        </w:rPr>
        <w:t xml:space="preserve">Vertraulichkeit</w:t>
      </w:r>
      <w:r>
        <w:t xml:space="preserve"> </w:t>
      </w:r>
      <w:r>
        <w:t xml:space="preserve">(Need-to-know),</w:t>
      </w:r>
      <w:r>
        <w:t xml:space="preserve"> </w:t>
      </w:r>
      <w:r>
        <w:rPr>
          <w:b/>
          <w:bCs/>
        </w:rPr>
        <w:t xml:space="preserve">Bidirektionalität</w:t>
      </w:r>
      <w:r>
        <w:t xml:space="preserve"> </w:t>
      </w:r>
      <w:r>
        <w:t xml:space="preserve">(jede Information erzeugt eine Rückmeldung). Weitere Leitsätze: Single Source of Truth, Time to Inform innerhalb definierter Fristen, vorab definierte und getestete Kanäle.</w:t>
      </w:r>
    </w:p>
    <w:p>
      <w:pPr>
        <w:pStyle w:val="CaptionedFigure"/>
      </w:pPr>
      <w:r>
        <w:drawing>
          <wp:inline>
            <wp:extent cx="4602480" cy="3093996"/>
            <wp:effectExtent b="0" l="0" r="0" t="0"/>
            <wp:docPr descr="Beispielhafte Eskalationsstruktur" title="" id="29" name="Picture"/>
            <a:graphic>
              <a:graphicData uri="http://schemas.openxmlformats.org/drawingml/2006/picture">
                <pic:pic>
                  <pic:nvPicPr>
                    <pic:cNvPr descr="../assets/eskalationsmodel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09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Beispielhafte Eskalationsstruktur</w:t>
      </w:r>
    </w:p>
    <w:p>
      <w:pPr>
        <w:pStyle w:val="BodyText"/>
      </w:pPr>
      <w:r>
        <w:t xml:space="preserve">Ebenen: operativ (SOC, IT Ops – technische Meldungen), taktisch (CERT, DPO, BCM – Koordination und Priorisierung), strategisch (CISO, Management – Entscheidungen, Ressourcen, externe Kommunikation). Die Eskalationszeiten sind Beispielwerte aus dem Skript.</w:t>
      </w:r>
    </w:p>
    <w:p>
      <w:pPr>
        <w:pStyle w:val="BodyText"/>
      </w:pPr>
      <w:r>
        <w:rPr>
          <w:b/>
          <w:bCs/>
        </w:rPr>
        <w:t xml:space="preserve">Kanäle:</w:t>
      </w:r>
      <w:r>
        <w:t xml:space="preserve"> </w:t>
      </w:r>
      <w:r>
        <w:t xml:space="preserve">Krisenkanäle (z. B. Teams-„Crisis Room“), Hotlines und War Rooms, automatisierte Alarmierung aus SIEM/SOAR, Incident-Management-Tools und</w:t>
      </w:r>
      <w:r>
        <w:t xml:space="preserve"> </w:t>
      </w:r>
      <w:r>
        <w:rPr>
          <w:b/>
          <w:bCs/>
        </w:rPr>
        <w:t xml:space="preserve">Offline-Fallbacks</w:t>
      </w:r>
      <w:r>
        <w:t xml:space="preserve"> </w:t>
      </w:r>
      <w:r>
        <w:t xml:space="preserve">bei Netzausfall (Mobiltelefone, SMS). Cyber-Resilienz ohne Kommunikationsresilienz bleibt Illusion.</w:t>
      </w:r>
    </w:p>
    <w:bookmarkEnd w:id="31"/>
    <w:bookmarkStart w:id="36" w:name="meldepflichten"/>
    <w:p>
      <w:pPr>
        <w:pStyle w:val="Heading2"/>
      </w:pPr>
      <w:r>
        <w:t xml:space="preserve">Meldepflichten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Meldepflicht</w:t>
            </w:r>
          </w:p>
        </w:tc>
        <w:tc>
          <w:tcPr/>
          <w:p>
            <w:pPr>
              <w:pStyle w:val="Compact"/>
            </w:pPr>
            <w:r>
              <w:t xml:space="preserve">Ansprechpartner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technischer Sicherheitsvorfall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CERT,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datenschutzrelevanter Vorfall</w:t>
            </w:r>
          </w:p>
        </w:tc>
        <w:tc>
          <w:tcPr/>
          <w:p>
            <w:pPr>
              <w:pStyle w:val="Compact"/>
            </w:pPr>
            <w:r>
              <w:t xml:space="preserve">ja – binnen 72 Stunden (Art. 33 DSGVO)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kritische Infrastruktur / NIS-2-Einrichtung betroffen</w:t>
            </w:r>
          </w:p>
        </w:tc>
        <w:tc>
          <w:tcPr/>
          <w:p>
            <w:pPr>
              <w:pStyle w:val="Compact"/>
            </w:pPr>
            <w:r>
              <w:t xml:space="preserve">ja – Frühwarnung, Meldung und Abschlussbericht (NIS-2, BSIG)</w:t>
            </w:r>
          </w:p>
        </w:tc>
        <w:tc>
          <w:tcPr/>
          <w:p>
            <w:pPr>
              <w:pStyle w:val="Compact"/>
            </w:pPr>
            <w:r>
              <w:t xml:space="preserve">CISO,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Betriebsunterbrechung über definierte Dauer</w:t>
            </w:r>
          </w:p>
        </w:tc>
        <w:tc>
          <w:tcPr/>
          <w:p>
            <w:pPr>
              <w:pStyle w:val="Compact"/>
            </w:pPr>
            <w:r>
              <w:t xml:space="preserve">BCM-relevant</w:t>
            </w:r>
          </w:p>
        </w:tc>
        <w:tc>
          <w:tcPr/>
          <w:p>
            <w:pPr>
              <w:pStyle w:val="Compact"/>
            </w:pPr>
            <w:r>
              <w:t xml:space="preserve">BCM-Manager</w:t>
            </w:r>
          </w:p>
        </w:tc>
      </w:tr>
    </w:tbl>
    <w:p>
      <w:pPr>
        <w:pStyle w:val="BodyText"/>
      </w:pPr>
      <w:r>
        <w:t xml:space="preserve">„Nicht jeder Incident ist meldepflichtig – aber jeder muss dokumentiert werden.“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usr/local/lib/python3.11/dist-packages/quarto_cli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 zur Aktualität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Das Skript verweist auf § 8b BSIG. Mit dem NIS-2-Umsetzungsgesetz ist das BSIG seit Dezember 2025 neu gefasst; die Paragraphenangaben sind vor Verwendung zu prüfen. Die NIS-2-Richtlinie ist die Richtlinie (EU) 2022/2555. Siehe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Hinweise zur Aktualität</w:t>
              </w:r>
            </w:hyperlink>
            <w:r>
              <w:t xml:space="preserve">.</w:t>
            </w:r>
          </w:p>
          <w:p/>
        </w:tc>
      </w:tr>
    </w:tbl>
    <w:bookmarkEnd w:id="36"/>
    <w:bookmarkStart w:id="37" w:name="konfliktlinien-und-lösungsprinzipien"/>
    <w:p>
      <w:pPr>
        <w:pStyle w:val="Heading2"/>
      </w:pPr>
      <w:r>
        <w:t xml:space="preserve">Konfliktlinien und Lösungsprinzipien</w:t>
      </w:r>
    </w:p>
    <w:p>
      <w:pPr>
        <w:pStyle w:val="FirstParagraph"/>
      </w:pPr>
      <w:r>
        <w:t xml:space="preserve">Jede Rolle optimiert ein anderes Kriterium: der CISO Risiko, das SOC Detektionsgeschwindigkeit, das CERT Eindämmung, IT Ops Verfügbarkeit, der DPO Rechtssicherheit, das Management Geschäftskontinuität und Kosten.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Konflikt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Resiliente Lösung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vs. CIO</w:t>
            </w:r>
          </w:p>
        </w:tc>
        <w:tc>
          <w:tcPr/>
          <w:p>
            <w:pPr>
              <w:pStyle w:val="Compact"/>
            </w:pPr>
            <w:r>
              <w:t xml:space="preserve">Sicherheit vs. Verfügbarkeit</w:t>
            </w:r>
          </w:p>
        </w:tc>
        <w:tc>
          <w:tcPr/>
          <w:p>
            <w:pPr>
              <w:pStyle w:val="Compact"/>
            </w:pPr>
            <w:r>
              <w:t xml:space="preserve">klare Zieltrennung, gemeinsame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vs. IT Ops</w:t>
            </w:r>
          </w:p>
        </w:tc>
        <w:tc>
          <w:tcPr/>
          <w:p>
            <w:pPr>
              <w:pStyle w:val="Compact"/>
            </w:pPr>
            <w:r>
              <w:t xml:space="preserve">„Wer darf eingreifen?“</w:t>
            </w:r>
          </w:p>
        </w:tc>
        <w:tc>
          <w:tcPr/>
          <w:p>
            <w:pPr>
              <w:pStyle w:val="Compact"/>
            </w:pPr>
            <w:r>
              <w:t xml:space="preserve">Runbooks und Eskalationskriterien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vs. PR</w:t>
            </w:r>
          </w:p>
        </w:tc>
        <w:tc>
          <w:tcPr/>
          <w:p>
            <w:pPr>
              <w:pStyle w:val="Compact"/>
            </w:pPr>
            <w:r>
              <w:t xml:space="preserve">Kommunikationsfreigabe</w:t>
            </w:r>
          </w:p>
        </w:tc>
        <w:tc>
          <w:tcPr/>
          <w:p>
            <w:pPr>
              <w:pStyle w:val="Compact"/>
            </w:pPr>
            <w:r>
              <w:t xml:space="preserve">vorab definierte Kommunikationsmatrix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BCM vs. Security</w:t>
            </w:r>
          </w:p>
        </w:tc>
        <w:tc>
          <w:tcPr/>
          <w:p>
            <w:pPr>
              <w:pStyle w:val="Compact"/>
            </w:pPr>
            <w:r>
              <w:t xml:space="preserve">Wiederanlauf vs. Beweissicherung</w:t>
            </w:r>
          </w:p>
        </w:tc>
        <w:tc>
          <w:tcPr/>
          <w:p>
            <w:pPr>
              <w:pStyle w:val="Compact"/>
            </w:pPr>
            <w:r>
              <w:t xml:space="preserve">Business-Impact-Analysen abstimmen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vs. Incident Team</w:t>
            </w:r>
          </w:p>
        </w:tc>
        <w:tc>
          <w:tcPr/>
          <w:p>
            <w:pPr>
              <w:pStyle w:val="Compact"/>
            </w:pPr>
            <w:r>
              <w:t xml:space="preserve">Datenschutzmeldungen, Datenweitergabe</w:t>
            </w:r>
          </w:p>
        </w:tc>
        <w:tc>
          <w:tcPr/>
          <w:p>
            <w:pPr>
              <w:pStyle w:val="Compact"/>
            </w:pPr>
            <w:r>
              <w:t xml:space="preserve">Abstimmung mit Legal und CISO</w:t>
            </w:r>
          </w:p>
        </w:tc>
      </w:tr>
    </w:tbl>
    <w:p>
      <w:pPr>
        <w:pStyle w:val="BodyText"/>
      </w:pPr>
      <w:r>
        <w:t xml:space="preserve">Lösungsprinzipien: Governance durch Klarheit, Kommunikation durch Standardisierung, Entscheidung durch Vorbereitung (Tabletop), Priorisierung durch Business Impact, Vertrauen durch Kultur. Beispielhafte Governance-Matrix: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Entscheidungsfeld</w:t>
            </w:r>
          </w:p>
        </w:tc>
        <w:tc>
          <w:tcPr/>
          <w:p>
            <w:pPr>
              <w:pStyle w:val="Compact"/>
            </w:pPr>
            <w:r>
              <w:t xml:space="preserve">Primär verantwortlich</w:t>
            </w:r>
          </w:p>
        </w:tc>
        <w:tc>
          <w:tcPr/>
          <w:p>
            <w:pPr>
              <w:pStyle w:val="Compact"/>
            </w:pPr>
            <w:r>
              <w:t xml:space="preserve">Stellvertretend</w:t>
            </w:r>
          </w:p>
        </w:tc>
        <w:tc>
          <w:tcPr/>
          <w:p>
            <w:pPr>
              <w:pStyle w:val="Compact"/>
            </w:pPr>
            <w:r>
              <w:t xml:space="preserve">Informationspflicht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Isolierung eines Systems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Externe Kommunikation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CISO,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Behördenmeldung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Wiederanlaufentscheidung</w:t>
            </w:r>
          </w:p>
        </w:tc>
        <w:tc>
          <w:tcPr/>
          <w:p>
            <w:pPr>
              <w:pStyle w:val="Compact"/>
            </w:pPr>
            <w:r>
              <w:t xml:space="preserve">BCM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 Learned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alle betroffenen Bereiche</w:t>
            </w:r>
          </w:p>
        </w:tc>
      </w:tr>
    </w:tbl>
    <w:p>
      <w:pPr>
        <w:pStyle w:val="BodyText"/>
      </w:pPr>
      <w:r>
        <w:t xml:space="preserve">„Reibungslosigkeit ist kein Zeichen von Stabilität, sondern von Stillstand.“ Cross-Role-Trainings machen Reibung vorhersehbar.</w:t>
      </w:r>
    </w:p>
    <w:bookmarkEnd w:id="37"/>
    <w:bookmarkEnd w:id="38"/>
    <w:bookmarkStart w:id="39" w:name="normativer-bezug"/>
    <w:p>
      <w:pPr>
        <w:pStyle w:val="Heading1"/>
      </w:pPr>
      <w:r>
        <w:t xml:space="preserve">Normativer Bezug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 / Leitlinie</w:t>
            </w:r>
          </w:p>
        </w:tc>
        <w:tc>
          <w:tcPr/>
          <w:p>
            <w:pPr>
              <w:pStyle w:val="Compact"/>
            </w:pPr>
            <w:r>
              <w:t xml:space="preserve">Relevanz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Rollen und Verantwortlichkeiten im 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27035</w:t>
            </w:r>
          </w:p>
        </w:tc>
        <w:tc>
          <w:tcPr/>
          <w:p>
            <w:pPr>
              <w:pStyle w:val="Compact"/>
            </w:pPr>
            <w:r>
              <w:t xml:space="preserve">Incident-Response-Prozesse und Eskalationspfade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22320</w:t>
            </w:r>
          </w:p>
        </w:tc>
        <w:tc>
          <w:tcPr/>
          <w:p>
            <w:pPr>
              <w:pStyle w:val="Compact"/>
            </w:pPr>
            <w:r>
              <w:t xml:space="preserve">Krisenmanagement und Führungsstrukturen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22316</w:t>
            </w:r>
          </w:p>
        </w:tc>
        <w:tc>
          <w:tcPr/>
          <w:p>
            <w:pPr>
              <w:pStyle w:val="Compact"/>
            </w:pPr>
            <w:r>
              <w:t xml:space="preserve">Grundprinzipien organisationaler Resilienz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BSI-Standard 200-4</w:t>
            </w:r>
          </w:p>
        </w:tc>
        <w:tc>
          <w:tcPr/>
          <w:p>
            <w:pPr>
              <w:pStyle w:val="Compact"/>
            </w:pPr>
            <w:r>
              <w:t xml:space="preserve">Business Continuity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ENISA Good Practice</w:t>
            </w:r>
          </w:p>
        </w:tc>
        <w:tc>
          <w:tcPr/>
          <w:p>
            <w:pPr>
              <w:pStyle w:val="Compact"/>
            </w:pPr>
            <w:r>
              <w:t xml:space="preserve">SOC/CERT-Zusammenarbeit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NIS-2-Richtlinie (EU) 2022/2555</w:t>
            </w:r>
          </w:p>
        </w:tc>
        <w:tc>
          <w:tcPr/>
          <w:p>
            <w:pPr>
              <w:pStyle w:val="Compact"/>
            </w:pPr>
            <w:r>
              <w:t xml:space="preserve">Verantwortung der Leitung, Meldepflichten</w:t>
            </w:r>
          </w:p>
        </w:tc>
      </w:tr>
    </w:tbl>
    <w:bookmarkEnd w:id="39"/>
    <w:bookmarkStart w:id="40" w:name="übung-wer-macht-was-im-incident"/>
    <w:p>
      <w:pPr>
        <w:pStyle w:val="Heading1"/>
      </w:pPr>
      <w:r>
        <w:t xml:space="preserve">Übung: Wer macht was im Incident?</w:t>
      </w:r>
    </w:p>
    <w:p>
      <w:pPr>
        <w:pStyle w:val="FirstParagraph"/>
      </w:pPr>
      <w:r>
        <w:t xml:space="preserve">Montag, 08:47 Uhr: Eine Person im Finanzbereich öffnet eine E-Mail mit dem Betreff „Überweisungserlaubnis“. Minuten später meldet das SOC verdächtige Logins aus dem Ausland mit kompromittierten Admin-Credentials. Das CERT wird informiert; ob Daten abgeflossen sind, ist unklar. Das Management fordert einen Bericht, der DPO fragt nach der Meldepflicht, und die Presseabteilung hat Gerüchte über einen Cyberangriff gehört.</w:t>
      </w:r>
    </w:p>
    <w:p>
      <w:pPr>
        <w:pStyle w:val="BodyText"/>
      </w:pPr>
      <w:r>
        <w:t xml:space="preserve">Gruppen mit 4–5 Personen, 20 Minuten, danach 15 Minuten Plenum:</w:t>
      </w:r>
    </w:p>
    <w:p>
      <w:pPr>
        <w:pStyle w:val="Compact"/>
        <w:numPr>
          <w:ilvl w:val="0"/>
          <w:numId w:val="1003"/>
        </w:numPr>
      </w:pPr>
      <w:r>
        <w:t xml:space="preserve">Identifizieren Sie alle relevanten Rollen.</w:t>
      </w:r>
    </w:p>
    <w:p>
      <w:pPr>
        <w:pStyle w:val="Compact"/>
        <w:numPr>
          <w:ilvl w:val="0"/>
          <w:numId w:val="1003"/>
        </w:numPr>
      </w:pPr>
      <w:r>
        <w:t xml:space="preserve">Ordnen Sie zu: Wer wird zuerst informiert? Wer entscheidet über Systemtrennung? Wer kommuniziert intern und extern? Wer bewertet rechtliche Meldepflichten? Wer dokumentiert und berichtet an das Management?</w:t>
      </w:r>
    </w:p>
    <w:p>
      <w:pPr>
        <w:pStyle w:val="Compact"/>
        <w:numPr>
          <w:ilvl w:val="0"/>
          <w:numId w:val="1003"/>
        </w:numPr>
      </w:pPr>
      <w:r>
        <w:t xml:space="preserve">Skizzieren Sie ein Kommunikationsmodell mit Pfeilen zwischen den Rollen.</w:t>
      </w:r>
    </w:p>
    <w:p>
      <w:pPr>
        <w:pStyle w:val="Compact"/>
        <w:numPr>
          <w:ilvl w:val="0"/>
          <w:numId w:val="1003"/>
        </w:numPr>
      </w:pPr>
      <w:r>
        <w:t xml:space="preserve">Definieren Sie einen Eskalationszeitplan (SOC → CERT → CISO innerhalb von x Minuten).</w:t>
      </w:r>
    </w:p>
    <w:p>
      <w:pPr>
        <w:pStyle w:val="Compact"/>
        <w:numPr>
          <w:ilvl w:val="0"/>
          <w:numId w:val="1003"/>
        </w:numPr>
      </w:pPr>
      <w:r>
        <w:t xml:space="preserve">Benennen Sie Konfliktpunkte und schlagen Sie Governance- oder Prozessverbesserungen vor.</w:t>
      </w:r>
    </w:p>
    <w:p>
      <w:pPr>
        <w:pStyle w:val="FirstParagraph"/>
      </w:pPr>
      <w:r>
        <w:t xml:space="preserve">Merksatz:</w:t>
      </w:r>
      <w:r>
        <w:t xml:space="preserve"> </w:t>
      </w:r>
      <w:r>
        <w:rPr>
          <w:b/>
          <w:bCs/>
        </w:rPr>
        <w:t xml:space="preserve">Klarheit schafft Geschwindigkeit – und Geschwindigkeit schafft Resilienz.</w:t>
      </w:r>
    </w:p>
    <w:p>
      <w:pPr>
        <w:pStyle w:val="BodyText"/>
      </w:pPr>
      <w:r>
        <w:t xml:space="preserve">Reflexion im Plenum: Wo entstanden Unklarheiten? Welche Wege waren zu lang? Welche Rolle hätte stärker eingebunden werden müssen? Wie hätte psychologische Sicherheit geholfen?</w:t>
      </w:r>
    </w:p>
    <w:bookmarkEnd w:id="40"/>
    <w:bookmarkStart w:id="41" w:name="prüfungsrelevante-leitfragen"/>
    <w:p>
      <w:pPr>
        <w:pStyle w:val="Heading1"/>
      </w:pPr>
      <w:r>
        <w:t xml:space="preserve">Prüfungsrelevante Leitfragen</w:t>
      </w:r>
    </w:p>
    <w:p>
      <w:pPr>
        <w:pStyle w:val="FirstParagraph"/>
      </w:pPr>
      <w:r>
        <w:t xml:space="preserve">Die Leitfragen 1–30 des Skripts bilden die Klausurbasis, 31–40 dienen der Vertiefung. Eine Auswahl:</w:t>
      </w:r>
    </w:p>
    <w:p>
      <w:pPr>
        <w:pStyle w:val="Compact"/>
        <w:numPr>
          <w:ilvl w:val="0"/>
          <w:numId w:val="1004"/>
        </w:numPr>
      </w:pPr>
      <w:r>
        <w:t xml:space="preserve">Warum sind klar definierte Rollen eine zentrale Voraussetzung organisationaler Resilienz?</w:t>
      </w:r>
    </w:p>
    <w:p>
      <w:pPr>
        <w:pStyle w:val="Compact"/>
        <w:numPr>
          <w:ilvl w:val="0"/>
          <w:numId w:val="1004"/>
        </w:numPr>
      </w:pPr>
      <w:r>
        <w:t xml:space="preserve">Wie unterscheidet sich Verantwortung von Schuld im Kontext der Cyber-Resilienz?</w:t>
      </w:r>
    </w:p>
    <w:p>
      <w:pPr>
        <w:pStyle w:val="Compact"/>
        <w:numPr>
          <w:ilvl w:val="0"/>
          <w:numId w:val="1004"/>
        </w:numPr>
      </w:pPr>
      <w:r>
        <w:t xml:space="preserve">Welche Kernaufgaben und Befugnisse hat der CISO? Was bedeutet das Mandatsdilemma?</w:t>
      </w:r>
    </w:p>
    <w:p>
      <w:pPr>
        <w:pStyle w:val="Compact"/>
        <w:numPr>
          <w:ilvl w:val="0"/>
          <w:numId w:val="1004"/>
        </w:numPr>
      </w:pPr>
      <w:r>
        <w:t xml:space="preserve">Warum sollte der CISO unabhängig von der IT-Linie positioniert sein?</w:t>
      </w:r>
    </w:p>
    <w:p>
      <w:pPr>
        <w:pStyle w:val="Compact"/>
        <w:numPr>
          <w:ilvl w:val="0"/>
          <w:numId w:val="1004"/>
        </w:numPr>
      </w:pPr>
      <w:r>
        <w:t xml:space="preserve">Wie ist ein SOC nach dem Tier-Modell aufgebaut? Was ist Alarm Fatigue?</w:t>
      </w:r>
    </w:p>
    <w:p>
      <w:pPr>
        <w:pStyle w:val="Compact"/>
        <w:numPr>
          <w:ilvl w:val="0"/>
          <w:numId w:val="1004"/>
        </w:numPr>
      </w:pPr>
      <w:r>
        <w:t xml:space="preserve">Welche Unterschiede bestehen zwischen Internal, Sectoral und National CERTs?</w:t>
      </w:r>
    </w:p>
    <w:p>
      <w:pPr>
        <w:pStyle w:val="Compact"/>
        <w:numPr>
          <w:ilvl w:val="0"/>
          <w:numId w:val="1004"/>
        </w:numPr>
      </w:pPr>
      <w:r>
        <w:t xml:space="preserve">Was bedeutet „Trennung der Funktionen – Integration der Wirkung“?</w:t>
      </w:r>
    </w:p>
    <w:p>
      <w:pPr>
        <w:pStyle w:val="Compact"/>
        <w:numPr>
          <w:ilvl w:val="0"/>
          <w:numId w:val="1004"/>
        </w:numPr>
      </w:pPr>
      <w:r>
        <w:t xml:space="preserve">Warum ist ein gemeinsames Lagebild essenziell?</w:t>
      </w:r>
    </w:p>
    <w:p>
      <w:pPr>
        <w:pStyle w:val="Compact"/>
        <w:numPr>
          <w:ilvl w:val="0"/>
          <w:numId w:val="1004"/>
        </w:numPr>
      </w:pPr>
      <w:r>
        <w:t xml:space="preserve">Welche Rolle spielt der DPO im Incident-Fall? Wie ergänzen sich CERT und BCM im Wiederanlauf?</w:t>
      </w:r>
    </w:p>
    <w:p>
      <w:pPr>
        <w:pStyle w:val="Compact"/>
        <w:numPr>
          <w:ilvl w:val="0"/>
          <w:numId w:val="1004"/>
        </w:numPr>
      </w:pPr>
      <w:r>
        <w:t xml:space="preserve">Warum trägt das Management Board die Gesamtverantwortung?</w:t>
      </w:r>
    </w:p>
    <w:p>
      <w:pPr>
        <w:pStyle w:val="Compact"/>
        <w:numPr>
          <w:ilvl w:val="0"/>
          <w:numId w:val="1004"/>
        </w:numPr>
      </w:pPr>
      <w:r>
        <w:t xml:space="preserve">Nennen Sie die fünf Grundprinzipien resilienter Kommunikation.</w:t>
      </w:r>
    </w:p>
    <w:p>
      <w:pPr>
        <w:pStyle w:val="Compact"/>
        <w:numPr>
          <w:ilvl w:val="0"/>
          <w:numId w:val="1004"/>
        </w:numPr>
      </w:pPr>
      <w:r>
        <w:t xml:space="preserve">Welche Meldepflichten ergeben sich aus DSGVO und NIS-2?</w:t>
      </w:r>
    </w:p>
    <w:p>
      <w:pPr>
        <w:pStyle w:val="Compact"/>
        <w:numPr>
          <w:ilvl w:val="0"/>
          <w:numId w:val="1004"/>
        </w:numPr>
      </w:pPr>
      <w:r>
        <w:t xml:space="preserve">Nennen Sie drei typische Konfliktlinien und wie eine Governance-Matrix hilft.</w:t>
      </w:r>
    </w:p>
    <w:p>
      <w:pPr>
        <w:pStyle w:val="Compact"/>
        <w:numPr>
          <w:ilvl w:val="0"/>
          <w:numId w:val="1004"/>
        </w:numPr>
      </w:pPr>
      <w:r>
        <w:t xml:space="preserve">Transfer: Was unterscheidet eine resiliente von einer robusten Organisation aus Sicht der Verantwortlichkeitsstruktur?</w:t>
      </w:r>
    </w:p>
    <w:p>
      <w:pPr>
        <w:pStyle w:val="FirstParagraph"/>
      </w:pPr>
      <w:r>
        <w:rPr>
          <w:b/>
          <w:bCs/>
        </w:rPr>
        <w:t xml:space="preserve">Zusammenfassung:</w:t>
      </w:r>
      <w:r>
        <w:t xml:space="preserve"> </w:t>
      </w:r>
      <w:r>
        <w:t xml:space="preserve">Rollen sind das organisatorische Immunsystem der Cyber-Resilienz. CISO, SOC und CERT bilden das Kern-Trio, unterstützt von DPO, BCM, IT Ops und Management. Klare Zuständigkeiten, getestete Eskalationswege und abgestimmte Kommunikation sind Resilienz in Aktion. „Struktur ist das Skelett der Resilienz – Kommunikation ist ihr Nervensystem.“</w:t>
      </w:r>
    </w:p>
    <w:bookmarkEnd w:id="41"/>
    <w:bookmarkStart w:id="42" w:name="vor--und-nachbereitung"/>
    <w:p>
      <w:pPr>
        <w:pStyle w:val="Heading1"/>
      </w:pPr>
      <w:r>
        <w:t xml:space="preserve">Vor- und Nachbereitung</w:t>
      </w:r>
    </w:p>
    <w:p>
      <w:pPr>
        <w:pStyle w:val="FirstParagraph"/>
      </w:pPr>
      <w:r>
        <w:rPr>
          <w:b/>
          <w:bCs/>
        </w:rPr>
        <w:t xml:space="preserve">Ausblick Termin 7:</w:t>
      </w:r>
      <w:r>
        <w:t xml:space="preserve"> </w:t>
      </w:r>
      <w:r>
        <w:t xml:space="preserve">Technische Resilienzmaßnahmen I – Backup, Disaster Recovery und Notfalltests.</w:t>
      </w:r>
    </w:p>
    <w:bookmarkEnd w:id="42"/>
    <w:bookmarkStart w:id="43" w:name="material-aus-dem-archiv"/>
    <w:p>
      <w:pPr>
        <w:pStyle w:val="Heading1"/>
      </w:pPr>
      <w:r>
        <w:t xml:space="preserve">Material aus dem Archiv</w:t>
      </w:r>
    </w:p>
    <w:p>
      <w:pPr>
        <w:pStyle w:val="FirstParagraph"/>
      </w:pPr>
      <w:r>
        <w:rPr>
          <w:rStyle w:val="VerbatimChar"/>
        </w:rPr>
        <w:t xml:space="preserve">06 Org. Resilienz II - Rollen und Verantwortlichkeiten/06_Resilienz II Rollen und Verantwortlichkeiten.pdf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Skript Sitzung 6 Organisatorische Resilienz Rollen und Verantwortlichkeiten.pdf</w:t>
      </w:r>
      <w:r>
        <w:t xml:space="preserve">.</w:t>
      </w:r>
    </w:p>
    <w:bookmarkEnd w:id="43"/>
    <w:bookmarkStart w:id="49" w:name="bibliography"/>
    <w:p>
      <w:pPr>
        <w:pStyle w:val="Heading1"/>
      </w:pPr>
      <w:r>
        <w:t xml:space="preserve">Literatur</w:t>
      </w:r>
    </w:p>
    <w:bookmarkStart w:id="48" w:name="refs"/>
    <w:bookmarkStart w:id="45" w:name="ref-iso27001"/>
    <w:p>
      <w:pPr>
        <w:pStyle w:val="Bibliography"/>
      </w:pPr>
      <w:r>
        <w:t xml:space="preserve">ISO/IEC 27001:2022 Information Security, Cybersecurity and Privacy Protection – Information Security Management Systems – Requirements (2022).</w:t>
      </w:r>
      <w:r>
        <w:t xml:space="preserve"> </w:t>
      </w:r>
      <w:hyperlink r:id="rId44">
        <w:r>
          <w:rPr>
            <w:rStyle w:val="Hyperlink"/>
          </w:rPr>
          <w:t xml:space="preserve">https://www.iso.org/standard/27001</w:t>
        </w:r>
      </w:hyperlink>
      <w:r>
        <w:t xml:space="preserve">.</w:t>
      </w:r>
    </w:p>
    <w:bookmarkEnd w:id="45"/>
    <w:bookmarkStart w:id="47" w:name="ref-nis2"/>
    <w:p>
      <w:pPr>
        <w:pStyle w:val="Bibliography"/>
      </w:pPr>
      <w:r>
        <w:t xml:space="preserve">Richtlinie (EU) 2022/2555 des Europäischen Parlaments und des Rates vom 14. Dezember 2022 über Maßnahmen für ein hohes gemeinsames Cybersicherheitsniveau in der Union (NIS-2-Richtlinie) (2022).</w:t>
      </w:r>
      <w:r>
        <w:t xml:space="preserve"> </w:t>
      </w:r>
      <w:hyperlink r:id="rId46">
        <w:r>
          <w:rPr>
            <w:rStyle w:val="Hyperlink"/>
          </w:rPr>
          <w:t xml:space="preserve">https://eur-lex.europa.eu/eli/dir/2022/2555/oj</w:t>
        </w:r>
      </w:hyperlink>
      <w:r>
        <w:t xml:space="preserve">.</w:t>
      </w:r>
    </w:p>
    <w:bookmarkEnd w:id="47"/>
    <w:bookmarkEnd w:id="48"/>
    <w:bookmarkEnd w:id="49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35" Target="../quellen.html#hinweise-zur-aktualit&#228;t" TargetMode="External" /><Relationship Type="http://schemas.openxmlformats.org/officeDocument/2006/relationships/hyperlink" Id="rId46" Target="https://eur-lex.europa.eu/eli/dir/2022/2555/oj" TargetMode="External" /><Relationship Type="http://schemas.openxmlformats.org/officeDocument/2006/relationships/hyperlink" Id="rId44" Target="https://www.iso.org/standard/27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quellen.html#hinweise-zur-aktualit&#228;t" TargetMode="External" /><Relationship Type="http://schemas.openxmlformats.org/officeDocument/2006/relationships/hyperlink" Id="rId46" Target="https://eur-lex.europa.eu/eli/dir/2022/2555/oj" TargetMode="External" /><Relationship Type="http://schemas.openxmlformats.org/officeDocument/2006/relationships/hyperlink" Id="rId44" Target="https://www.iso.org/standard/2700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 6 – Organisatorische Resilienz II: Rollen und Verantwortlichkeiten</dc:title>
  <dc:creator>Prof. Dr. Dirk Loomans</dc:creator>
  <dc:language>de</dc:language>
  <cp:keywords/>
  <dcterms:created xsi:type="dcterms:W3CDTF">2026-09-29T12:30:01Z</dcterms:created>
  <dcterms:modified xsi:type="dcterms:W3CDTF">2026-09-29T12:30:01Z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toc-title">
    <vt:lpwstr>Inhaltsverzeichnis</vt:lpwstr>
  </property>
</Properties>
</file>