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Termin 10 – Resilienz der Zukunft</w:t>
      </w:r>
    </w:p>
    <w:p>
      <w:pPr>
        <w:pStyle w:val="Subtitle"/>
      </w:pPr>
      <w:r>
        <w:t xml:space="preserve">Wenn Technik entscheidet, Systeme lernen und Verantwortung diffus wird</w:t>
      </w:r>
    </w:p>
    <w:p>
      <w:pPr>
        <w:pStyle w:val="Author"/>
      </w:pPr>
      <w:r>
        <w:t xml:space="preserve">Prof. Dr. Dirk Loomans</w:t>
      </w:r>
    </w:p>
    <w:p>
      <w:pPr>
        <w:pStyle w:val="Date"/>
      </w:pPr>
      <w:r>
        <w:t xml:space="preserve">29. September 2026</w:t>
      </w:r>
    </w:p>
    <w:p>
      <w:pPr>
        <w:pStyle w:val="FirstParagraph"/>
      </w:pPr>
      <w:r>
        <w:rPr>
          <w:b/>
          <w:bCs/>
        </w:rPr>
        <w:t xml:space="preserve">Vorlesungsskript · Grundlagen der Resilienz</w:t>
      </w:r>
      <w:r>
        <w:t xml:space="preserve"> </w:t>
      </w:r>
      <w:r>
        <w:t xml:space="preserve">· Cyber Security Management (B.Sc.), 1. Semester · Hochschule Mainz</w:t>
      </w:r>
    </w:p>
    <w:p>
      <w:pPr>
        <w:pStyle w:val="BodyText"/>
      </w:pPr>
      <w:r>
        <w:rPr>
          <w:i/>
          <w:iCs/>
        </w:rPr>
        <w:t xml:space="preserve">Vorbemerkung:</w:t>
      </w:r>
      <w:r>
        <w:t xml:space="preserve"> </w:t>
      </w:r>
      <w:r>
        <w:t xml:space="preserve">Dieses Skript dient als Vorlesungsbegleitung und erhebt keinen akademischen Anspruch. Dennoch kann es bei der Klausurvorbereitung hilfreich sein. Kommentare und Verbesserungsvorschläge gerne an den Autor über dirk.loomans@hs-mainz.de.</w:t>
      </w:r>
    </w:p>
    <w:bookmarkStart w:id="19" w:name="leitfrage"/>
    <w:p>
      <w:pPr>
        <w:pStyle w:val="Heading1"/>
      </w:pPr>
      <w:r>
        <w:t xml:space="preserve">Leitfrage</w:t>
      </w:r>
    </w:p>
    <w:p>
      <w:pPr>
        <w:pStyle w:val="BlockText"/>
      </w:pPr>
      <w:r>
        <w:t xml:space="preserve">Was bedeutet Resilienz, wenn die Vergangenheit unsicher wird, Systeme schneller entscheiden als Menschen und niemand allein verantwortlich ist?</w:t>
      </w:r>
    </w:p>
    <w:bookmarkEnd w:id="19"/>
    <w:bookmarkStart w:id="20" w:name="lernziele"/>
    <w:p>
      <w:pPr>
        <w:pStyle w:val="Heading1"/>
      </w:pPr>
      <w:r>
        <w:t xml:space="preserve">Lernziele</w:t>
      </w:r>
    </w:p>
    <w:p>
      <w:pPr>
        <w:pStyle w:val="FirstParagraph"/>
      </w:pPr>
      <w:r>
        <w:t xml:space="preserve">Nach diesem Termin können Studierende</w:t>
      </w:r>
    </w:p>
    <w:p>
      <w:pPr>
        <w:pStyle w:val="Compact"/>
        <w:numPr>
          <w:ilvl w:val="0"/>
          <w:numId w:val="1001"/>
        </w:numPr>
      </w:pPr>
      <w:r>
        <w:t xml:space="preserve">verstehen, warum zukünftige Resilienzprobleme nicht primär technischer Natur sind,</w:t>
      </w:r>
    </w:p>
    <w:p>
      <w:pPr>
        <w:pStyle w:val="Compact"/>
        <w:numPr>
          <w:ilvl w:val="0"/>
          <w:numId w:val="1001"/>
        </w:numPr>
      </w:pPr>
      <w:r>
        <w:t xml:space="preserve">erklären, weshalb Quantencomputing ein Resilienz- und kein reines Security-Thema ist,</w:t>
      </w:r>
    </w:p>
    <w:p>
      <w:pPr>
        <w:pStyle w:val="Compact"/>
        <w:numPr>
          <w:ilvl w:val="0"/>
          <w:numId w:val="1001"/>
        </w:numPr>
      </w:pPr>
      <w:r>
        <w:t xml:space="preserve">Chancen und Risiken autonomer Systeme im Kontext von Resilienz einordnen,</w:t>
      </w:r>
    </w:p>
    <w:p>
      <w:pPr>
        <w:pStyle w:val="Compact"/>
        <w:numPr>
          <w:ilvl w:val="0"/>
          <w:numId w:val="1001"/>
        </w:numPr>
      </w:pPr>
      <w:r>
        <w:t xml:space="preserve">erkennen, dass Resilienz gesellschaftlich wirksam und normativ geprägt ist,</w:t>
      </w:r>
    </w:p>
    <w:p>
      <w:pPr>
        <w:pStyle w:val="Compact"/>
        <w:numPr>
          <w:ilvl w:val="0"/>
          <w:numId w:val="1001"/>
        </w:numPr>
      </w:pPr>
      <w:r>
        <w:t xml:space="preserve">zentrale Spannungsfelder zukünftiger Resilienzentscheidungen benennen.</w:t>
      </w:r>
    </w:p>
    <w:bookmarkEnd w:id="20"/>
    <w:bookmarkStart w:id="26" w:name="fachinhalte"/>
    <w:p>
      <w:pPr>
        <w:pStyle w:val="Heading1"/>
      </w:pPr>
      <w:r>
        <w:t xml:space="preserve">Fachinhalte</w:t>
      </w:r>
    </w:p>
    <w:bookmarkStart w:id="21" w:name="rückblick-und-implizite-annahme"/>
    <w:p>
      <w:pPr>
        <w:pStyle w:val="Heading2"/>
      </w:pPr>
      <w:r>
        <w:t xml:space="preserve">Rückblick und implizite Annahme</w:t>
      </w:r>
    </w:p>
    <w:p>
      <w:pPr>
        <w:pStyle w:val="FirstParagraph"/>
      </w:pPr>
      <w:r>
        <w:t xml:space="preserve">Resilienz ≠ Vermeidung von Störungen. Resilienz = Reagieren · Wiederherstellen · Anpassen – im Zusammenspiel aus Technik (Architekturen, Backups, DR), Organisation (Rollen, Prozesse, Kommunikation) und Mensch (Entscheidung, Verantwortung, Lernen).</w:t>
      </w:r>
    </w:p>
    <w:p>
      <w:pPr>
        <w:pStyle w:val="BodyText"/>
      </w:pPr>
      <w:r>
        <w:t xml:space="preserve">Dahinter steht eine meist unausgesprochene Annahme:</w:t>
      </w:r>
      <w:r>
        <w:t xml:space="preserve"> </w:t>
      </w:r>
      <w:r>
        <w:rPr>
          <w:b/>
          <w:bCs/>
        </w:rPr>
        <w:t xml:space="preserve">Der Mensch ist die letzte Entscheidungsinstanz.</w:t>
      </w:r>
      <w:r>
        <w:t xml:space="preserve"> </w:t>
      </w:r>
      <w:r>
        <w:t xml:space="preserve">Entscheidungen sind erklärbar, Verantwortung ist zuordenbar, Kontrolle ist zumindest theoretisch möglich. Diese Annahme gerät ins Wanken: Kryptografie kann rückwirkend brechen, Systeme entscheiden schneller als Menschen, Entscheidungen werden an Modelle und Plattformen ausgelagert, Verantwortung verteilt sich über Lieferketten.</w:t>
      </w:r>
    </w:p>
    <w:bookmarkEnd w:id="21"/>
    <w:bookmarkStart w:id="22" w:name="Xea0a640d3d92c06171024346e88dd111e3cb38b"/>
    <w:p>
      <w:pPr>
        <w:pStyle w:val="Heading2"/>
      </w:pPr>
      <w:r>
        <w:t xml:space="preserve">Block 1: Resilienz und Zeit – Quantencomputing</w:t>
      </w:r>
    </w:p>
    <w:p>
      <w:pPr>
        <w:pStyle w:val="FirstParagraph"/>
      </w:pPr>
      <w:r>
        <w:t xml:space="preserve">Klassische Modelle behandeln Störungen als zeitlich abgegrenzte Ereignisse: Ursache und Wirkung liegen nah beieinander, die Vergangenheit gilt als stabil, Schutzmaßnahmen wirken nach vorn. Kryptografie gilt als zeitlich robuster Vertrauensanker.</w:t>
      </w:r>
    </w:p>
    <w:p>
      <w:pPr>
        <w:pStyle w:val="BodyText"/>
      </w:pPr>
      <w:r>
        <w:t xml:space="preserve">Quantencomputer sind keine schnelleren PCs. Relevant sind nicht physikalische Details, sondern die Gefährdung von asymmetrischer Kryptografie (RSA, ECC), digitalen Signaturen und langfristiger Vertraulichkeit. Angriffsszenario</w:t>
      </w:r>
      <w:r>
        <w:t xml:space="preserve"> </w:t>
      </w:r>
      <w:r>
        <w:rPr>
          <w:b/>
          <w:bCs/>
        </w:rPr>
        <w:t xml:space="preserve">„Harvest now, decrypt later“</w:t>
      </w:r>
      <w:r>
        <w:t xml:space="preserve">: Daten werden heute abgegriffen und später entschlüsselt.</w:t>
      </w:r>
    </w:p>
    <w:p>
      <w:pPr>
        <w:pStyle w:val="BodyText"/>
      </w:pPr>
      <w:r>
        <w:rPr>
          <w:b/>
          <w:bCs/>
        </w:rPr>
        <w:t xml:space="preserve">Quantencomputing ist ein Resilienzproblem</w:t>
      </w:r>
      <w:r>
        <w:t xml:space="preserve">, weil der Schaden zeitverzögert entsteht und Archive, Backups, Identitäten und Vertrauensketten betrifft. Der Vertrauensverlust – Daten gelten nicht mehr als authentisch, Signaturen verlieren Beweiskraft – ist oft nicht reversibel und lässt sich nicht durch Wiederanlauf reparieren.</w:t>
      </w:r>
    </w:p>
    <w:p>
      <w:pPr>
        <w:pStyle w:val="BodyText"/>
      </w:pPr>
      <w:r>
        <w:rPr>
          <w:b/>
          <w:bCs/>
        </w:rPr>
        <w:t xml:space="preserve">Crypto Agility</w:t>
      </w:r>
      <w:r>
        <w:t xml:space="preserve"> </w:t>
      </w:r>
      <w:r>
        <w:t xml:space="preserve">ist die Antwort: Anpassungsfähigkeit statt Algorithmus-Fetisch. Resiliente Systeme können Algorithmen austauschen, Schlüssel erneuern und Vertrauensketten migrieren – mit langfristiger Governance statt punktueller Umstellung. Grenzen: Langzeitarchive lassen sich nicht einfach neu signieren, Vertrauensbeziehungen wirken organisationsübergreifend, und Migration erzeugt neue Risiken (Inkompatibilität, Unterbrechungen, Fehlkonfiguration).</w:t>
      </w:r>
    </w:p>
    <w:p>
      <w:pPr>
        <w:pStyle w:val="BlockText"/>
      </w:pPr>
      <w:r>
        <w:t xml:space="preserve">„Resilienz bedeutet künftig, mit unsicherer Vergangenheit zu leben.“</w:t>
      </w:r>
    </w:p>
    <w:bookmarkEnd w:id="22"/>
    <w:bookmarkStart w:id="23" w:name="X4bb96bb110524f9aa01c4676035420425cd1711"/>
    <w:p>
      <w:pPr>
        <w:pStyle w:val="Heading2"/>
      </w:pPr>
      <w:r>
        <w:t xml:space="preserve">Block 2: Resilienz und Entscheidung – autonome Systeme</w:t>
      </w:r>
    </w:p>
    <w:p>
      <w:pPr>
        <w:pStyle w:val="FirstParagraph"/>
      </w:pPr>
      <w:r>
        <w:t xml:space="preserve">Automatisierung (Monitoring, Failover, Load Balancing) folgt definierten Regeln. Autonome Systeme gehen darüber hinaus: selbstüberwachende Systeme, automatisierte Incident Response, Self-healing Infrastructure, KI-gestützte Entscheidungen ohne menschliche Freigabe.</w:t>
      </w:r>
    </w:p>
    <w:p>
      <w:pPr>
        <w:pStyle w:val="BodyText"/>
      </w:pPr>
      <w:r>
        <w:rPr>
          <w:b/>
          <w:bCs/>
        </w:rPr>
        <w:t xml:space="preserve">Das Resilienz-Paradoxon:</w:t>
      </w:r>
      <w:r>
        <w:t xml:space="preserve"> </w:t>
      </w:r>
      <w:r>
        <w:t xml:space="preserve">Autonome Systeme erhöhen Reaktionsgeschwindigkeit, Skalierbarkeit und Konsistenz. Zugleich sinken Transparenz, Nachvollziehbarkeit und menschliche Kontrolle.</w:t>
      </w:r>
      <w:r>
        <w:t xml:space="preserve"> </w:t>
      </w:r>
      <w:r>
        <w:rPr>
          <w:b/>
          <w:bCs/>
        </w:rPr>
        <w:t xml:space="preserve">Autonomie erhöht operative Resilienz – und senkt epistemische Resilienz.</w:t>
      </w:r>
    </w:p>
    <w:p>
      <w:pPr>
        <w:pStyle w:val="BodyText"/>
      </w:pPr>
      <w:r>
        <w:t xml:space="preserve">Der zentrale Zielkonflikt verschiebt sich von</w:t>
      </w:r>
      <w:r>
        <w:t xml:space="preserve"> </w:t>
      </w:r>
      <w:r>
        <w:rPr>
          <w:i/>
          <w:iCs/>
        </w:rPr>
        <w:t xml:space="preserve">Verfügbarkeit vs. Sicherheit</w:t>
      </w:r>
      <w:r>
        <w:t xml:space="preserve"> </w:t>
      </w:r>
      <w:r>
        <w:t xml:space="preserve">zu</w:t>
      </w:r>
      <w:r>
        <w:t xml:space="preserve"> </w:t>
      </w:r>
      <w:r>
        <w:rPr>
          <w:i/>
          <w:iCs/>
        </w:rPr>
        <w:t xml:space="preserve">Geschwindigkeit vs. Kontrolle</w:t>
      </w:r>
      <w:r>
        <w:t xml:space="preserve">. In Krisen rettet Geschwindigkeit Systeme, aber Fehlentscheidungen skalieren sofort. Wo ist bewusste Verzögerung ein Schutzmechanismus? Wann ist menschliches Zögern Teil der Resilienz?</w:t>
      </w:r>
    </w:p>
    <w:p>
      <w:pPr>
        <w:pStyle w:val="BodyText"/>
      </w:pPr>
      <w:r>
        <w:rPr>
          <w:b/>
          <w:bCs/>
        </w:rPr>
        <w:t xml:space="preserve">Lernen als Risiko:</w:t>
      </w:r>
      <w:r>
        <w:t xml:space="preserve"> </w:t>
      </w:r>
      <w:r>
        <w:t xml:space="preserve">Lernende Systeme können sich an vergangene Krisen überanpassen, falsche Korrelationen verstärken oder auf implizite Ziele optimieren, die menschlichen Werten widersprechen.</w:t>
      </w:r>
    </w:p>
    <w:p>
      <w:pPr>
        <w:pStyle w:val="BodyText"/>
      </w:pPr>
      <w:r>
        <w:rPr>
          <w:b/>
          <w:bCs/>
        </w:rPr>
        <w:t xml:space="preserve">Leitplanken:</w:t>
      </w:r>
      <w:r>
        <w:t xml:space="preserve"> </w:t>
      </w:r>
      <w:r>
        <w:t xml:space="preserve">klare Grenzen für autonome Entscheidungen, menschliche Eingriffspunkte („Human Override“), Transparenz und Logging, vorab definierte No-Go-Zonen, Eskalations- und Abschaltmechanismen. Verantwortung verteilt sich über Entwickler, Betreiber, Management und Anbieter – bleibt aber menschlich.</w:t>
      </w:r>
    </w:p>
    <w:p>
      <w:pPr>
        <w:pStyle w:val="BlockText"/>
      </w:pPr>
      <w:r>
        <w:t xml:space="preserve">„Ein System, das sich selbst heilt, muss sich auch selbst erklären können.“</w:t>
      </w:r>
    </w:p>
    <w:bookmarkEnd w:id="23"/>
    <w:bookmarkStart w:id="24" w:name="block-3-resilienz-gesellschaft-und-ethik"/>
    <w:p>
      <w:pPr>
        <w:pStyle w:val="Heading2"/>
      </w:pPr>
      <w:r>
        <w:t xml:space="preserve">Block 3: Resilienz, Gesellschaft und Ethik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Resilienz ist gesellschaftlich wirksam:</w:t>
      </w:r>
      <w:r>
        <w:t xml:space="preserve"> </w:t>
      </w:r>
      <w:r>
        <w:t xml:space="preserve">Resiliente Systeme entscheiden über Versorgung, Teilhabe und Sicherheit.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Resilienz ist nicht wertneutral:</w:t>
      </w:r>
      <w:r>
        <w:t xml:space="preserve"> </w:t>
      </w:r>
      <w:r>
        <w:t xml:space="preserve">Schon die Wiederanlaufreihenfolge ist normativ. Wer wird bevorzugt versorgt? Welche Dienste gelten als kritisch? Welche Risiken werden für wen akzeptiert?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Resilienz ist ungleich verteilt:</w:t>
      </w:r>
      <w:r>
        <w:t xml:space="preserve"> </w:t>
      </w:r>
      <w:r>
        <w:t xml:space="preserve">Große Organisationen haben mehr Redundanz und Ressourcen; kleine Akteure mehr Abhängigkeiten. Resilienz kann Ungleichheit verstärken.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Legitimität automatisierter Entscheidungen:</w:t>
      </w:r>
      <w:r>
        <w:t xml:space="preserve"> </w:t>
      </w:r>
      <w:r>
        <w:t xml:space="preserve">Systeme priorisieren Services, Nutzer, Regionen nach technisch sinnvollen, gesellschaftlich intransparenten Kriterien.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Verantwortung ohne Verantwortliche:</w:t>
      </w:r>
      <w:r>
        <w:t xml:space="preserve"> </w:t>
      </w:r>
      <w:r>
        <w:t xml:space="preserve">Cloud, KI-Modelle, Lieferketten und Open Source verteilen Verantwortung; Haftung, Erklärung und Kontrolle werden unscharf.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Ethik als Leitplanke:</w:t>
      </w:r>
      <w:r>
        <w:t xml:space="preserve"> </w:t>
      </w:r>
      <w:r>
        <w:t xml:space="preserve">Was darf ein System, was soll es nicht – besonders bei autonomen Entscheidungen, Ressourcenknappheit und Krisenpriorisierung.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Resilienz vs. Freiheit:</w:t>
      </w:r>
      <w:r>
        <w:t xml:space="preserve"> </w:t>
      </w:r>
      <w:r>
        <w:t xml:space="preserve">Mehr Resilienz bedeutet oft mehr Überwachung, mehr Kontrolle, weniger individuelle Autonomie. Dieser Zielkonflikt lässt sich nicht technisch auflösen.</w:t>
      </w:r>
    </w:p>
    <w:p>
      <w:pPr>
        <w:pStyle w:val="BlockText"/>
      </w:pPr>
      <w:r>
        <w:t xml:space="preserve">„Ein resilientes System, dem niemand vertraut, ist nicht resilient.“</w:t>
      </w:r>
    </w:p>
    <w:bookmarkEnd w:id="24"/>
    <w:bookmarkStart w:id="25" w:name="zusammenführung"/>
    <w:p>
      <w:pPr>
        <w:pStyle w:val="Heading2"/>
      </w:pPr>
      <w:r>
        <w:t xml:space="preserve">Zusammenführung</w:t>
      </w:r>
    </w:p>
    <w:p>
      <w:pPr>
        <w:pStyle w:val="FirstParagraph"/>
      </w:pPr>
      <w:r>
        <w:t xml:space="preserve">Zukünftige Resilienz entsteht im Spannungsfeld dreier Dimensionen, die nicht unabhängig optimiert werden können:</w:t>
      </w:r>
      <w:r>
        <w:t xml:space="preserve"> </w:t>
      </w:r>
      <w:r>
        <w:rPr>
          <w:b/>
          <w:bCs/>
        </w:rPr>
        <w:t xml:space="preserve">Zeit und Vertrauen</w:t>
      </w:r>
      <w:r>
        <w:t xml:space="preserve"> </w:t>
      </w:r>
      <w:r>
        <w:t xml:space="preserve">(Quantencomputing),</w:t>
      </w:r>
      <w:r>
        <w:t xml:space="preserve"> </w:t>
      </w:r>
      <w:r>
        <w:rPr>
          <w:b/>
          <w:bCs/>
        </w:rPr>
        <w:t xml:space="preserve">Entscheidung und Autonomie</w:t>
      </w:r>
      <w:r>
        <w:t xml:space="preserve"> </w:t>
      </w:r>
      <w:r>
        <w:t xml:space="preserve">(autonome Systeme),</w:t>
      </w:r>
      <w:r>
        <w:t xml:space="preserve"> </w:t>
      </w:r>
      <w:r>
        <w:rPr>
          <w:b/>
          <w:bCs/>
        </w:rPr>
        <w:t xml:space="preserve">Gesellschaft und Ethik</w:t>
      </w:r>
      <w:r>
        <w:t xml:space="preserve"> </w:t>
      </w:r>
      <w:r>
        <w:t xml:space="preserve">(Legitimität, Verantwortung, Akzeptanz).</w:t>
      </w:r>
    </w:p>
    <w:p>
      <w:pPr>
        <w:pStyle w:val="BodyText"/>
      </w:pPr>
      <w:r>
        <w:t xml:space="preserve">Neue Resilienzfragen: Wie viel Autonomie verträgt ein System? Wo muss der Mensch zwingend entscheiden? Wie erklären wir maschinelle Entscheidungen? Wie lange muss Vertrauen halten? Wer trägt Verantwortung im Grenzfall?</w:t>
      </w:r>
    </w:p>
    <w:p>
      <w:pPr>
        <w:pStyle w:val="BodyText"/>
      </w:pPr>
      <w:r>
        <w:t xml:space="preserve">Neue Resilienzfähigkeiten: Crypto Agility (nicht nur Post-Quantum), Governance für Autonomie, Erklärbarkeit und Transparenz, ethische Leitplanken, gesellschaftliche Einbettung.</w:t>
      </w:r>
    </w:p>
    <w:p>
      <w:pPr>
        <w:pStyle w:val="BodyText"/>
      </w:pPr>
      <w:r>
        <w:t xml:space="preserve">Resilienz ist keine IT-Disziplin mehr: Entscheidungen sind strategisch, Auswirkungen gesellschaftlich, Verantwortung liegt bei Führung und Governance.</w:t>
      </w:r>
      <w:r>
        <w:t xml:space="preserve"> </w:t>
      </w:r>
      <w:r>
        <w:rPr>
          <w:b/>
          <w:bCs/>
        </w:rPr>
        <w:t xml:space="preserve">IT liefert Fähigkeiten – nicht Werte.</w:t>
      </w:r>
    </w:p>
    <w:p>
      <w:pPr>
        <w:pStyle w:val="BlockText"/>
      </w:pPr>
      <w:r>
        <w:t xml:space="preserve">Die größte Herausforderung zukünftiger Resilienz ist nicht Technik – sondern Verantwortung unter Unsicherheit.</w:t>
      </w:r>
    </w:p>
    <w:bookmarkEnd w:id="25"/>
    <w:bookmarkEnd w:id="26"/>
    <w:bookmarkStart w:id="27" w:name="übung-resilienz-im-jahr-2035"/>
    <w:p>
      <w:pPr>
        <w:pStyle w:val="Heading1"/>
      </w:pPr>
      <w:r>
        <w:t xml:space="preserve">Übung: Resilienz im Jahr 2035</w:t>
      </w:r>
    </w:p>
    <w:p>
      <w:pPr>
        <w:pStyle w:val="FirstParagraph"/>
      </w:pPr>
      <w:r>
        <w:t xml:space="preserve">90 Minuten einschließlich Diskussion. Ziel ist nicht Konsens, sondern reflektierte Entscheidungsfähigkeit unter Unsicherheit.</w:t>
      </w:r>
    </w:p>
    <w:p>
      <w:pPr>
        <w:pStyle w:val="BodyText"/>
      </w:pPr>
      <w:r>
        <w:rPr>
          <w:b/>
          <w:bCs/>
        </w:rPr>
        <w:t xml:space="preserve">Kontext:</w:t>
      </w:r>
      <w:r>
        <w:t xml:space="preserve"> </w:t>
      </w:r>
      <w:r>
        <w:t xml:space="preserve">Ein europaweit tätiges Versorgungsunternehmen betreibt kritische digitale und physische Infrastrukturen: stark digitalisierte Prozesse, weitgehend autonome IT- und OT-Steuerung, KI-gestützte Incident Response, teilweise migrierte Post-Quantum-Kryptografie, hohe regulatorische Anforderungen.</w:t>
      </w:r>
    </w:p>
    <w:p>
      <w:pPr>
        <w:pStyle w:val="BodyText"/>
      </w:pPr>
      <w:r>
        <w:rPr>
          <w:b/>
          <w:bCs/>
        </w:rPr>
        <w:t xml:space="preserve">Ereignis (früher Montagmorgen):</w:t>
      </w:r>
      <w:r>
        <w:t xml:space="preserve"> </w:t>
      </w:r>
      <w:r>
        <w:t xml:space="preserve">Unstimmigkeiten in historischen Signaturen eines zentralen Datenarchivs; auffällige automatische Reaktionen autonomer Schutzsysteme; regionale Einschränkungen digitaler Dienste zur „Stabilisierung des Gesamtsystems“. Ein technischer Angriff ist nicht eindeutig nachweisbar.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Rolle</w:t>
            </w:r>
          </w:p>
        </w:tc>
        <w:tc>
          <w:tcPr/>
          <w:p>
            <w:pPr>
              <w:pStyle w:val="Compact"/>
            </w:pPr>
            <w:r>
              <w:t xml:space="preserve">Fokus</w:t>
            </w:r>
          </w:p>
        </w:tc>
        <w:tc>
          <w:tcPr/>
          <w:p>
            <w:pPr>
              <w:pStyle w:val="Compact"/>
            </w:pPr>
            <w:r>
              <w:t xml:space="preserve">Sorge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Technik / Security</w:t>
            </w:r>
          </w:p>
        </w:tc>
        <w:tc>
          <w:tcPr/>
          <w:p>
            <w:pPr>
              <w:pStyle w:val="Compact"/>
            </w:pPr>
            <w:r>
              <w:t xml:space="preserve">Systemstabilität, Integrität, Wiederherstellbarkeit</w:t>
            </w:r>
          </w:p>
        </w:tc>
        <w:tc>
          <w:tcPr/>
          <w:p>
            <w:pPr>
              <w:pStyle w:val="Compact"/>
            </w:pPr>
            <w:r>
              <w:t xml:space="preserve">Eskalation technischer Schäden, Kontrollverlust autonomer Systeme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Management</w:t>
            </w:r>
          </w:p>
        </w:tc>
        <w:tc>
          <w:tcPr/>
          <w:p>
            <w:pPr>
              <w:pStyle w:val="Compact"/>
            </w:pPr>
            <w:r>
              <w:t xml:space="preserve">Versorgungssicherheit, Haftung, wirtschaftliche Stabilität</w:t>
            </w:r>
          </w:p>
        </w:tc>
        <w:tc>
          <w:tcPr/>
          <w:p>
            <w:pPr>
              <w:pStyle w:val="Compact"/>
            </w:pPr>
            <w:r>
              <w:t xml:space="preserve">Reputationsverlust, regulatorische Konsequenzen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Staat / Aufsicht</w:t>
            </w:r>
          </w:p>
        </w:tc>
        <w:tc>
          <w:tcPr/>
          <w:p>
            <w:pPr>
              <w:pStyle w:val="Compact"/>
            </w:pPr>
            <w:r>
              <w:t xml:space="preserve">Schutz kritischer Infrastrukturen, öffentliche Ordnung</w:t>
            </w:r>
          </w:p>
        </w:tc>
        <w:tc>
          <w:tcPr/>
          <w:p>
            <w:pPr>
              <w:pStyle w:val="Compact"/>
            </w:pPr>
            <w:r>
              <w:t xml:space="preserve">gesellschaftliche Auswirkungen, politische Verantwortung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Gesellschaft / Kundenvertretung</w:t>
            </w:r>
          </w:p>
        </w:tc>
        <w:tc>
          <w:tcPr/>
          <w:p>
            <w:pPr>
              <w:pStyle w:val="Compact"/>
            </w:pPr>
            <w:r>
              <w:t xml:space="preserve">Fairness, Transparenz, Teilhabe</w:t>
            </w:r>
          </w:p>
        </w:tc>
        <w:tc>
          <w:tcPr/>
          <w:p>
            <w:pPr>
              <w:pStyle w:val="Compact"/>
            </w:pPr>
            <w:r>
              <w:t xml:space="preserve">Diskriminierung, Intransparenz, Vertrauensverlust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Ethik / Recht</w:t>
            </w:r>
          </w:p>
        </w:tc>
        <w:tc>
          <w:tcPr/>
          <w:p>
            <w:pPr>
              <w:pStyle w:val="Compact"/>
            </w:pPr>
            <w:r>
              <w:t xml:space="preserve">Legitimität, Verantwortlichkeit, Grundrechte</w:t>
            </w:r>
          </w:p>
        </w:tc>
        <w:tc>
          <w:tcPr/>
          <w:p>
            <w:pPr>
              <w:pStyle w:val="Compact"/>
            </w:pPr>
            <w:r>
              <w:t xml:space="preserve">automatisierte Entscheidungen ohne Widerspruchsmöglichkeit</w:t>
            </w:r>
          </w:p>
        </w:tc>
      </w:tr>
    </w:tbl>
    <w:p>
      <w:pPr>
        <w:pStyle w:val="BodyText"/>
      </w:pPr>
      <w:r>
        <w:rPr>
          <w:b/>
          <w:bCs/>
        </w:rPr>
        <w:t xml:space="preserve">Gruppenphase (45–60 Minuten):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Resilienzverständnis:</w:t>
      </w:r>
      <w:r>
        <w:t xml:space="preserve"> </w:t>
      </w:r>
      <w:r>
        <w:t xml:space="preserve">Was bedeutet Resilienz aus eurer Sicht? Was muss unbedingt geschützt werden?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Kritische Entscheidungen:</w:t>
      </w:r>
      <w:r>
        <w:t xml:space="preserve"> </w:t>
      </w:r>
      <w:r>
        <w:t xml:space="preserve">Welche Entscheidung ist in den nächsten 30 Minuten entscheidend? Wo darf ein autonomes System entscheiden, wo muss ein Mensch eingreifen?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Grenzen der Autonomie:</w:t>
      </w:r>
      <w:r>
        <w:t xml:space="preserve"> </w:t>
      </w:r>
      <w:r>
        <w:t xml:space="preserve">Wo sollten autonome Systeme gestoppt oder eingeschränkt werden? Welche Leitplanken sind unverzichtbar?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Verantwortung und Kommunikation:</w:t>
      </w:r>
      <w:r>
        <w:t xml:space="preserve"> </w:t>
      </w:r>
      <w:r>
        <w:t xml:space="preserve">Wer trägt Verantwortung? Was wird intern und extern wie kommuniziert?</w:t>
      </w:r>
    </w:p>
    <w:p>
      <w:pPr>
        <w:pStyle w:val="FirstParagraph"/>
      </w:pPr>
      <w:r>
        <w:rPr>
          <w:b/>
          <w:bCs/>
        </w:rPr>
        <w:t xml:space="preserve">Ergebnisdarstellung (max. 5 Minuten je Gruppe):</w:t>
      </w:r>
      <w:r>
        <w:t xml:space="preserve"> </w:t>
      </w:r>
      <w:r>
        <w:t xml:space="preserve">zentrale Entscheidung, Begründung aus der Rollenperspektive, erkannte Zielkonflikte, bewusst akzeptierte Risiken. Es geht um Begründbarkeit, nicht um Konsens.</w:t>
      </w:r>
    </w:p>
    <w:p>
      <w:pPr>
        <w:pStyle w:val="BodyText"/>
      </w:pPr>
      <w:r>
        <w:rPr>
          <w:b/>
          <w:bCs/>
        </w:rPr>
        <w:t xml:space="preserve">Plenum (ca. 30 Minuten):</w:t>
      </w:r>
      <w:r>
        <w:t xml:space="preserve"> </w:t>
      </w:r>
      <w:r>
        <w:t xml:space="preserve">Wo widersprechen sich die Entscheidungen? Welche Konflikte waren nicht auflösbar? Wo kollidieren technische und gesellschaftliche Resilienz? Welche Entscheidungen würdet ihr öffentlich vertreten wollen?</w:t>
      </w:r>
    </w:p>
    <w:p>
      <w:pPr>
        <w:pStyle w:val="BodyText"/>
      </w:pPr>
      <w:r>
        <w:rPr>
          <w:b/>
          <w:bCs/>
        </w:rPr>
        <w:t xml:space="preserve">Reflexion:</w:t>
      </w:r>
      <w:r>
        <w:t xml:space="preserve"> </w:t>
      </w:r>
      <w:r>
        <w:t xml:space="preserve">Was hat die Übung am Resilienzverständnis verändert? Welche Annahmen aus früheren Sitzungen wurden infrage gestellt? Resilienz zeigt sich nicht im reibungslosen Betrieb, sondern im Umgang mit Zielkonflikten unter Unsicherheit.</w:t>
      </w:r>
    </w:p>
    <w:bookmarkEnd w:id="27"/>
    <w:bookmarkStart w:id="28" w:name="prüfungsrelevante-leitfragen"/>
    <w:p>
      <w:pPr>
        <w:pStyle w:val="Heading1"/>
      </w:pPr>
      <w:r>
        <w:t xml:space="preserve">Prüfungsrelevante Leitfragen</w:t>
      </w:r>
    </w:p>
    <w:p>
      <w:pPr>
        <w:pStyle w:val="FirstParagraph"/>
      </w:pPr>
      <w:r>
        <w:t xml:space="preserve">Das Skript enthält für diese Sitzung keine eigene Leitfragenliste. Aus den Lernzielen ergeben sich:</w:t>
      </w:r>
    </w:p>
    <w:p>
      <w:pPr>
        <w:pStyle w:val="Compact"/>
        <w:numPr>
          <w:ilvl w:val="0"/>
          <w:numId w:val="1004"/>
        </w:numPr>
      </w:pPr>
      <w:r>
        <w:t xml:space="preserve">Warum ist Quantencomputing ein Resilienz- und kein reines Security-Thema? Was bedeutet „Harvest now, decrypt later“?</w:t>
      </w:r>
    </w:p>
    <w:p>
      <w:pPr>
        <w:pStyle w:val="Compact"/>
        <w:numPr>
          <w:ilvl w:val="0"/>
          <w:numId w:val="1004"/>
        </w:numPr>
      </w:pPr>
      <w:r>
        <w:t xml:space="preserve">Was ist Crypto Agility, und wo liegen ihre Grenzen?</w:t>
      </w:r>
    </w:p>
    <w:p>
      <w:pPr>
        <w:pStyle w:val="Compact"/>
        <w:numPr>
          <w:ilvl w:val="0"/>
          <w:numId w:val="1004"/>
        </w:numPr>
      </w:pPr>
      <w:r>
        <w:t xml:space="preserve">Erläutern Sie das Resilienz-Paradoxon autonomer Systeme.</w:t>
      </w:r>
    </w:p>
    <w:p>
      <w:pPr>
        <w:pStyle w:val="Compact"/>
        <w:numPr>
          <w:ilvl w:val="0"/>
          <w:numId w:val="1004"/>
        </w:numPr>
      </w:pPr>
      <w:r>
        <w:t xml:space="preserve">Welche Leitplanken brauchen autonome Systeme?</w:t>
      </w:r>
    </w:p>
    <w:p>
      <w:pPr>
        <w:pStyle w:val="Compact"/>
        <w:numPr>
          <w:ilvl w:val="0"/>
          <w:numId w:val="1004"/>
        </w:numPr>
      </w:pPr>
      <w:r>
        <w:t xml:space="preserve">Warum ist Resilienz nicht wertneutral? Nennen Sie ein Beispiel.</w:t>
      </w:r>
    </w:p>
    <w:p>
      <w:pPr>
        <w:pStyle w:val="Compact"/>
        <w:numPr>
          <w:ilvl w:val="0"/>
          <w:numId w:val="1004"/>
        </w:numPr>
      </w:pPr>
      <w:r>
        <w:t xml:space="preserve">Warum ist Human-in-the-Loop ein zentrales Resilienzprinzip? (Probeklausur, Frage 20)</w:t>
      </w:r>
    </w:p>
    <w:bookmarkEnd w:id="28"/>
    <w:bookmarkStart w:id="29" w:name="abschluss-der-lehrveranstaltung"/>
    <w:p>
      <w:pPr>
        <w:pStyle w:val="Heading1"/>
      </w:pPr>
      <w:r>
        <w:t xml:space="preserve">Abschluss der Lehrveranstaltung</w:t>
      </w:r>
    </w:p>
    <w:p>
      <w:pPr>
        <w:pStyle w:val="BlockText"/>
      </w:pPr>
      <w:r>
        <w:t xml:space="preserve">„Resilienz ist keine Eigenschaft von Systemen. Sie ist eine Fähigkeit von Menschen, Organisationen und Gesellschaften.“</w:t>
      </w:r>
    </w:p>
    <w:p>
      <w:pPr>
        <w:pStyle w:val="FirstParagraph"/>
      </w:pPr>
      <w:r>
        <w:rPr>
          <w:b/>
          <w:bCs/>
        </w:rPr>
        <w:t xml:space="preserve">Nächster Termin:</w:t>
      </w:r>
      <w:r>
        <w:t xml:space="preserve"> </w:t>
      </w:r>
      <w:r>
        <w:t xml:space="preserve">Klausur.</w:t>
      </w:r>
    </w:p>
    <w:bookmarkEnd w:id="29"/>
    <w:bookmarkStart w:id="30" w:name="material-aus-dem-archiv"/>
    <w:p>
      <w:pPr>
        <w:pStyle w:val="Heading1"/>
      </w:pPr>
      <w:r>
        <w:t xml:space="preserve">Material aus dem Archiv</w:t>
      </w:r>
    </w:p>
    <w:p>
      <w:pPr>
        <w:pStyle w:val="FirstParagraph"/>
      </w:pPr>
      <w:r>
        <w:rPr>
          <w:rStyle w:val="VerbatimChar"/>
        </w:rPr>
        <w:t xml:space="preserve">Abschlussvorlesung/10_Abschlussvorlesung.pdf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Skript Sitzung 10 Resilienz der Zukunft.pdf</w:t>
      </w:r>
      <w:r>
        <w:t xml:space="preserve"> </w:t>
      </w:r>
      <w:r>
        <w:t xml:space="preserve">(mit Übungsskript).</w:t>
      </w:r>
    </w:p>
    <w:bookmarkEnd w:id="30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474" w:footer="567" w:header="567" w:left="1417" w:right="1417" w:top="181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18" w:space="4" w:color="4472C4"/>
      </w:pBdr>
      <w:tabs>
        <w:tab w:pos="9072" w:val="right"/>
      </w:tabs>
    </w:pPr>
    <w:r/>
    <w:r>
      <w:rPr>
        <w:color w:val="404040"/>
        <w:sz w:val="15"/>
      </w:rPr>
      <w:t>DIRK LOOMANS · VORLESUNGSSKRIPT GRUNDLAGEN DER RESILIENZ · HOCHSCHULE MAINZ</w:t>
      <w:tab/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1093750" cy="45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sm-wirtschaf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3750" cy="450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/>
      <w:b/>
      <w:color w:val="2F5496"/>
      <w:sz w:val="40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hAnsi="Calibri"/>
      <w:b w:val="0"/>
      <w:color w:val="2F5496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hAnsi="Calibri"/>
      <w:b/>
      <w:color w:val="2F5496"/>
      <w:sz w:val="2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hAnsi="Calibri"/>
      <w:b/>
      <w:color w:val="2F5496"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hAnsi="Calibri"/>
      <w:b/>
      <w:color w:val="2F5496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Termin 10 – Resilienz der Zukunft</dc:title>
  <dc:creator>Prof. Dr. Dirk Loomans</dc:creator>
  <dc:language>de</dc:language>
  <cp:keywords/>
  <dcterms:created xsi:type="dcterms:W3CDTF">2026-09-29T12:30:15Z</dcterms:created>
  <dcterms:modified xsi:type="dcterms:W3CDTF">2026-09-29T12:30:15Z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29. September 2026</vt:lpwstr>
  </property>
  <property fmtid="{D5CDD505-2E9C-101B-9397-08002B2CF9AE}" pid="7" name="date-format">
    <vt:lpwstr>D. MMMM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reference-section-title">
    <vt:lpwstr>Literatur</vt:lpwstr>
  </property>
  <property fmtid="{D5CDD505-2E9C-101B-9397-08002B2CF9AE}" pid="13" name="subtitle">
    <vt:lpwstr>Wenn Technik entscheidet, Systeme lernen und Verantwortung diffus wird</vt:lpwstr>
  </property>
  <property fmtid="{D5CDD505-2E9C-101B-9397-08002B2CF9AE}" pid="14" name="toc-title">
    <vt:lpwstr>Inhaltsverzeichnis</vt:lpwstr>
  </property>
</Properties>
</file>