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 2 – Modelle und Messbarkeit der Resilienz</w:t>
      </w:r>
    </w:p>
    <w:p>
      <w:pPr>
        <w:pStyle w:val="Author"/>
      </w:pPr>
      <w:r>
        <w:t xml:space="preserve">Prof. Dr. Dirk Loomans</w:t>
      </w:r>
    </w:p>
    <w:p>
      <w:pPr>
        <w:pStyle w:val="Date"/>
      </w:pPr>
      <w:r>
        <w:t xml:space="preserve">29. September 2026</w:t>
      </w:r>
    </w:p>
    <w:p>
      <w:pPr>
        <w:pStyle w:val="FirstParagraph"/>
      </w:pPr>
      <w:r>
        <w:rPr>
          <w:b/>
          <w:bCs/>
        </w:rPr>
        <w:t xml:space="preserve">Vorlesungsskript · Grundlagen der Resilienz</w:t>
      </w:r>
      <w:r>
        <w:t xml:space="preserve"> </w:t>
      </w:r>
      <w:r>
        <w:t xml:space="preserve">· Cyber Security Management (B.Sc.), 1. Semester · Hochschule Mainz</w:t>
      </w:r>
    </w:p>
    <w:p>
      <w:pPr>
        <w:pStyle w:val="BodyText"/>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bookmarkStart w:id="19" w:name="leitfrage"/>
    <w:p>
      <w:pPr>
        <w:pStyle w:val="Heading1"/>
      </w:pPr>
      <w:r>
        <w:t xml:space="preserve">Leitfrage</w:t>
      </w:r>
    </w:p>
    <w:p>
      <w:pPr>
        <w:pStyle w:val="BlockText"/>
      </w:pPr>
      <w:r>
        <w:t xml:space="preserve">Wie wird Resilienz sichtbar, vergleichbar und steuerbar?</w:t>
      </w:r>
    </w:p>
    <w:bookmarkEnd w:id="19"/>
    <w:bookmarkStart w:id="20" w:name="lernziele"/>
    <w:p>
      <w:pPr>
        <w:pStyle w:val="Heading1"/>
      </w:pPr>
      <w:r>
        <w:t xml:space="preserve">Lernziele</w:t>
      </w:r>
    </w:p>
    <w:p>
      <w:pPr>
        <w:pStyle w:val="FirstParagraph"/>
      </w:pPr>
      <w:r>
        <w:t xml:space="preserve">Nach diesem Termin können Studierende</w:t>
      </w:r>
    </w:p>
    <w:p>
      <w:pPr>
        <w:pStyle w:val="Compact"/>
        <w:numPr>
          <w:ilvl w:val="0"/>
          <w:numId w:val="1001"/>
        </w:numPr>
      </w:pPr>
      <w:r>
        <w:t xml:space="preserve">erklären, warum Resilienz quantitativ und qualitativ messbar gemacht werden muss,</w:t>
      </w:r>
    </w:p>
    <w:p>
      <w:pPr>
        <w:pStyle w:val="Compact"/>
        <w:numPr>
          <w:ilvl w:val="0"/>
          <w:numId w:val="1001"/>
        </w:numPr>
      </w:pPr>
      <w:r>
        <w:t xml:space="preserve">zentrale Resilienzkennzahlen für IT-Systeme (RTO, RPO, MTTR, MTBF) definieren und einordnen,</w:t>
      </w:r>
    </w:p>
    <w:p>
      <w:pPr>
        <w:pStyle w:val="Compact"/>
        <w:numPr>
          <w:ilvl w:val="0"/>
          <w:numId w:val="1001"/>
        </w:numPr>
      </w:pPr>
      <w:r>
        <w:t xml:space="preserve">Resilienzmodelle in Normen und Rahmenwerken verorten (NIST, ISO, BSI, ENISA),</w:t>
      </w:r>
    </w:p>
    <w:p>
      <w:pPr>
        <w:pStyle w:val="Compact"/>
        <w:numPr>
          <w:ilvl w:val="0"/>
          <w:numId w:val="1001"/>
        </w:numPr>
      </w:pPr>
      <w:r>
        <w:t xml:space="preserve">anhand einer Degradations- und Recovery-Kurve die Resilienz eines Systems qualitativ beschreiben,</w:t>
      </w:r>
    </w:p>
    <w:p>
      <w:pPr>
        <w:pStyle w:val="Compact"/>
        <w:numPr>
          <w:ilvl w:val="0"/>
          <w:numId w:val="1001"/>
        </w:numPr>
      </w:pPr>
      <w:r>
        <w:t xml:space="preserve">erste Reifegrad- und KPI-basierte Bewertungen realer IT-Systeme vornehmen.</w:t>
      </w:r>
    </w:p>
    <w:bookmarkEnd w:id="20"/>
    <w:bookmarkStart w:id="36" w:name="fachinhalte"/>
    <w:p>
      <w:pPr>
        <w:pStyle w:val="Heading1"/>
      </w:pPr>
      <w:r>
        <w:t xml:space="preserve">Fachinhalte</w:t>
      </w:r>
    </w:p>
    <w:bookmarkStart w:id="21" w:name="rückblick"/>
    <w:p>
      <w:pPr>
        <w:pStyle w:val="Heading2"/>
      </w:pPr>
      <w:r>
        <w:t xml:space="preserve">Rückblick</w:t>
      </w:r>
    </w:p>
    <w:p>
      <w:pPr>
        <w:pStyle w:val="FirstParagraph"/>
      </w:pPr>
      <w:r>
        <w:t xml:space="preserve">Safety ≠ Security – beides beeinflusst Resilienz. Vier technische Prinzipien: Redundanz, Diversität, Wiederherstellbarkeit, Adaptivität. Resilienz ist nicht Unverwundbarkeit, sondern Erholungsfähigkeit.</w:t>
      </w:r>
    </w:p>
    <w:bookmarkEnd w:id="21"/>
    <w:bookmarkStart w:id="22" w:name="warum-resilienz-messen"/>
    <w:p>
      <w:pPr>
        <w:pStyle w:val="Heading2"/>
      </w:pPr>
      <w:r>
        <w:t xml:space="preserve">Warum Resilienz messen?</w:t>
      </w:r>
    </w:p>
    <w:p>
      <w:pPr>
        <w:pStyle w:val="FirstParagraph"/>
      </w:pPr>
      <w:r>
        <w:t xml:space="preserve">Messbarkeit ist kein Selbstzweck, sondern Voraussetzung für Steuerung, Vergleich und Verbesserung:</w:t>
      </w:r>
    </w:p>
    <w:p>
      <w:pPr>
        <w:pStyle w:val="Compact"/>
        <w:numPr>
          <w:ilvl w:val="0"/>
          <w:numId w:val="1002"/>
        </w:numPr>
      </w:pPr>
      <w:r>
        <w:rPr>
          <w:b/>
          <w:bCs/>
        </w:rPr>
        <w:t xml:space="preserve">Governance und Steuerung</w:t>
      </w:r>
      <w:r>
        <w:t xml:space="preserve"> </w:t>
      </w:r>
      <w:r>
        <w:t xml:space="preserve">– Führung braucht belastbare Metriken für Priorisierung, Budgetierung und Wirksamkeitskontrolle.</w:t>
      </w:r>
    </w:p>
    <w:p>
      <w:pPr>
        <w:pStyle w:val="Compact"/>
        <w:numPr>
          <w:ilvl w:val="0"/>
          <w:numId w:val="1002"/>
        </w:numPr>
      </w:pPr>
      <w:r>
        <w:rPr>
          <w:b/>
          <w:bCs/>
        </w:rPr>
        <w:t xml:space="preserve">Vergleichbarkeit und Reifegradbewertung</w:t>
      </w:r>
      <w:r>
        <w:t xml:space="preserve"> </w:t>
      </w:r>
      <w:r>
        <w:t xml:space="preserve">– Fortschritt und Lücken werden systematisch beurteilbar.</w:t>
      </w:r>
    </w:p>
    <w:p>
      <w:pPr>
        <w:pStyle w:val="Compact"/>
        <w:numPr>
          <w:ilvl w:val="0"/>
          <w:numId w:val="1002"/>
        </w:numPr>
      </w:pPr>
      <w:r>
        <w:rPr>
          <w:b/>
          <w:bCs/>
        </w:rPr>
        <w:t xml:space="preserve">Nachweisfähigkeit</w:t>
      </w:r>
      <w:r>
        <w:t xml:space="preserve"> </w:t>
      </w:r>
      <w:r>
        <w:t xml:space="preserve">– in regulierten Domänen (KRITIS, Finanzmarktaufsicht) wird quantifizierbare Belastbarkeit erwartet.</w:t>
      </w:r>
    </w:p>
    <w:p>
      <w:pPr>
        <w:pStyle w:val="FirstParagraph"/>
      </w:pPr>
      <w:r>
        <w:t xml:space="preserve">Hinzu kommen Frühwarnindikatoren für die Krisenfähigkeit.</w:t>
      </w:r>
    </w:p>
    <w:bookmarkEnd w:id="22"/>
    <w:bookmarkStart w:id="26" w:name="resilienz-als-systemfunktion"/>
    <w:p>
      <w:pPr>
        <w:pStyle w:val="Heading2"/>
      </w:pPr>
      <w:r>
        <w:t xml:space="preserve">Resilienz als Systemfunktion</w:t>
      </w:r>
    </w:p>
    <w:p>
      <w:pPr>
        <w:pStyle w:val="FirstParagraph"/>
      </w:pPr>
      <w:r>
        <w:t xml:space="preserve">Resilienz ist keine statische Eigenschaft, sondern eine zeitabhängige Systemleistung. Ein System ist nicht „resilient oder nicht“, sondern zeigt ein bestimmtes Verhalten unter Störung. Die Degradations- und Wiederherstellungskurve beschreibt die Systemleistung L(t) über die Zeit:</w:t>
      </w:r>
    </w:p>
    <w:p>
      <w:pPr>
        <w:pStyle w:val="Compact"/>
        <w:numPr>
          <w:ilvl w:val="0"/>
          <w:numId w:val="1003"/>
        </w:numPr>
      </w:pPr>
      <w:r>
        <w:t xml:space="preserve">Normalbetrieb, L(t) ≈ 100 %</w:t>
      </w:r>
    </w:p>
    <w:p>
      <w:pPr>
        <w:pStyle w:val="Compact"/>
        <w:numPr>
          <w:ilvl w:val="0"/>
          <w:numId w:val="1003"/>
        </w:numPr>
      </w:pPr>
      <w:r>
        <w:t xml:space="preserve">Störung, Angriff oder Fehler – abrupte oder schleichende Abnahme</w:t>
      </w:r>
    </w:p>
    <w:p>
      <w:pPr>
        <w:pStyle w:val="Compact"/>
        <w:numPr>
          <w:ilvl w:val="0"/>
          <w:numId w:val="1003"/>
        </w:numPr>
      </w:pPr>
      <w:r>
        <w:t xml:space="preserve">degradierter Zustand – reduzierter Servicelevel oder Totalausfall</w:t>
      </w:r>
    </w:p>
    <w:p>
      <w:pPr>
        <w:pStyle w:val="Compact"/>
        <w:numPr>
          <w:ilvl w:val="0"/>
          <w:numId w:val="1003"/>
        </w:numPr>
      </w:pPr>
      <w:r>
        <w:t xml:space="preserve">Wiederherstellung – schrittweiser oder sprunghafter Wiederanstieg</w:t>
      </w:r>
    </w:p>
    <w:p>
      <w:pPr>
        <w:pStyle w:val="Compact"/>
        <w:numPr>
          <w:ilvl w:val="0"/>
          <w:numId w:val="1003"/>
        </w:numPr>
      </w:pPr>
      <w:r>
        <w:t xml:space="preserve">Rückkehr in den Zielzustand – auf altem oder verbessertem Niveau</w:t>
      </w:r>
    </w:p>
    <w:p>
      <w:pPr>
        <w:pStyle w:val="CaptionedFigure"/>
      </w:pPr>
      <w:r>
        <w:drawing>
          <wp:inline>
            <wp:extent cx="5753100" cy="2653730"/>
            <wp:effectExtent b="0" l="0" r="0" t="0"/>
            <wp:docPr descr="Schematische Degradations- und Wiederherstellungskurve mit RPO, RTO und Ausfalltiefe" title="" id="24" name="Picture"/>
            <a:graphic>
              <a:graphicData uri="http://schemas.openxmlformats.org/drawingml/2006/picture">
                <pic:pic>
                  <pic:nvPicPr>
                    <pic:cNvPr descr="../assets/resilienzkurve.png" id="25" name="Picture"/>
                    <pic:cNvPicPr>
                      <a:picLocks noChangeArrowheads="1" noChangeAspect="1"/>
                    </pic:cNvPicPr>
                  </pic:nvPicPr>
                  <pic:blipFill>
                    <a:blip r:embed="rId23"/>
                    <a:stretch>
                      <a:fillRect/>
                    </a:stretch>
                  </pic:blipFill>
                  <pic:spPr bwMode="auto">
                    <a:xfrm>
                      <a:off x="0" y="0"/>
                      <a:ext cx="5753100" cy="2653730"/>
                    </a:xfrm>
                    <a:prstGeom prst="rect">
                      <a:avLst/>
                    </a:prstGeom>
                    <a:noFill/>
                    <a:ln w="9525">
                      <a:noFill/>
                      <a:headEnd/>
                      <a:tailEnd/>
                    </a:ln>
                  </pic:spPr>
                </pic:pic>
              </a:graphicData>
            </a:graphic>
          </wp:inline>
        </w:drawing>
      </w:r>
    </w:p>
    <w:p>
      <w:pPr>
        <w:pStyle w:val="ImageCaption"/>
      </w:pPr>
      <w:r>
        <w:t xml:space="preserve">Schematische Degradations- und Wiederherstellungskurve mit RPO, RTO und Ausfalltiefe</w:t>
      </w:r>
    </w:p>
    <w:p>
      <w:pPr>
        <w:pStyle w:val="BodyText"/>
      </w:pPr>
      <w:r>
        <w:t xml:space="preserve">Die Kenngrößen ergeben sich direkt aus der Kurve:</w:t>
      </w:r>
      <w:r>
        <w:t xml:space="preserve"> </w:t>
      </w:r>
      <w:r>
        <w:rPr>
          <w:b/>
          <w:bCs/>
        </w:rPr>
        <w:t xml:space="preserve">Ausfalltiefe Δ</w:t>
      </w:r>
      <w:r>
        <w:t xml:space="preserve"> </w:t>
      </w:r>
      <w:r>
        <w:t xml:space="preserve">(wie weit sinkt der Servicelevel?),</w:t>
      </w:r>
      <w:r>
        <w:t xml:space="preserve"> </w:t>
      </w:r>
      <w:r>
        <w:rPr>
          <w:b/>
          <w:bCs/>
        </w:rPr>
        <w:t xml:space="preserve">Wiederherstellungszeit tR</w:t>
      </w:r>
      <w:r>
        <w:t xml:space="preserve"> </w:t>
      </w:r>
      <w:r>
        <w:t xml:space="preserve">(wie lange bis zum akzeptablen Niveau?),</w:t>
      </w:r>
      <w:r>
        <w:t xml:space="preserve"> </w:t>
      </w:r>
      <w:r>
        <w:rPr>
          <w:b/>
          <w:bCs/>
        </w:rPr>
        <w:t xml:space="preserve">Datenverlustfenster (RPO)</w:t>
      </w:r>
      <w:r>
        <w:t xml:space="preserve"> </w:t>
      </w:r>
      <w:r>
        <w:t xml:space="preserve">und</w:t>
      </w:r>
      <w:r>
        <w:t xml:space="preserve"> </w:t>
      </w:r>
      <w:r>
        <w:rPr>
          <w:b/>
          <w:bCs/>
        </w:rPr>
        <w:t xml:space="preserve">Zieldauer (RTO)</w:t>
      </w:r>
      <w:r>
        <w:t xml:space="preserve">. Ziel ist die Minimierung von Δ und tR. Resilienz zeigt sich nicht im Normalbetrieb, sondern in der Auslenkung. Der funktionale Ansatz macht technische, organisatorische und menschliche Maßnahmen vergleichbar: Die Kurve misst das Ergebnis, nicht den Weg.</w:t>
      </w:r>
    </w:p>
    <w:bookmarkEnd w:id="26"/>
    <w:bookmarkStart w:id="27" w:name="kennzahlen-rto-rpo-mttr-mtbf"/>
    <w:p>
      <w:pPr>
        <w:pStyle w:val="Heading2"/>
      </w:pPr>
      <w:r>
        <w:t xml:space="preserve">Kennzahlen: RTO, RPO, MTTR, MTBF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Kennzahl</w:t>
            </w:r>
          </w:p>
        </w:tc>
        <w:tc>
          <w:tcPr/>
          <w:p>
            <w:pPr>
              <w:pStyle w:val="Compact"/>
            </w:pPr>
            <w:r>
              <w:t xml:space="preserve">Bedeutung</w:t>
            </w:r>
          </w:p>
        </w:tc>
        <w:tc>
          <w:tcPr/>
          <w:p>
            <w:pPr>
              <w:pStyle w:val="Compact"/>
            </w:pPr>
            <w:r>
              <w:t xml:space="preserve">Beispiel</w:t>
            </w:r>
          </w:p>
        </w:tc>
        <w:tc>
          <w:tcPr/>
          <w:p>
            <w:pPr>
              <w:pStyle w:val="Compact"/>
            </w:pPr>
            <w:r>
              <w:t xml:space="preserve">Typ</w:t>
            </w:r>
          </w:p>
        </w:tc>
      </w:tr>
      <w:tr>
        <w:tc>
          <w:tcPr/>
          <w:p>
            <w:pPr>
              <w:pStyle w:val="Compact"/>
            </w:pPr>
            <w:r>
              <w:t xml:space="preserve">RTO – Recovery Time Objective</w:t>
            </w:r>
          </w:p>
        </w:tc>
        <w:tc>
          <w:tcPr/>
          <w:p>
            <w:pPr>
              <w:pStyle w:val="Compact"/>
            </w:pPr>
            <w:r>
              <w:t xml:space="preserve">maximal zulässige Wiederherstellungszeit: „Wie lange dürfen wir offline sein?“</w:t>
            </w:r>
          </w:p>
        </w:tc>
        <w:tc>
          <w:tcPr/>
          <w:p>
            <w:pPr>
              <w:pStyle w:val="Compact"/>
            </w:pPr>
            <w:r>
              <w:t xml:space="preserve">2 h für einen Mailserver</w:t>
            </w:r>
          </w:p>
        </w:tc>
        <w:tc>
          <w:tcPr/>
          <w:p>
            <w:pPr>
              <w:pStyle w:val="Compact"/>
            </w:pPr>
            <w:r>
              <w:t xml:space="preserve">Planungsziel</w:t>
            </w:r>
          </w:p>
        </w:tc>
      </w:tr>
      <w:tr>
        <w:tc>
          <w:tcPr/>
          <w:p>
            <w:pPr>
              <w:pStyle w:val="Compact"/>
            </w:pPr>
            <w:r>
              <w:t xml:space="preserve">RPO – Recovery Point Objective</w:t>
            </w:r>
          </w:p>
        </w:tc>
        <w:tc>
          <w:tcPr/>
          <w:p>
            <w:pPr>
              <w:pStyle w:val="Compact"/>
            </w:pPr>
            <w:r>
              <w:t xml:space="preserve">maximal tolerierbarer Datenverlust in Zeit: „Wie alt dürfen die wiederhergestellten Daten sein?“</w:t>
            </w:r>
          </w:p>
        </w:tc>
        <w:tc>
          <w:tcPr/>
          <w:p>
            <w:pPr>
              <w:pStyle w:val="Compact"/>
            </w:pPr>
            <w:r>
              <w:t xml:space="preserve">15 min</w:t>
            </w:r>
          </w:p>
        </w:tc>
        <w:tc>
          <w:tcPr/>
          <w:p>
            <w:pPr>
              <w:pStyle w:val="Compact"/>
            </w:pPr>
            <w:r>
              <w:t xml:space="preserve">Planungsziel</w:t>
            </w:r>
          </w:p>
        </w:tc>
      </w:tr>
      <w:tr>
        <w:tc>
          <w:tcPr/>
          <w:p>
            <w:pPr>
              <w:pStyle w:val="Compact"/>
            </w:pPr>
            <w:r>
              <w:t xml:space="preserve">MTTR – Mean Time To Repair</w:t>
            </w:r>
          </w:p>
        </w:tc>
        <w:tc>
          <w:tcPr/>
          <w:p>
            <w:pPr>
              <w:pStyle w:val="Compact"/>
            </w:pPr>
            <w:r>
              <w:t xml:space="preserve">durchschnittliche Reparatur- bzw. Wiederherstellungszeit</w:t>
            </w:r>
          </w:p>
        </w:tc>
        <w:tc>
          <w:tcPr/>
          <w:p>
            <w:pPr>
              <w:pStyle w:val="Compact"/>
            </w:pPr>
            <w:r>
              <w:t xml:space="preserve">45 min</w:t>
            </w:r>
          </w:p>
        </w:tc>
        <w:tc>
          <w:tcPr/>
          <w:p>
            <w:pPr>
              <w:pStyle w:val="Compact"/>
            </w:pPr>
            <w:r>
              <w:t xml:space="preserve">Messwert</w:t>
            </w:r>
          </w:p>
        </w:tc>
      </w:tr>
      <w:tr>
        <w:tc>
          <w:tcPr/>
          <w:p>
            <w:pPr>
              <w:pStyle w:val="Compact"/>
            </w:pPr>
            <w:r>
              <w:t xml:space="preserve">MTBF – Mean Time Between Failures</w:t>
            </w:r>
          </w:p>
        </w:tc>
        <w:tc>
          <w:tcPr/>
          <w:p>
            <w:pPr>
              <w:pStyle w:val="Compact"/>
            </w:pPr>
            <w:r>
              <w:t xml:space="preserve">mittlere Zeit zwischen zwei Ausfällen; Maß für Zuverlässigkeit</w:t>
            </w:r>
          </w:p>
        </w:tc>
        <w:tc>
          <w:tcPr/>
          <w:p>
            <w:pPr>
              <w:pStyle w:val="Compact"/>
            </w:pPr>
            <w:r>
              <w:t xml:space="preserve">30 Tage</w:t>
            </w:r>
          </w:p>
        </w:tc>
        <w:tc>
          <w:tcPr/>
          <w:p>
            <w:pPr>
              <w:pStyle w:val="Compact"/>
            </w:pPr>
            <w:r>
              <w:t xml:space="preserve">Messwert</w:t>
            </w:r>
          </w:p>
        </w:tc>
      </w:tr>
    </w:tbl>
    <w:p>
      <w:pPr>
        <w:pStyle w:val="BodyText"/>
      </w:pPr>
      <w:r>
        <w:t xml:space="preserve">RTO und RPO sind normative bzw. vertragliche Anforderungen, MTTR und MTBF beobachtete Performance. MTBF misst Zuverlässigkeit, nicht Resilienz, ist aber ein entscheidender Parameter der Risikoexposition. In der Praxis ist Resilienz eine Optimierung unter Nebenbedingungen (Kosten, Regulatorik, Kritikalität). Normen fordern Angemessenheit, nicht absolute Minimierung.</w:t>
      </w:r>
    </w:p>
    <w:p>
      <w:pPr>
        <w:pStyle w:val="BodyText"/>
      </w:pPr>
      <w:r>
        <w:t xml:space="preserve">Bezug zur Kurve: Das RTO entspricht dem Zeitpunkt, an dem die Kurve den akzeptablen Servicelevel wieder schneidet. Das RPO definiert den Datenverlustbereich vor dem Ereignis.</w:t>
      </w:r>
    </w:p>
    <w:bookmarkEnd w:id="27"/>
    <w:bookmarkStart w:id="32" w:name="modelle-aus-frameworks"/>
    <w:p>
      <w:pPr>
        <w:pStyle w:val="Heading2"/>
      </w:pPr>
      <w:r>
        <w:t xml:space="preserve">Modelle aus Frameworks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Fokus</w:t>
            </w:r>
          </w:p>
        </w:tc>
        <w:tc>
          <w:tcPr/>
          <w:p>
            <w:pPr>
              <w:pStyle w:val="Compact"/>
            </w:pPr>
            <w:r>
              <w:t xml:space="preserve">Kernelemente laut Unterlagen</w:t>
            </w:r>
          </w:p>
        </w:tc>
      </w:tr>
      <w:tr>
        <w:tc>
          <w:tcPr/>
          <w:p>
            <w:pPr>
              <w:pStyle w:val="Compact"/>
            </w:pPr>
            <w:r>
              <w:t xml:space="preserve">NIST SP 800-160 Vol. 2</w:t>
            </w:r>
          </w:p>
        </w:tc>
        <w:tc>
          <w:tcPr/>
          <w:p>
            <w:pPr>
              <w:pStyle w:val="Compact"/>
            </w:pPr>
            <w:r>
              <w:t xml:space="preserve">Cyber Resilience Engineering</w:t>
            </w:r>
          </w:p>
        </w:tc>
        <w:tc>
          <w:tcPr/>
          <w:p>
            <w:pPr>
              <w:pStyle w:val="Compact"/>
            </w:pPr>
            <w:r>
              <w:t xml:space="preserve">Resist, Detect, Respond, Recover, Re-constitute, Adapt; Integration in Engineering und Architektur</w:t>
            </w:r>
          </w:p>
        </w:tc>
      </w:tr>
      <w:tr>
        <w:tc>
          <w:tcPr/>
          <w:p>
            <w:pPr>
              <w:pStyle w:val="Compact"/>
            </w:pPr>
            <w:r>
              <w:t xml:space="preserve">ISO/IEC 27031</w:t>
            </w:r>
          </w:p>
        </w:tc>
        <w:tc>
          <w:tcPr/>
          <w:p>
            <w:pPr>
              <w:pStyle w:val="Compact"/>
            </w:pPr>
            <w:r>
              <w:t xml:space="preserve">IKT-Bereitschaft für Business Continuity</w:t>
            </w:r>
          </w:p>
        </w:tc>
        <w:tc>
          <w:tcPr/>
          <w:p>
            <w:pPr>
              <w:pStyle w:val="Compact"/>
            </w:pPr>
            <w:r>
              <w:t xml:space="preserve">Vorbereitung, Wiederanlaufplanung, Tests &amp; Übungen, Lessons Learned; Nachweis- und Testbarkeit</w:t>
            </w:r>
          </w:p>
        </w:tc>
      </w:tr>
      <w:tr>
        <w:tc>
          <w:tcPr/>
          <w:p>
            <w:pPr>
              <w:pStyle w:val="Compact"/>
            </w:pPr>
            <w:r>
              <w:t xml:space="preserve">BSI-Standard 200-4</w:t>
            </w:r>
          </w:p>
        </w:tc>
        <w:tc>
          <w:tcPr/>
          <w:p>
            <w:pPr>
              <w:pStyle w:val="Compact"/>
            </w:pPr>
            <w:r>
              <w:t xml:space="preserve">Business Continuity Management</w:t>
            </w:r>
          </w:p>
        </w:tc>
        <w:tc>
          <w:tcPr/>
          <w:p>
            <w:pPr>
              <w:pStyle w:val="Compact"/>
            </w:pPr>
            <w:r>
              <w:t xml:space="preserve">Reifegrade, Szenarien, Notfallübungen; bewertet Organisationen, nicht nur Systeme</w:t>
            </w:r>
          </w:p>
        </w:tc>
      </w:tr>
      <w:tr>
        <w:tc>
          <w:tcPr/>
          <w:p>
            <w:pPr>
              <w:pStyle w:val="Compact"/>
            </w:pPr>
            <w:r>
              <w:t xml:space="preserve">ENISA</w:t>
            </w:r>
          </w:p>
        </w:tc>
        <w:tc>
          <w:tcPr/>
          <w:p>
            <w:pPr>
              <w:pStyle w:val="Compact"/>
            </w:pPr>
            <w:r>
              <w:t xml:space="preserve">Sektorale Resilienz (KRITIS)</w:t>
            </w:r>
          </w:p>
        </w:tc>
        <w:tc>
          <w:tcPr/>
          <w:p>
            <w:pPr>
              <w:pStyle w:val="Compact"/>
            </w:pPr>
            <w:r>
              <w:t xml:space="preserve">sektorabhängige Bedrohungsmodelle, Abhängigkeiten, Response- und Recovery-Blueprints</w:t>
            </w:r>
          </w:p>
        </w:tc>
      </w:tr>
    </w:tbl>
    <w:p>
      <w:pPr>
        <w:pStyle w:val="BodyText"/>
      </w:pPr>
      <w:r>
        <w:t xml:space="preserve">Frameworks sind keine Alternative zu Messgrößen, sondern der Ordnungsrahmen, in dem Metriken geplant, bewertet und verbessert werden.</w:t>
      </w:r>
      <w:r>
        <w:t xml:space="preserve"> </w:t>
      </w:r>
      <w:r>
        <w:rPr>
          <w:b/>
          <w:bCs/>
        </w:rPr>
        <w:t xml:space="preserve">Messgrößen erzeugen Evidenz – Frameworks verankern sie strukturell.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usr/local/lib/python3.11/dist-packages/quarto_cli/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Die NIST-Bezeichnungen, die 2025 erschienene Neuausgabe von ISO/IEC 27031 und die Stufen des BSI-Standards 200-4 (Reaktiv-, Aufbau-, Standard-BCMS) sind unter</w:t>
            </w:r>
            <w:r>
              <w:t xml:space="preserve"> </w:t>
            </w:r>
            <w:hyperlink r:id="rId31">
              <w:r>
                <w:rPr>
                  <w:rStyle w:val="Hyperlink"/>
                </w:rPr>
                <w:t xml:space="preserve">Quellen</w:t>
              </w:r>
            </w:hyperlink>
            <w:r>
              <w:t xml:space="preserve"> </w:t>
            </w:r>
            <w:r>
              <w:t xml:space="preserve">erläutert.</w:t>
            </w:r>
          </w:p>
          <w:p/>
        </w:tc>
      </w:tr>
    </w:tbl>
    <w:bookmarkEnd w:id="32"/>
    <w:bookmarkStart w:id="33" w:name="messmethoden-und-kpis"/>
    <w:p>
      <w:pPr>
        <w:pStyle w:val="Heading2"/>
      </w:pPr>
      <w:r>
        <w:t xml:space="preserve">Messmethoden und KPIs</w:t>
      </w:r>
    </w:p>
    <w:p>
      <w:pPr>
        <w:pStyle w:val="Compact"/>
        <w:numPr>
          <w:ilvl w:val="0"/>
          <w:numId w:val="1004"/>
        </w:numPr>
      </w:pPr>
      <w:r>
        <w:rPr>
          <w:b/>
          <w:bCs/>
        </w:rPr>
        <w:t xml:space="preserve">Technisch:</w:t>
      </w:r>
      <w:r>
        <w:t xml:space="preserve"> </w:t>
      </w:r>
      <w:r>
        <w:t xml:space="preserve">Monitoring, MTTR, Backup-Tests</w:t>
      </w:r>
    </w:p>
    <w:p>
      <w:pPr>
        <w:pStyle w:val="Compact"/>
        <w:numPr>
          <w:ilvl w:val="0"/>
          <w:numId w:val="1004"/>
        </w:numPr>
      </w:pPr>
      <w:r>
        <w:rPr>
          <w:b/>
          <w:bCs/>
        </w:rPr>
        <w:t xml:space="preserve">Organisatorisch:</w:t>
      </w:r>
      <w:r>
        <w:t xml:space="preserve"> </w:t>
      </w:r>
      <w:r>
        <w:t xml:space="preserve">BCM-KPIs, Audit-Indikatoren</w:t>
      </w:r>
    </w:p>
    <w:p>
      <w:pPr>
        <w:pStyle w:val="Compact"/>
        <w:numPr>
          <w:ilvl w:val="0"/>
          <w:numId w:val="1004"/>
        </w:numPr>
      </w:pPr>
      <w:r>
        <w:rPr>
          <w:b/>
          <w:bCs/>
        </w:rPr>
        <w:t xml:space="preserve">Subjektiv:</w:t>
      </w:r>
      <w:r>
        <w:t xml:space="preserve"> </w:t>
      </w:r>
      <w:r>
        <w:t xml:space="preserve">Selbstbewertungen, Reifegradanalysen</w:t>
      </w:r>
    </w:p>
    <w:bookmarkEnd w:id="33"/>
    <w:bookmarkStart w:id="34" w:name="reifegradmodelle"/>
    <w:p>
      <w:pPr>
        <w:pStyle w:val="Heading2"/>
      </w:pPr>
      <w:r>
        <w:t xml:space="preserve">Reifegradmodelle</w:t>
      </w:r>
    </w:p>
    <w:p>
      <w:pPr>
        <w:pStyle w:val="FirstParagraph"/>
      </w:pPr>
      <w:r>
        <w:t xml:space="preserve">Quantitative Messung beantwortet: „Wie verhält sich das System im Störfall?“ Ein Reifegradmodell beantwortet: „Wie gut ist die Organisation vorbereitet, bevor der Störfall eintritt?“ Reifegradmodelle steuern zukünftige Fähigkeit; sie sind ein Governance-Instrument.</w:t>
      </w:r>
    </w:p>
    <w:p>
      <w:pPr>
        <w:pStyle w:val="BodyText"/>
      </w:pPr>
      <w:r>
        <w:t xml:space="preserve">Typischer Entwicklungspfad in fünf Stufen:</w:t>
      </w:r>
      <w:r>
        <w:t xml:space="preserve"> </w:t>
      </w:r>
      <w:r>
        <w:rPr>
          <w:b/>
          <w:bCs/>
        </w:rPr>
        <w:t xml:space="preserve">Ad hoc</w:t>
      </w:r>
      <w:r>
        <w:t xml:space="preserve"> </w:t>
      </w:r>
      <w:r>
        <w:t xml:space="preserve">(reaktive Einzelaktionen) –</w:t>
      </w:r>
      <w:r>
        <w:t xml:space="preserve"> </w:t>
      </w:r>
      <w:r>
        <w:rPr>
          <w:b/>
          <w:bCs/>
        </w:rPr>
        <w:t xml:space="preserve">definiert</w:t>
      </w:r>
      <w:r>
        <w:t xml:space="preserve"> </w:t>
      </w:r>
      <w:r>
        <w:t xml:space="preserve">(Prozesse existieren, wirken aber noch nicht zuverlässig) –</w:t>
      </w:r>
      <w:r>
        <w:t xml:space="preserve"> </w:t>
      </w:r>
      <w:r>
        <w:rPr>
          <w:b/>
          <w:bCs/>
        </w:rPr>
        <w:t xml:space="preserve">etabliert</w:t>
      </w:r>
      <w:r>
        <w:t xml:space="preserve"> </w:t>
      </w:r>
      <w:r>
        <w:t xml:space="preserve">(Rollen, Tests, Nachweise, KPIs verankert) –</w:t>
      </w:r>
      <w:r>
        <w:t xml:space="preserve"> </w:t>
      </w:r>
      <w:r>
        <w:rPr>
          <w:b/>
          <w:bCs/>
        </w:rPr>
        <w:t xml:space="preserve">gesteuert</w:t>
      </w:r>
      <w:r>
        <w:t xml:space="preserve"> </w:t>
      </w:r>
      <w:r>
        <w:t xml:space="preserve">(Messgrößen werden genutzt, Lessons Learned etabliert) –</w:t>
      </w:r>
      <w:r>
        <w:t xml:space="preserve"> </w:t>
      </w:r>
      <w:r>
        <w:rPr>
          <w:b/>
          <w:bCs/>
        </w:rPr>
        <w:t xml:space="preserve">optimiert</w:t>
      </w:r>
      <w:r>
        <w:t xml:space="preserve"> </w:t>
      </w:r>
      <w:r>
        <w:t xml:space="preserve">(kontinuierliche Verbesserung, Resilience by Design).</w:t>
      </w:r>
    </w:p>
    <w:p>
      <w:pPr>
        <w:pStyle w:val="BodyText"/>
      </w:pPr>
      <w:r>
        <w:t xml:space="preserve">Reifegrad und Metrik gehören zusammen:</w:t>
      </w:r>
    </w:p>
    <w:p>
      <w:pPr>
        <w:pStyle w:val="Compact"/>
        <w:numPr>
          <w:ilvl w:val="0"/>
          <w:numId w:val="1005"/>
        </w:numPr>
      </w:pPr>
      <w:r>
        <w:t xml:space="preserve">RTO-Ziel existiert, Recovery-Test nie durchgeführt → geringer Reifegrad trotz Kennzahl.</w:t>
      </w:r>
    </w:p>
    <w:p>
      <w:pPr>
        <w:pStyle w:val="Compact"/>
        <w:numPr>
          <w:ilvl w:val="0"/>
          <w:numId w:val="1005"/>
        </w:numPr>
      </w:pPr>
      <w:r>
        <w:t xml:space="preserve">MTTR sinkt über die Zeit → Hinweis auf lernende Organisation.</w:t>
      </w:r>
    </w:p>
    <w:p>
      <w:pPr>
        <w:pStyle w:val="Compact"/>
        <w:numPr>
          <w:ilvl w:val="0"/>
          <w:numId w:val="1005"/>
        </w:numPr>
      </w:pPr>
      <w:r>
        <w:t xml:space="preserve">RPO definiert und Backups getestet → Evidenz statt Policy.</w:t>
      </w:r>
    </w:p>
    <w:p>
      <w:pPr>
        <w:pStyle w:val="BlockText"/>
      </w:pPr>
      <w:r>
        <w:t xml:space="preserve">Ein hoher Reifegrad ohne gemessene Recovery ist Papiersicherheit; gemessene MTTR ohne organisatorischen Rahmen ist Zufallssicherheit. Resilienz verlangt beides.</w:t>
      </w:r>
    </w:p>
    <w:bookmarkEnd w:id="34"/>
    <w:bookmarkStart w:id="35" w:name="fallbeispiele"/>
    <w:p>
      <w:pPr>
        <w:pStyle w:val="Heading2"/>
      </w:pPr>
      <w:r>
        <w:t xml:space="preserve">Fallbeispiele</w:t>
      </w:r>
    </w:p>
    <w:p>
      <w:pPr>
        <w:pStyle w:val="Compact"/>
        <w:numPr>
          <w:ilvl w:val="0"/>
          <w:numId w:val="1006"/>
        </w:numPr>
      </w:pPr>
      <w:r>
        <w:rPr>
          <w:b/>
          <w:bCs/>
        </w:rPr>
        <w:t xml:space="preserve">Ransomware in einer Kommunalverwaltung:</w:t>
      </w:r>
      <w:r>
        <w:t xml:space="preserve"> </w:t>
      </w:r>
      <w:r>
        <w:t xml:space="preserve">Totalausfall von Fachverfahren und E-Mail, mehrtägiger Notbetrieb. Wiederanlauf nur aus Offline-Backups mit RTO von mehreren Tagen und hohem Datenverlust. Es fehlten Segmentierung, getestete Recovery-Pfade und ein getesteter BC-Plan – niedrige Resilienz trotz vorhandener Backups.</w:t>
      </w:r>
    </w:p>
    <w:p>
      <w:pPr>
        <w:pStyle w:val="Compact"/>
        <w:numPr>
          <w:ilvl w:val="0"/>
          <w:numId w:val="1006"/>
        </w:numPr>
      </w:pPr>
      <w:r>
        <w:rPr>
          <w:b/>
          <w:bCs/>
        </w:rPr>
        <w:t xml:space="preserve">AWS-Regionsausfall (2021):</w:t>
      </w:r>
      <w:r>
        <w:t xml:space="preserve"> </w:t>
      </w:r>
      <w:r>
        <w:t xml:space="preserve">Kunden mit Single-Region-Design waren offline; Multi-Region-Kunden blieben verfügbar oder schwenkten in Minuten. Architektur, nicht Plattform, entscheidet über Resilienz. (Folienbeispiel: RTO 3 h, RPO 30 min; Geo-Redundanz und Failover verkürzen beide.)</w:t>
      </w:r>
    </w:p>
    <w:p>
      <w:pPr>
        <w:pStyle w:val="Compact"/>
        <w:numPr>
          <w:ilvl w:val="0"/>
          <w:numId w:val="1006"/>
        </w:numPr>
      </w:pPr>
      <w:r>
        <w:rPr>
          <w:b/>
          <w:bCs/>
        </w:rPr>
        <w:t xml:space="preserve">Cloud-Gaming-DDoS:</w:t>
      </w:r>
      <w:r>
        <w:t xml:space="preserve"> </w:t>
      </w:r>
      <w:r>
        <w:t xml:space="preserve">Service verlangsamt statt ausgefallen (Rate-Limiting, Warteschlangen); Lastverteilung und Auto-Scaling führen zurück zu stabilem Niveau – Graceful Degradation statt Hard-Fail.</w:t>
      </w:r>
    </w:p>
    <w:p>
      <w:pPr>
        <w:pStyle w:val="FirstParagraph"/>
      </w:pPr>
      <w:r>
        <w:t xml:space="preserve">Resilienz bewertet nicht, ob ein Ereignis eintritt, sondern wie ein System danach aussieht.</w:t>
      </w:r>
    </w:p>
    <w:bookmarkEnd w:id="35"/>
    <w:bookmarkEnd w:id="36"/>
    <w:bookmarkStart w:id="37" w:name="übung-resilienz-bewerten"/>
    <w:p>
      <w:pPr>
        <w:pStyle w:val="Heading1"/>
      </w:pPr>
      <w:r>
        <w:t xml:space="preserve">Übung: Resilienz bewerten</w:t>
      </w:r>
    </w:p>
    <w:p>
      <w:pPr>
        <w:pStyle w:val="FirstParagraph"/>
      </w:pPr>
      <w:r>
        <w:t xml:space="preserve">Gruppenarbeit, 20–30 Minuten. Wählen Sie ein reales, allen bekanntes IT-System (Uni-E-Mail, Cloud-Speicher, Banking-App, Cloud-Gaming-Dienst, Krankenhaus- oder Verwaltungs-IT, Smart-Home-Plattform).</w:t>
      </w:r>
    </w:p>
    <w:p>
      <w:pPr>
        <w:pStyle w:val="Compact"/>
        <w:numPr>
          <w:ilvl w:val="0"/>
          <w:numId w:val="1007"/>
        </w:numPr>
      </w:pPr>
      <w:r>
        <w:rPr>
          <w:b/>
          <w:bCs/>
        </w:rPr>
        <w:t xml:space="preserve">Metriken realistisch schätzen:</w:t>
      </w:r>
      <w:r>
        <w:t xml:space="preserve"> </w:t>
      </w:r>
      <w:r>
        <w:t xml:space="preserve">Welches RTO wäre angemessen? Welcher RPO tolerierbar? Ist die MTTR aus Statusseiten oder öffentlichen Incidents erkennbar?</w:t>
      </w:r>
    </w:p>
    <w:p>
      <w:pPr>
        <w:pStyle w:val="Compact"/>
        <w:numPr>
          <w:ilvl w:val="0"/>
          <w:numId w:val="1007"/>
        </w:numPr>
      </w:pPr>
      <w:r>
        <w:rPr>
          <w:b/>
          <w:bCs/>
        </w:rPr>
        <w:t xml:space="preserve">Reifegrad qualitativ bewerten:</w:t>
      </w:r>
      <w:r>
        <w:t xml:space="preserve"> </w:t>
      </w:r>
      <w:r>
        <w:t xml:space="preserve">Ad hoc oder professionell vorbereitet? Hinweise auf Übungen, Chaos Engineering, DR-Tests? Redundanz, Diversität oder Single Points of Failure?</w:t>
      </w:r>
    </w:p>
    <w:p>
      <w:pPr>
        <w:pStyle w:val="Compact"/>
        <w:numPr>
          <w:ilvl w:val="0"/>
          <w:numId w:val="1007"/>
        </w:numPr>
      </w:pPr>
      <w:r>
        <w:rPr>
          <w:b/>
          <w:bCs/>
        </w:rPr>
        <w:t xml:space="preserve">Kurzfazit:</w:t>
      </w:r>
      <w:r>
        <w:t xml:space="preserve"> </w:t>
      </w:r>
      <w:r>
        <w:t xml:space="preserve">Ist das System eher resilient, bedingt resilient oder fragil – und warum?</w:t>
      </w:r>
    </w:p>
    <w:p>
      <w:pPr>
        <w:pStyle w:val="FirstParagraph"/>
      </w:pPr>
      <w:r>
        <w:t xml:space="preserve">Ergebnis: 1–2 Folien oder ein strukturiertes Kurzstatement mit höchstens fünf Stichpunkten je Dimension. Ziel ist nicht perfekte Recherche, sondern das Denken in Resilienzmetriken und der Unterschied zwischen</w:t>
      </w:r>
      <w:r>
        <w:t xml:space="preserve"> </w:t>
      </w:r>
      <w:r>
        <w:rPr>
          <w:i/>
          <w:iCs/>
        </w:rPr>
        <w:t xml:space="preserve">gefühlt sicher</w:t>
      </w:r>
      <w:r>
        <w:t xml:space="preserve"> </w:t>
      </w:r>
      <w:r>
        <w:t xml:space="preserve">und</w:t>
      </w:r>
      <w:r>
        <w:t xml:space="preserve"> </w:t>
      </w:r>
      <w:r>
        <w:rPr>
          <w:i/>
          <w:iCs/>
        </w:rPr>
        <w:t xml:space="preserve">nachweislich resilient</w:t>
      </w:r>
      <w:r>
        <w:t xml:space="preserve">.</w:t>
      </w:r>
    </w:p>
    <w:bookmarkEnd w:id="37"/>
    <w:bookmarkStart w:id="38" w:name="prüfungsrelevante-leitfragen"/>
    <w:p>
      <w:pPr>
        <w:pStyle w:val="Heading1"/>
      </w:pPr>
      <w:r>
        <w:t xml:space="preserve">Prüfungsrelevante Leitfragen</w:t>
      </w:r>
    </w:p>
    <w:p>
      <w:pPr>
        <w:pStyle w:val="Compact"/>
        <w:numPr>
          <w:ilvl w:val="0"/>
          <w:numId w:val="1008"/>
        </w:numPr>
      </w:pPr>
      <w:r>
        <w:t xml:space="preserve">Wie unterscheidet sich Resilienzmessung von klassischer Sicherheitsbewertung?</w:t>
      </w:r>
    </w:p>
    <w:p>
      <w:pPr>
        <w:pStyle w:val="Compact"/>
        <w:numPr>
          <w:ilvl w:val="0"/>
          <w:numId w:val="1008"/>
        </w:numPr>
      </w:pPr>
      <w:r>
        <w:t xml:space="preserve">Erklären Sie RTO und RPO und ordnen Sie deren Funktion im BCM-Kontext ein.</w:t>
      </w:r>
    </w:p>
    <w:p>
      <w:pPr>
        <w:pStyle w:val="Compact"/>
        <w:numPr>
          <w:ilvl w:val="0"/>
          <w:numId w:val="1008"/>
        </w:numPr>
      </w:pPr>
      <w:r>
        <w:t xml:space="preserve">Wie verortet NIST SP 800-160 Vol. 2 Resilience Engineering im Lebenszyklus?</w:t>
      </w:r>
    </w:p>
    <w:p>
      <w:pPr>
        <w:pStyle w:val="Compact"/>
        <w:numPr>
          <w:ilvl w:val="0"/>
          <w:numId w:val="1008"/>
        </w:numPr>
      </w:pPr>
      <w:r>
        <w:t xml:space="preserve">Welchen Zweck erfüllen Reifegradmodelle, etwa im Umfeld des BSI-Standards 200-4?</w:t>
      </w:r>
    </w:p>
    <w:p>
      <w:pPr>
        <w:pStyle w:val="Compact"/>
        <w:numPr>
          <w:ilvl w:val="0"/>
          <w:numId w:val="1008"/>
        </w:numPr>
      </w:pPr>
      <w:r>
        <w:t xml:space="preserve">Warum ist Recovery-Übung eine notwendige Bedingung für Resilienz?</w:t>
      </w:r>
    </w:p>
    <w:p>
      <w:pPr>
        <w:pStyle w:val="FirstParagraph"/>
      </w:pPr>
      <w:r>
        <w:rPr>
          <w:b/>
          <w:bCs/>
        </w:rPr>
        <w:t xml:space="preserve">Kernbotschaften:</w:t>
      </w:r>
      <w:r>
        <w:t xml:space="preserve"> </w:t>
      </w:r>
      <w:r>
        <w:t xml:space="preserve">Resilienz zeigt sich im Verlauf von Störung und Wiederherstellung. RTO/RPO sind Zielgrößen, MTTR/MTBF Messgrößen – beide sind notwendig. Frameworks schaffen Verbindlichkeit und Vergleichbarkeit. Reifegradmodelle bewerten Fähigkeit vor dem Ereignis. Resilienz ist eine Eigenschaft von Architektur, Organisation und Übung.</w:t>
      </w:r>
    </w:p>
    <w:bookmarkEnd w:id="38"/>
    <w:bookmarkStart w:id="39" w:name="vor--und-nachbereitung"/>
    <w:p>
      <w:pPr>
        <w:pStyle w:val="Heading1"/>
      </w:pPr>
      <w:r>
        <w:t xml:space="preserve">Vor- und Nachbereitung</w:t>
      </w:r>
    </w:p>
    <w:p>
      <w:pPr>
        <w:pStyle w:val="FirstParagraph"/>
      </w:pPr>
      <w:r>
        <w:rPr>
          <w:b/>
          <w:bCs/>
        </w:rPr>
        <w:t xml:space="preserve">Hausaufgabe:</w:t>
      </w:r>
      <w:r>
        <w:t xml:space="preserve"> </w:t>
      </w:r>
      <w:r>
        <w:t xml:space="preserve">Recherchieren Sie ein reales IT-Ereignis (z. B. AWS-Ausfall, Ransomware-Vorfall, Rechenzentrumsbrand) und analysieren Sie, wie schnell der Dienst wiederhergestellt wurde und welche Daten gegebenenfalls verloren gingen.</w:t>
      </w:r>
    </w:p>
    <w:p>
      <w:pPr>
        <w:pStyle w:val="BodyText"/>
      </w:pPr>
      <w:r>
        <w:rPr>
          <w:b/>
          <w:bCs/>
        </w:rPr>
        <w:t xml:space="preserve">Ausblick Termin 3:</w:t>
      </w:r>
      <w:r>
        <w:t xml:space="preserve"> </w:t>
      </w:r>
      <w:r>
        <w:t xml:space="preserve">Redundanz, Diversität, Wiederherstellbarkeit und Adaptivität in hybrid verteilten Systemen – die Brücke von der Messung zur Architektur.</w:t>
      </w:r>
    </w:p>
    <w:bookmarkEnd w:id="39"/>
    <w:bookmarkStart w:id="40" w:name="material-aus-dem-archiv"/>
    <w:p>
      <w:pPr>
        <w:pStyle w:val="Heading1"/>
      </w:pPr>
      <w:r>
        <w:t xml:space="preserve">Material aus dem Archiv</w:t>
      </w:r>
    </w:p>
    <w:p>
      <w:pPr>
        <w:pStyle w:val="FirstParagraph"/>
      </w:pPr>
      <w:r>
        <w:rPr>
          <w:rStyle w:val="VerbatimChar"/>
        </w:rPr>
        <w:t xml:space="preserve">02 Modelle und Messbarkeit/02_Modelle und Messbarkeit der Resilienz.pdf</w:t>
      </w:r>
      <w:r>
        <w:t xml:space="preserve"> </w:t>
      </w:r>
      <w:r>
        <w:t xml:space="preserve">und</w:t>
      </w:r>
      <w:r>
        <w:t xml:space="preserve"> </w:t>
      </w:r>
      <w:r>
        <w:rPr>
          <w:rStyle w:val="VerbatimChar"/>
        </w:rPr>
        <w:t xml:space="preserve">Grundlagen der Resilienz 2.pdf</w:t>
      </w:r>
      <w:r>
        <w:t xml:space="preserve"> </w:t>
      </w:r>
      <w:r>
        <w:t xml:space="preserve">(Skript).</w:t>
      </w:r>
    </w:p>
    <w:bookmarkEnd w:id="40"/>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hyperlink" Id="rId31" Target="../quellen.html#hinweise-zur-aktualit&#228;t" TargetMode="External" /></Relationships>
</file>

<file path=word/_rels/footnotes.xml.rels><?xml version="1.0" encoding="UTF-8"?><Relationships xmlns="http://schemas.openxmlformats.org/package/2006/relationships"><Relationship Type="http://schemas.openxmlformats.org/officeDocument/2006/relationships/hyperlink" Id="rId31" Target="../quellen.html#hinweise-zur-aktualit&#228;t"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 2 – Modelle und Messbarkeit der Resilienz</dc:title>
  <dc:creator>Prof. Dr. Dirk Loomans</dc:creator>
  <dc:language>de</dc:language>
  <cp:keywords/>
  <dcterms:created xsi:type="dcterms:W3CDTF">2026-09-29T10:45:33Z</dcterms:created>
  <dcterms:modified xsi:type="dcterms:W3CDTF">2026-09-29T10:45:33Z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toc-title">
    <vt:lpwstr>Inhaltsverzeichnis</vt:lpwstr>
  </property>
</Properties>
</file>