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Termin 4 – Cyber-Bedrohungen und Resilienzstrategien</w:t>
      </w:r>
    </w:p>
    <w:p>
      <w:pPr>
        <w:pStyle w:val="Author"/>
      </w:pPr>
      <w:r>
        <w:t xml:space="preserve">Prof. Dr. Dirk Loomans</w:t>
      </w:r>
    </w:p>
    <w:p>
      <w:pPr>
        <w:pStyle w:val="Date"/>
      </w:pPr>
      <w:r>
        <w:t xml:space="preserve">29. September 2026</w:t>
      </w:r>
    </w:p>
    <w:p>
      <w:pPr>
        <w:pStyle w:val="FirstParagraph"/>
      </w:pPr>
      <w:r>
        <w:rPr>
          <w:b/>
          <w:bCs/>
        </w:rPr>
        <w:t xml:space="preserve">Vorlesungsskript · Grundlagen der Resilienz</w:t>
      </w:r>
      <w:r>
        <w:t xml:space="preserve"> </w:t>
      </w:r>
      <w:r>
        <w:t xml:space="preserve">· Cyber Security Management (B.Sc.), 1. Semester · Hochschule Mainz</w:t>
      </w:r>
    </w:p>
    <w:p>
      <w:pPr>
        <w:pStyle w:val="BodyText"/>
      </w:pPr>
      <w:r>
        <w:rPr>
          <w:i/>
          <w:iCs/>
        </w:rPr>
        <w:t xml:space="preserve">Vorbemerkung:</w:t>
      </w:r>
      <w:r>
        <w:t xml:space="preserve"> </w:t>
      </w:r>
      <w:r>
        <w:t xml:space="preserve">Dieses Skript dient als Vorlesungsbegleitung und erhebt keinen akademischen Anspruch. Dennoch kann es bei der Klausurvorbereitung hilfreich sein. Kommentare und Verbesserungsvorschläge gerne an den Autor über dirk.loomans@hs-mainz.de.</w:t>
      </w:r>
    </w:p>
    <w:bookmarkStart w:id="19" w:name="leitfrage"/>
    <w:p>
      <w:pPr>
        <w:pStyle w:val="Heading1"/>
      </w:pPr>
      <w:r>
        <w:t xml:space="preserve">Leitfrage</w:t>
      </w:r>
    </w:p>
    <w:p>
      <w:pPr>
        <w:pStyle w:val="BlockText"/>
      </w:pPr>
      <w:r>
        <w:t xml:space="preserve">Gegen welche konkrete Störung soll ein System resilient sein – und welche Fähigkeit braucht es dafür?</w:t>
      </w:r>
    </w:p>
    <w:bookmarkEnd w:id="19"/>
    <w:bookmarkStart w:id="20" w:name="lernziele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Nach diesem Termin können Studierende</w:t>
      </w:r>
    </w:p>
    <w:p>
      <w:pPr>
        <w:pStyle w:val="Compact"/>
        <w:numPr>
          <w:ilvl w:val="0"/>
          <w:numId w:val="1001"/>
        </w:numPr>
      </w:pPr>
      <w:r>
        <w:t xml:space="preserve">Bedrohungen als Treiber von Resilienzanforderungen identifizieren (Ransomware, DDoS, Cloud-Ausfall, Identity-Ausfall, Human Failure, Supply Chain),</w:t>
      </w:r>
    </w:p>
    <w:p>
      <w:pPr>
        <w:pStyle w:val="Compact"/>
        <w:numPr>
          <w:ilvl w:val="0"/>
          <w:numId w:val="1001"/>
        </w:numPr>
      </w:pPr>
      <w:r>
        <w:t xml:space="preserve">Bedrohungen den vier Resilienzprinzipien zuordnen (Threat → Capability),</w:t>
      </w:r>
    </w:p>
    <w:p>
      <w:pPr>
        <w:pStyle w:val="Compact"/>
        <w:numPr>
          <w:ilvl w:val="0"/>
          <w:numId w:val="1001"/>
        </w:numPr>
      </w:pPr>
      <w:r>
        <w:t xml:space="preserve">konkrete technische Maßnahmen ableiten, die Funktionsfähigkeit erhalten oder wiederherstellen – nicht im Sinne von Prävention.</w:t>
      </w:r>
    </w:p>
    <w:bookmarkEnd w:id="20"/>
    <w:bookmarkStart w:id="30" w:name="fachinhalte"/>
    <w:p>
      <w:pPr>
        <w:pStyle w:val="Heading1"/>
      </w:pPr>
      <w:r>
        <w:t xml:space="preserve">Fachinhalte</w:t>
      </w:r>
    </w:p>
    <w:bookmarkStart w:id="21" w:name="resilienz-ist-relational"/>
    <w:p>
      <w:pPr>
        <w:pStyle w:val="Heading2"/>
      </w:pPr>
      <w:r>
        <w:t xml:space="preserve">Resilienz ist relational</w:t>
      </w:r>
    </w:p>
    <w:p>
      <w:pPr>
        <w:pStyle w:val="FirstParagraph"/>
      </w:pPr>
      <w:r>
        <w:t xml:space="preserve">Die Sitzungen 1–3 haben Resilienz definiert, gemessen und architektonisch begründet. Nun wird derselbe Gegenstand bedrohungsgetrieben betrachtet. Ein System ist nur insofern resilient, als es gegen etwas Konkretes widerstands- oder wiederherstellungsfähig ist.</w:t>
      </w:r>
    </w:p>
    <w:p>
      <w:pPr>
        <w:pStyle w:val="Compact"/>
        <w:numPr>
          <w:ilvl w:val="0"/>
          <w:numId w:val="1002"/>
        </w:numPr>
      </w:pPr>
      <w:r>
        <w:t xml:space="preserve">Resilienz = Widerstand + Wiederherstellung gegen konkrete Ereignisse.</w:t>
      </w:r>
    </w:p>
    <w:p>
      <w:pPr>
        <w:pStyle w:val="Compact"/>
        <w:numPr>
          <w:ilvl w:val="0"/>
          <w:numId w:val="1002"/>
        </w:numPr>
      </w:pPr>
      <w:r>
        <w:t xml:space="preserve">Ohne Threat-Bezug bleiben Maßnahmen im Leeren.</w:t>
      </w:r>
    </w:p>
    <w:p>
      <w:pPr>
        <w:pStyle w:val="Compact"/>
        <w:numPr>
          <w:ilvl w:val="0"/>
          <w:numId w:val="1002"/>
        </w:numPr>
      </w:pPr>
      <w:r>
        <w:t xml:space="preserve">Das Mapping ermöglicht Priorisierung und Budgetfokus.</w:t>
      </w:r>
    </w:p>
    <w:p>
      <w:pPr>
        <w:pStyle w:val="Compact"/>
        <w:numPr>
          <w:ilvl w:val="0"/>
          <w:numId w:val="1002"/>
        </w:numPr>
      </w:pPr>
      <w:r>
        <w:t xml:space="preserve">Es ist die Grundlage für Risk-based Resilience Engineering.</w:t>
      </w:r>
    </w:p>
    <w:p>
      <w:pPr>
        <w:pStyle w:val="FirstParagraph"/>
      </w:pPr>
      <w:r>
        <w:t xml:space="preserve">Die Sitzung beantwortet nicht, wie man Angriffe verhindert, sondern wie Systeme trotz realer Ereignisse funktionsfähig bleiben oder kontrolliert zurückkehren.</w:t>
      </w:r>
    </w:p>
    <w:bookmarkEnd w:id="21"/>
    <w:bookmarkStart w:id="28" w:name="sechs-bedrohungsklassen"/>
    <w:p>
      <w:pPr>
        <w:pStyle w:val="Heading2"/>
      </w:pPr>
      <w:r>
        <w:t xml:space="preserve">Sechs Bedrohungsklassen</w:t>
      </w:r>
    </w:p>
    <w:p>
      <w:pPr>
        <w:pStyle w:val="FirstParagraph"/>
      </w:pPr>
      <w:r>
        <w:t xml:space="preserve">Die Klassen unterscheiden sich weniger in ihrer Ursache als in ihrem Wirkmechanismus. Sie konvergieren in ihren Effekten: Verlust von Verfügbarkeit, Nutzbarkeit, Steuerbarkeit oder Integrität.</w:t>
      </w:r>
    </w:p>
    <w:bookmarkStart w:id="22" w:name="ransomware-und-destruktive-malware"/>
    <w:p>
      <w:pPr>
        <w:pStyle w:val="Heading3"/>
      </w:pPr>
      <w:r>
        <w:t xml:space="preserve">1. Ransomware und destruktive Malware</w:t>
      </w:r>
    </w:p>
    <w:p>
      <w:pPr>
        <w:pStyle w:val="FirstParagraph"/>
      </w:pPr>
      <w:r>
        <w:rPr>
          <w:b/>
          <w:bCs/>
        </w:rPr>
        <w:t xml:space="preserve">Wirkprinzip:</w:t>
      </w:r>
      <w:r>
        <w:t xml:space="preserve"> </w:t>
      </w:r>
      <w:r>
        <w:t xml:space="preserve">Verschlüsselung, Löschung oder Sabotage von Primärsystemen – bei lateraler Ausbreitung auch von Replikaten und Backups.</w:t>
      </w:r>
    </w:p>
    <w:p>
      <w:pPr>
        <w:pStyle w:val="BodyText"/>
      </w:pPr>
      <w:r>
        <w:rPr>
          <w:b/>
          <w:bCs/>
        </w:rPr>
        <w:t xml:space="preserve">Resilienzstrategien:</w:t>
      </w:r>
      <w:r>
        <w:t xml:space="preserve"> </w:t>
      </w:r>
      <w:r>
        <w:t xml:space="preserve">Immutable- oder Offline-Backups außerhalb des Blast Radius; Netzwerk- und Domain-Segmentierung; Gold-Images und Clean-Room-Recovery; Recovery-Tests statt Papierpläne.</w:t>
      </w:r>
    </w:p>
    <w:p>
      <w:pPr>
        <w:pStyle w:val="BodyText"/>
      </w:pPr>
      <w:r>
        <w:rPr>
          <w:b/>
          <w:bCs/>
        </w:rPr>
        <w:t xml:space="preserve">Zielgröße:</w:t>
      </w:r>
      <w:r>
        <w:t xml:space="preserve"> </w:t>
      </w:r>
      <w:r>
        <w:t xml:space="preserve">RTO und RPO niedrig halten, auch bei kompromittierter Produktion. Wiederherstellbarkeit schlägt Prävention.</w:t>
      </w:r>
    </w:p>
    <w:bookmarkEnd w:id="22"/>
    <w:bookmarkStart w:id="23" w:name="ddos-und-lastangriffe"/>
    <w:p>
      <w:pPr>
        <w:pStyle w:val="Heading3"/>
      </w:pPr>
      <w:r>
        <w:t xml:space="preserve">2. DDoS und Lastangriffe</w:t>
      </w:r>
    </w:p>
    <w:p>
      <w:pPr>
        <w:pStyle w:val="FirstParagraph"/>
      </w:pPr>
      <w:r>
        <w:rPr>
          <w:b/>
          <w:bCs/>
        </w:rPr>
        <w:t xml:space="preserve">Wirkprinzip:</w:t>
      </w:r>
      <w:r>
        <w:t xml:space="preserve"> </w:t>
      </w:r>
      <w:r>
        <w:t xml:space="preserve">Ressourcen werden schneller verbraucht, als sie bereitgestellt werden können. Der Dienst ist technisch intakt, aber nicht konsumierbar.</w:t>
      </w:r>
    </w:p>
    <w:p>
      <w:pPr>
        <w:pStyle w:val="BodyText"/>
      </w:pPr>
      <w:r>
        <w:rPr>
          <w:b/>
          <w:bCs/>
        </w:rPr>
        <w:t xml:space="preserve">Resilienzstrategien:</w:t>
      </w:r>
      <w:r>
        <w:t xml:space="preserve"> </w:t>
      </w:r>
      <w:r>
        <w:t xml:space="preserve">Anycast-CDN und Traffic-Scrubbing; Auto-Scaling und Rate-Limiting; Graceful Degradation; API-Quotas und Circuit Breaker.</w:t>
      </w:r>
    </w:p>
    <w:p>
      <w:pPr>
        <w:pStyle w:val="BodyText"/>
      </w:pPr>
      <w:r>
        <w:rPr>
          <w:b/>
          <w:bCs/>
        </w:rPr>
        <w:t xml:space="preserve">Ziel:</w:t>
      </w:r>
      <w:r>
        <w:t xml:space="preserve"> </w:t>
      </w:r>
      <w:r>
        <w:t xml:space="preserve">Der Dienst bleibt nutzbar – nicht perfekt, aber funktional. Adaptivität als Resilienzform.</w:t>
      </w:r>
    </w:p>
    <w:bookmarkEnd w:id="23"/>
    <w:bookmarkStart w:id="24" w:name="X54e67d9748601bc7116185cb70f5da6f3daf1ab"/>
    <w:p>
      <w:pPr>
        <w:pStyle w:val="Heading3"/>
      </w:pPr>
      <w:r>
        <w:t xml:space="preserve">3. Cloud-Provider- oder Rechenzentrumsausfall</w:t>
      </w:r>
    </w:p>
    <w:p>
      <w:pPr>
        <w:pStyle w:val="FirstParagraph"/>
      </w:pPr>
      <w:r>
        <w:rPr>
          <w:b/>
          <w:bCs/>
        </w:rPr>
        <w:t xml:space="preserve">Wirkprinzip:</w:t>
      </w:r>
      <w:r>
        <w:t xml:space="preserve"> </w:t>
      </w:r>
      <w:r>
        <w:t xml:space="preserve">Die Umgebung fällt exogen aus; Redundanz auf Anbieterebene bricht weg.</w:t>
      </w:r>
    </w:p>
    <w:p>
      <w:pPr>
        <w:pStyle w:val="BodyText"/>
      </w:pPr>
      <w:r>
        <w:rPr>
          <w:b/>
          <w:bCs/>
        </w:rPr>
        <w:t xml:space="preserve">Resilienzstrategien:</w:t>
      </w:r>
      <w:r>
        <w:t xml:space="preserve"> </w:t>
      </w:r>
      <w:r>
        <w:t xml:space="preserve">Multi-AZ-Deployment; Cross-Region-Failover; Multi-Cloud für kritische Workloads; lokaler Fallback für Mindestfunktion; Trennung von Steuer- und Ausführungsdomäne.</w:t>
      </w:r>
    </w:p>
    <w:p>
      <w:pPr>
        <w:pStyle w:val="BodyText"/>
      </w:pPr>
      <w:r>
        <w:rPr>
          <w:b/>
          <w:bCs/>
        </w:rPr>
        <w:t xml:space="preserve">Lehrsatz:</w:t>
      </w:r>
      <w:r>
        <w:t xml:space="preserve"> </w:t>
      </w:r>
      <w:r>
        <w:t xml:space="preserve">Provider ≠ Resilienz – Architektur entscheidet.</w:t>
      </w:r>
    </w:p>
    <w:bookmarkEnd w:id="24"/>
    <w:bookmarkStart w:id="25" w:name="identity-ausfall-idp-als-spof"/>
    <w:p>
      <w:pPr>
        <w:pStyle w:val="Heading3"/>
      </w:pPr>
      <w:r>
        <w:t xml:space="preserve">4. Identity-Ausfall (IdP als SPOF)</w:t>
      </w:r>
    </w:p>
    <w:p>
      <w:pPr>
        <w:pStyle w:val="FirstParagraph"/>
      </w:pPr>
      <w:r>
        <w:rPr>
          <w:b/>
          <w:bCs/>
        </w:rPr>
        <w:t xml:space="preserve">Wirkprinzip:</w:t>
      </w:r>
      <w:r>
        <w:t xml:space="preserve"> </w:t>
      </w:r>
      <w:r>
        <w:t xml:space="preserve">Systeme sind technisch verfügbar, aber nicht benutzbar (Lockout), weil Authentisierung oder Token-Ausgabe zentral blockiert ist.</w:t>
      </w:r>
    </w:p>
    <w:p>
      <w:pPr>
        <w:pStyle w:val="BodyText"/>
      </w:pPr>
      <w:r>
        <w:rPr>
          <w:b/>
          <w:bCs/>
        </w:rPr>
        <w:t xml:space="preserve">Resilienzstrategien:</w:t>
      </w:r>
      <w:r>
        <w:t xml:space="preserve"> </w:t>
      </w:r>
      <w:r>
        <w:t xml:space="preserve">Break-Glass-Accounts lokal und offline; zweiter unabhängiger IdP oder Fallback-Authentisierung; Notfallzugang ohne Cloud-Abhängigkeit; Minimierung globaler Koppelstellen.</w:t>
      </w:r>
    </w:p>
    <w:p>
      <w:pPr>
        <w:pStyle w:val="BodyText"/>
      </w:pPr>
      <w:r>
        <w:rPr>
          <w:b/>
          <w:bCs/>
        </w:rPr>
        <w:t xml:space="preserve">Kernaussage:</w:t>
      </w:r>
      <w:r>
        <w:t xml:space="preserve"> </w:t>
      </w:r>
      <w:r>
        <w:t xml:space="preserve">Identity ist oft der versteckte Single Point of Failure.</w:t>
      </w:r>
    </w:p>
    <w:bookmarkEnd w:id="25"/>
    <w:bookmarkStart w:id="26" w:name="human-failure-und-fehlkonfiguration"/>
    <w:p>
      <w:pPr>
        <w:pStyle w:val="Heading3"/>
      </w:pPr>
      <w:r>
        <w:t xml:space="preserve">5. Human Failure und Fehlkonfiguration</w:t>
      </w:r>
    </w:p>
    <w:p>
      <w:pPr>
        <w:pStyle w:val="FirstParagraph"/>
      </w:pPr>
      <w:r>
        <w:rPr>
          <w:b/>
          <w:bCs/>
        </w:rPr>
        <w:t xml:space="preserve">Wirkprinzip:</w:t>
      </w:r>
      <w:r>
        <w:t xml:space="preserve"> </w:t>
      </w:r>
      <w:r>
        <w:t xml:space="preserve">Fehler propagieren systemisch über Automatisierung (IaC, CI/CD, Admin-Fehler); aus einem lokalen Fehler wird ein systemischer.</w:t>
      </w:r>
    </w:p>
    <w:p>
      <w:pPr>
        <w:pStyle w:val="BodyText"/>
      </w:pPr>
      <w:r>
        <w:rPr>
          <w:b/>
          <w:bCs/>
        </w:rPr>
        <w:t xml:space="preserve">Resilienzstrategien:</w:t>
      </w:r>
      <w:r>
        <w:t xml:space="preserve"> </w:t>
      </w:r>
      <w:r>
        <w:t xml:space="preserve">Vier-Augen-Prinzip und Separation of Duties; Staging, Canary Deployment, Feature Flags; Rollback- und Snapshot-Fähigkeit; Auditierbarkeit und Post-Mortem-Kultur statt Schuldsuche.</w:t>
      </w:r>
    </w:p>
    <w:p>
      <w:pPr>
        <w:pStyle w:val="BodyText"/>
      </w:pPr>
      <w:r>
        <w:rPr>
          <w:b/>
          <w:bCs/>
        </w:rPr>
        <w:t xml:space="preserve">Prinzipbezug:</w:t>
      </w:r>
      <w:r>
        <w:t xml:space="preserve"> </w:t>
      </w:r>
      <w:r>
        <w:t xml:space="preserve">Wiederherstellbarkeit und Governance.</w:t>
      </w:r>
    </w:p>
    <w:bookmarkEnd w:id="26"/>
    <w:bookmarkStart w:id="27" w:name="supply-chain-angriff"/>
    <w:p>
      <w:pPr>
        <w:pStyle w:val="Heading3"/>
      </w:pPr>
      <w:r>
        <w:t xml:space="preserve">6. Supply-Chain-Angriff</w:t>
      </w:r>
    </w:p>
    <w:p>
      <w:pPr>
        <w:pStyle w:val="FirstParagraph"/>
      </w:pPr>
      <w:r>
        <w:rPr>
          <w:b/>
          <w:bCs/>
        </w:rPr>
        <w:t xml:space="preserve">Wirkprinzip:</w:t>
      </w:r>
      <w:r>
        <w:t xml:space="preserve"> </w:t>
      </w:r>
      <w:r>
        <w:t xml:space="preserve">Kompromittierung kommt über Dritte in die eigene Kontrollkette (SolarWinds, Kaseya).</w:t>
      </w:r>
    </w:p>
    <w:p>
      <w:pPr>
        <w:pStyle w:val="BodyText"/>
      </w:pPr>
      <w:r>
        <w:rPr>
          <w:b/>
          <w:bCs/>
        </w:rPr>
        <w:t xml:space="preserve">Resilienzstrategien:</w:t>
      </w:r>
      <w:r>
        <w:t xml:space="preserve"> </w:t>
      </w:r>
      <w:r>
        <w:t xml:space="preserve">Lieferantendiversität und getrennte Source of Truth; Zero Trust for Dependencies; Offline-Verifikation und kein Auto-Push bei kritischen Komponenten; Recovery unabhängig vom kompromittierten Dependency-State.</w:t>
      </w:r>
    </w:p>
    <w:p>
      <w:pPr>
        <w:pStyle w:val="BodyText"/>
      </w:pPr>
      <w:r>
        <w:rPr>
          <w:b/>
          <w:bCs/>
        </w:rPr>
        <w:t xml:space="preserve">Lehrsatz:</w:t>
      </w:r>
      <w:r>
        <w:t xml:space="preserve"> </w:t>
      </w:r>
      <w:r>
        <w:t xml:space="preserve">Resilienz ist hier das Sicherheitsnetz nach dem Vertrauensbruch.</w:t>
      </w:r>
    </w:p>
    <w:bookmarkEnd w:id="27"/>
    <w:bookmarkEnd w:id="28"/>
    <w:bookmarkStart w:id="29" w:name="mapping-von-der-bedrohung-zum-prinzip"/>
    <w:p>
      <w:pPr>
        <w:pStyle w:val="Heading2"/>
      </w:pPr>
      <w:r>
        <w:t xml:space="preserve">Mapping: Von der Bedrohung zum Prinzip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Bedrohung</w:t>
            </w:r>
          </w:p>
        </w:tc>
        <w:tc>
          <w:tcPr/>
          <w:p>
            <w:pPr>
              <w:pStyle w:val="Compact"/>
            </w:pPr>
            <w:r>
              <w:t xml:space="preserve">Wirkung auf das System</w:t>
            </w:r>
          </w:p>
        </w:tc>
        <w:tc>
          <w:tcPr/>
          <w:p>
            <w:pPr>
              <w:pStyle w:val="Compact"/>
            </w:pPr>
            <w:r>
              <w:t xml:space="preserve">Resilienzprinzip</w:t>
            </w:r>
          </w:p>
        </w:tc>
        <w:tc>
          <w:tcPr/>
          <w:p>
            <w:pPr>
              <w:pStyle w:val="Compact"/>
            </w:pPr>
            <w:r>
              <w:t xml:space="preserve">Normativer Bezug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Ransomware</w:t>
            </w:r>
          </w:p>
        </w:tc>
        <w:tc>
          <w:tcPr/>
          <w:p>
            <w:pPr>
              <w:pStyle w:val="Compact"/>
            </w:pPr>
            <w:r>
              <w:t xml:space="preserve">vollständiger Funktionsverlust</w:t>
            </w:r>
          </w:p>
        </w:tc>
        <w:tc>
          <w:tcPr/>
          <w:p>
            <w:pPr>
              <w:pStyle w:val="Compact"/>
            </w:pPr>
            <w:r>
              <w:t xml:space="preserve">Wiederherstellbarkeit, Diversität (immutable/offline)</w:t>
            </w:r>
          </w:p>
        </w:tc>
        <w:tc>
          <w:tcPr/>
          <w:p>
            <w:pPr>
              <w:pStyle w:val="Compact"/>
            </w:pPr>
            <w:r>
              <w:t xml:space="preserve">ISO/IEC 27031, BSI 200-4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 / Last</w:t>
            </w:r>
          </w:p>
        </w:tc>
        <w:tc>
          <w:tcPr/>
          <w:p>
            <w:pPr>
              <w:pStyle w:val="Compact"/>
            </w:pPr>
            <w:r>
              <w:t xml:space="preserve">Degradation statt Zerstörung</w:t>
            </w:r>
          </w:p>
        </w:tc>
        <w:tc>
          <w:tcPr/>
          <w:p>
            <w:pPr>
              <w:pStyle w:val="Compact"/>
            </w:pPr>
            <w:r>
              <w:t xml:space="preserve">Adaptivität (Autoscale, Graceful Degradation)</w:t>
            </w:r>
          </w:p>
        </w:tc>
        <w:tc>
          <w:tcPr/>
          <w:p>
            <w:pPr>
              <w:pStyle w:val="Compact"/>
            </w:pPr>
            <w:r>
              <w:t xml:space="preserve">ENISA DDoS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Cloud-/RZ-Ausfall</w:t>
            </w:r>
          </w:p>
        </w:tc>
        <w:tc>
          <w:tcPr/>
          <w:p>
            <w:pPr>
              <w:pStyle w:val="Compact"/>
            </w:pPr>
            <w:r>
              <w:t xml:space="preserve">infrastrukturelle Nichtverfügbarkeit</w:t>
            </w:r>
          </w:p>
        </w:tc>
        <w:tc>
          <w:tcPr/>
          <w:p>
            <w:pPr>
              <w:pStyle w:val="Compact"/>
            </w:pPr>
            <w:r>
              <w:t xml:space="preserve">Redundanz (Multi-AZ/Region)</w:t>
            </w:r>
          </w:p>
        </w:tc>
        <w:tc>
          <w:tcPr/>
          <w:p>
            <w:pPr>
              <w:pStyle w:val="Compact"/>
            </w:pPr>
            <w:r>
              <w:t xml:space="preserve">NIST SP 800-160 Vol.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Identity-Ausfall</w:t>
            </w:r>
          </w:p>
        </w:tc>
        <w:tc>
          <w:tcPr/>
          <w:p>
            <w:pPr>
              <w:pStyle w:val="Compact"/>
            </w:pPr>
            <w:r>
              <w:t xml:space="preserve">Nutzungsunfähigkeit trotz intakter Systeme</w:t>
            </w:r>
          </w:p>
        </w:tc>
        <w:tc>
          <w:tcPr/>
          <w:p>
            <w:pPr>
              <w:pStyle w:val="Compact"/>
            </w:pPr>
            <w:r>
              <w:t xml:space="preserve">Diversität und Recovery, Break-Glass</w:t>
            </w:r>
          </w:p>
        </w:tc>
        <w:tc>
          <w:tcPr/>
          <w:p>
            <w:pPr>
              <w:pStyle w:val="Compact"/>
            </w:pPr>
            <w:r>
              <w:t xml:space="preserve">NIST CSF, Zero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Failure</w:t>
            </w:r>
          </w:p>
        </w:tc>
        <w:tc>
          <w:tcPr/>
          <w:p>
            <w:pPr>
              <w:pStyle w:val="Compact"/>
            </w:pPr>
            <w:r>
              <w:t xml:space="preserve">ungewollte Fehlpropagation</w:t>
            </w:r>
          </w:p>
        </w:tc>
        <w:tc>
          <w:tcPr/>
          <w:p>
            <w:pPr>
              <w:pStyle w:val="Compact"/>
            </w:pPr>
            <w:r>
              <w:t xml:space="preserve">Rollback, Wiederherstellbarkeit, SoD</w:t>
            </w:r>
          </w:p>
        </w:tc>
        <w:tc>
          <w:tcPr/>
          <w:p>
            <w:pPr>
              <w:pStyle w:val="Compact"/>
            </w:pPr>
            <w:r>
              <w:t xml:space="preserve">BSI 200-4, IT-Grundschutz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importierter externer Fehler</w:t>
            </w:r>
          </w:p>
        </w:tc>
        <w:tc>
          <w:tcPr/>
          <w:p>
            <w:pPr>
              <w:pStyle w:val="Compact"/>
            </w:pPr>
            <w:r>
              <w:t xml:space="preserve">Diversität und Isolation, Zero Trust</w:t>
            </w:r>
          </w:p>
        </w:tc>
        <w:tc>
          <w:tcPr/>
          <w:p>
            <w:pPr>
              <w:pStyle w:val="Compact"/>
            </w:pPr>
            <w:r>
              <w:t xml:space="preserve">ENISA Supply Chain Guidance</w:t>
            </w:r>
          </w:p>
        </w:tc>
      </w:tr>
    </w:tbl>
    <w:p>
      <w:pPr>
        <w:pStyle w:val="BodyText"/>
      </w:pPr>
      <w:r>
        <w:t xml:space="preserve">Drei Lehren aus dem Mapping:</w:t>
      </w:r>
    </w:p>
    <w:p>
      <w:pPr>
        <w:pStyle w:val="Compact"/>
        <w:numPr>
          <w:ilvl w:val="0"/>
          <w:numId w:val="1003"/>
        </w:numPr>
      </w:pPr>
      <w:r>
        <w:t xml:space="preserve">Die Bedrohung entscheidet nicht über das Tool, sondern über das anzuwendende Prinzip.</w:t>
      </w:r>
    </w:p>
    <w:p>
      <w:pPr>
        <w:pStyle w:val="Compact"/>
        <w:numPr>
          <w:ilvl w:val="0"/>
          <w:numId w:val="1003"/>
        </w:numPr>
      </w:pPr>
      <w:r>
        <w:t xml:space="preserve">Verschiedene Bedrohungen können dasselbe Prinzip adressieren (Ransomware und Human Failure → Recovery).</w:t>
      </w:r>
    </w:p>
    <w:p>
      <w:pPr>
        <w:pStyle w:val="Compact"/>
        <w:numPr>
          <w:ilvl w:val="0"/>
          <w:numId w:val="1003"/>
        </w:numPr>
      </w:pPr>
      <w:r>
        <w:t xml:space="preserve">Dasselbe Prinzip wirkt gegen sehr verschiedene Bedrohungen (Diversität gegen Identity-Ausfall und Supply Chain).</w:t>
      </w:r>
    </w:p>
    <w:p>
      <w:pPr>
        <w:pStyle w:val="FirstParagraph"/>
      </w:pPr>
      <w:r>
        <w:t xml:space="preserve">Nicht die Bedrohung wird kontrolliert, sondern die Fähigkeit, ihren Effekt zu absorbieren („capability-based resilience“).</w:t>
      </w:r>
    </w:p>
    <w:bookmarkEnd w:id="29"/>
    <w:bookmarkEnd w:id="30"/>
    <w:bookmarkStart w:id="31" w:name="normativer-bezug"/>
    <w:p>
      <w:pPr>
        <w:pStyle w:val="Heading1"/>
      </w:pPr>
      <w:r>
        <w:t xml:space="preserve">Normativer Bezug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NIST SP 800-160 Vol. 2:</w:t>
      </w:r>
      <w:r>
        <w:t xml:space="preserve"> </w:t>
      </w:r>
      <w:r>
        <w:t xml:space="preserve">Resilienz als Menge von Fähigkeiten, die am Effekt, nicht an der Ursache ausgerichtet werden</w:t>
      </w:r>
      <w:r>
        <w:t xml:space="preserve"> </w:t>
      </w:r>
      <w:r>
        <w:t xml:space="preserve">(Ross u. a. 2021)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ISO/IEC 27031:</w:t>
      </w:r>
      <w:r>
        <w:t xml:space="preserve"> </w:t>
      </w:r>
      <w:r>
        <w:t xml:space="preserve">definierte Ziele (RTO/RPO), getestete Recovery-Fähigkeit, wiederkehrende Validierung</w:t>
      </w:r>
      <w:r>
        <w:t xml:space="preserve"> </w:t>
      </w:r>
      <w:r>
        <w:t xml:space="preserve">(ISO/IEC 27031 2025)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BSI-Standard 200-4:</w:t>
      </w:r>
      <w:r>
        <w:t xml:space="preserve"> </w:t>
      </w:r>
      <w:r>
        <w:t xml:space="preserve">bewertet, wie wirksam Maßnahmen im Ereignisfall betrieben werden können, nicht ob sie existieren</w:t>
      </w:r>
      <w:r>
        <w:t xml:space="preserve"> </w:t>
      </w:r>
      <w:r>
        <w:t xml:space="preserve">(BSI-Standard 200-4 2023)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ENISA:</w:t>
      </w:r>
      <w:r>
        <w:t xml:space="preserve"> </w:t>
      </w:r>
      <w:r>
        <w:t xml:space="preserve">Resilienz sektorspezifisch und bedrohungsnah formuliert (Energie, Gesundheit, Finanzmarkt).</w:t>
      </w:r>
    </w:p>
    <w:p>
      <w:pPr>
        <w:pStyle w:val="FirstParagraph"/>
      </w:pPr>
      <w:r>
        <w:t xml:space="preserve">Normen bewerten Resilienz als funktionale Antwortfähigkeit auf definierte Störungstypen. Ein Threat-to-Resilience-Mapping ist damit methodisch gefordert.</w:t>
      </w:r>
    </w:p>
    <w:bookmarkEnd w:id="31"/>
    <w:bookmarkStart w:id="32" w:name="übung-threat-to-resilience-mapping"/>
    <w:p>
      <w:pPr>
        <w:pStyle w:val="Heading1"/>
      </w:pPr>
      <w:r>
        <w:t xml:space="preserve">Übung: Threat-to-Resilience-Mapping</w:t>
      </w:r>
    </w:p>
    <w:p>
      <w:pPr>
        <w:pStyle w:val="FirstParagraph"/>
      </w:pPr>
      <w:r>
        <w:t xml:space="preserve">Gruppenarbeit, 15–20 Minuten. Wählen Sie eine Bedrohung: Ransomware, DDoS, Cloud-/Region-Ausfall, Identity-Ausfall, Human Failure oder Supply-Chain-Angriff.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Wirkmechanismus:</w:t>
      </w:r>
      <w:r>
        <w:t xml:space="preserve"> </w:t>
      </w:r>
      <w:r>
        <w:t xml:space="preserve">Wie genau führt die Bedrohung zur Funktionsbeeinträchtigung? (1–2 Sätze)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Zuordnung:</w:t>
      </w:r>
      <w:r>
        <w:t xml:space="preserve"> </w:t>
      </w:r>
      <w:r>
        <w:t xml:space="preserve">Welche mindestens zwei Prinzipien sind vorrangig relevant – und warum?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Maßnahmen:</w:t>
      </w:r>
      <w:r>
        <w:t xml:space="preserve"> </w:t>
      </w:r>
      <w:r>
        <w:t xml:space="preserve">Je Prinzip mindestens eine technisch realistische Maßnahme.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Kurzfazit:</w:t>
      </w:r>
      <w:r>
        <w:t xml:space="preserve"> </w:t>
      </w:r>
      <w:r>
        <w:t xml:space="preserve">Ist das System danach resilient, bedingt resilient oder weiterhin fragil? Ein Satz Begründung.</w:t>
      </w:r>
    </w:p>
    <w:p>
      <w:pPr>
        <w:pStyle w:val="FirstParagraph"/>
      </w:pPr>
      <w:r>
        <w:t xml:space="preserve">Ergebnis: eine Folie oder ein Blatt mit höchstens sechs Stichpunkten; 2–3 Minuten Präsentation. Bewertet wird die Schärfe der Zuordnung, nicht die Menge der Maßnahmen.</w:t>
      </w:r>
    </w:p>
    <w:bookmarkEnd w:id="32"/>
    <w:bookmarkStart w:id="33" w:name="prüfungsrelevante-leitfragen"/>
    <w:p>
      <w:pPr>
        <w:pStyle w:val="Heading1"/>
      </w:pPr>
      <w:r>
        <w:t xml:space="preserve">Prüfungsrelevante Leitfragen</w:t>
      </w:r>
    </w:p>
    <w:p>
      <w:pPr>
        <w:pStyle w:val="Compact"/>
        <w:numPr>
          <w:ilvl w:val="0"/>
          <w:numId w:val="1006"/>
        </w:numPr>
      </w:pPr>
      <w:r>
        <w:t xml:space="preserve">Warum ist Resilienz ohne Threat-Bezug methodisch unzureichend?</w:t>
      </w:r>
    </w:p>
    <w:p>
      <w:pPr>
        <w:pStyle w:val="Compact"/>
        <w:numPr>
          <w:ilvl w:val="0"/>
          <w:numId w:val="1006"/>
        </w:numPr>
      </w:pPr>
      <w:r>
        <w:t xml:space="preserve">Welche Bedrohung adressiert primär das Prinzip Wiederherstellbarkeit, und warum?</w:t>
      </w:r>
    </w:p>
    <w:p>
      <w:pPr>
        <w:pStyle w:val="Compact"/>
        <w:numPr>
          <w:ilvl w:val="0"/>
          <w:numId w:val="1006"/>
        </w:numPr>
      </w:pPr>
      <w:r>
        <w:t xml:space="preserve">Wie unterscheidet sich das Wirkmodell eines DDoS von dem einer Ransomware, und wie spiegelt sich das im Resilienzdesign?</w:t>
      </w:r>
    </w:p>
    <w:p>
      <w:pPr>
        <w:pStyle w:val="Compact"/>
        <w:numPr>
          <w:ilvl w:val="0"/>
          <w:numId w:val="1006"/>
        </w:numPr>
      </w:pPr>
      <w:r>
        <w:t xml:space="preserve">Wie begründet der BSI-Standard 200-4, warum Tests wichtiger sind als Dokumente?</w:t>
      </w:r>
    </w:p>
    <w:p>
      <w:pPr>
        <w:pStyle w:val="Compact"/>
        <w:numPr>
          <w:ilvl w:val="0"/>
          <w:numId w:val="1006"/>
        </w:numPr>
      </w:pPr>
      <w:r>
        <w:t xml:space="preserve">Erklären Sie an einem Beispiel, warum Identity ein versteckter SPOF ist.</w:t>
      </w:r>
    </w:p>
    <w:p>
      <w:pPr>
        <w:pStyle w:val="FirstParagraph"/>
      </w:pPr>
      <w:r>
        <w:rPr>
          <w:b/>
          <w:bCs/>
        </w:rPr>
        <w:t xml:space="preserve">Kernpunkte:</w:t>
      </w:r>
      <w:r>
        <w:t xml:space="preserve"> </w:t>
      </w:r>
      <w:r>
        <w:t xml:space="preserve">Resilienz bewertet sich immer gegen eine Bedrohung. Das Threat-Capability-Mapping schafft Architekturdisziplin. Dieselben vier Prinzipien greifen über Bedrohungsklassen hinweg. Hybrid erhöht Angriffsfläche und Gegenstrategieraum.</w:t>
      </w:r>
    </w:p>
    <w:bookmarkEnd w:id="33"/>
    <w:bookmarkStart w:id="35" w:name="vor--und-nachbereitung"/>
    <w:p>
      <w:pPr>
        <w:pStyle w:val="Heading1"/>
      </w:pPr>
      <w:r>
        <w:t xml:space="preserve">Vor- und Nachbereitung</w:t>
      </w:r>
    </w:p>
    <w:p>
      <w:pPr>
        <w:pStyle w:val="FirstParagraph"/>
      </w:pPr>
      <w:r>
        <w:t xml:space="preserve">Das</w:t>
      </w:r>
      <w:r>
        <w:t xml:space="preserve"> </w:t>
      </w:r>
      <w:hyperlink r:id="rId34">
        <w:r>
          <w:rPr>
            <w:rStyle w:val="Hyperlink"/>
          </w:rPr>
          <w:t xml:space="preserve">Glossar</w:t>
        </w:r>
      </w:hyperlink>
      <w:r>
        <w:t xml:space="preserve"> </w:t>
      </w:r>
      <w:r>
        <w:t xml:space="preserve">enthält die Begriffe der Sitzungen 1–4 mit Rückverweisen und dient als Prüfungsorientierung.</w:t>
      </w:r>
    </w:p>
    <w:p>
      <w:pPr>
        <w:pStyle w:val="BodyText"/>
      </w:pPr>
      <w:r>
        <w:rPr>
          <w:b/>
          <w:bCs/>
        </w:rPr>
        <w:t xml:space="preserve">Ausblick Termin 5:</w:t>
      </w:r>
      <w:r>
        <w:t xml:space="preserve"> </w:t>
      </w:r>
      <w:r>
        <w:t xml:space="preserve">Resilienz als Organisationsfähigkeit – Rollen, Prozesse, Übungen, Governance.</w:t>
      </w:r>
    </w:p>
    <w:bookmarkEnd w:id="35"/>
    <w:bookmarkStart w:id="36" w:name="material-aus-dem-archiv"/>
    <w:p>
      <w:pPr>
        <w:pStyle w:val="Heading1"/>
      </w:pPr>
      <w:r>
        <w:t xml:space="preserve">Material aus dem Archiv</w:t>
      </w:r>
    </w:p>
    <w:p>
      <w:pPr>
        <w:pStyle w:val="FirstParagraph"/>
      </w:pPr>
      <w:r>
        <w:rPr>
          <w:rStyle w:val="VerbatimChar"/>
        </w:rPr>
        <w:t xml:space="preserve">04 Cyber-Bedrohungen und Resilienzstrategien/04_Cyber Bedrohungen und Resilienz Strategien.pdf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Skript Sitzung 4 Grundlagen der Resilienz.pdf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Glossar Resilienz 4.0.pdf</w:t>
      </w:r>
      <w:r>
        <w:t xml:space="preserve">.</w:t>
      </w:r>
    </w:p>
    <w:bookmarkEnd w:id="36"/>
    <w:bookmarkStart w:id="43" w:name="bibliography"/>
    <w:p>
      <w:pPr>
        <w:pStyle w:val="Heading1"/>
      </w:pPr>
      <w:r>
        <w:t xml:space="preserve">Literatur</w:t>
      </w:r>
    </w:p>
    <w:bookmarkStart w:id="42" w:name="refs"/>
    <w:bookmarkStart w:id="37" w:name="ref-bsi2004"/>
    <w:p>
      <w:pPr>
        <w:pStyle w:val="Bibliography"/>
      </w:pPr>
      <w:r>
        <w:t xml:space="preserve">BSI-Standard 200-4: Business Continuity Management (2023).</w:t>
      </w:r>
    </w:p>
    <w:bookmarkEnd w:id="37"/>
    <w:bookmarkStart w:id="39" w:name="ref-iso27031"/>
    <w:p>
      <w:pPr>
        <w:pStyle w:val="Bibliography"/>
      </w:pPr>
      <w:r>
        <w:t xml:space="preserve">ISO/IEC 27031:2025 Cybersecurity – Information and Communication Technology Readiness for Business Continuity (2025).</w:t>
      </w:r>
      <w:r>
        <w:t xml:space="preserve"> </w:t>
      </w:r>
      <w:hyperlink r:id="rId38">
        <w:r>
          <w:rPr>
            <w:rStyle w:val="Hyperlink"/>
          </w:rPr>
          <w:t xml:space="preserve">https://www.iso.org/standard/27031</w:t>
        </w:r>
      </w:hyperlink>
      <w:r>
        <w:t xml:space="preserve">.</w:t>
      </w:r>
    </w:p>
    <w:bookmarkEnd w:id="39"/>
    <w:bookmarkStart w:id="41" w:name="ref-nist800160v2r1"/>
    <w:p>
      <w:pPr>
        <w:pStyle w:val="Bibliography"/>
      </w:pPr>
      <w:r>
        <w:t xml:space="preserve">Ross, Ron, Victoria Pillitteri, Richard Graubart, Deborah Bodeau, und Rosalie McQuaid. 2021.</w:t>
      </w:r>
      <w:r>
        <w:t xml:space="preserve"> </w:t>
      </w:r>
      <w:r>
        <w:rPr>
          <w:i/>
          <w:iCs/>
        </w:rPr>
        <w:t xml:space="preserve">Developing Cyber-Resilient Systems: A Systems Security Engineering Approach</w:t>
      </w:r>
      <w:r>
        <w:t xml:space="preserve">. NIST Special Publication 800-160 Vol. 2 Rev. 1. National Institute of Standards; Technology.</w:t>
      </w:r>
      <w:r>
        <w:t xml:space="preserve"> </w:t>
      </w:r>
      <w:hyperlink r:id="rId40">
        <w:r>
          <w:rPr>
            <w:rStyle w:val="Hyperlink"/>
          </w:rPr>
          <w:t xml:space="preserve">https://doi.org/10.6028/NIST.SP.800-160v2r1</w:t>
        </w:r>
      </w:hyperlink>
      <w:r>
        <w:t xml:space="preserve">.</w:t>
      </w:r>
    </w:p>
    <w:bookmarkEnd w:id="41"/>
    <w:bookmarkEnd w:id="42"/>
    <w:bookmarkEnd w:id="43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474" w:footer="567" w:header="567" w:left="1417" w:right="1417" w:top="181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8" w:space="4" w:color="4472C4"/>
      </w:pBdr>
      <w:tabs>
        <w:tab w:pos="9072" w:val="right"/>
      </w:tabs>
    </w:pPr>
    <w:r/>
    <w:r>
      <w:rPr>
        <w:color w:val="404040"/>
        <w:sz w:val="15"/>
      </w:rPr>
      <w:t>DIRK LOOMANS · VORLESUNGSSKRIPT GRUNDLAGEN DER RESILIENZ · HOCHSCHULE MAINZ</w:t>
      <w:tab/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1093750" cy="45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sm-wirtschaf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3750" cy="45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/>
      <w:b/>
      <w:color w:val="2F549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/>
      <w:b w:val="0"/>
      <w:color w:val="2F5496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/>
      <w:b/>
      <w:color w:val="2F549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/>
      <w:b/>
      <w:color w:val="2F549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/>
      <w:b/>
      <w:color w:val="2F549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34" Target="../glossar.html" TargetMode="External" /><Relationship Type="http://schemas.openxmlformats.org/officeDocument/2006/relationships/hyperlink" Id="rId40" Target="https://doi.org/10.6028/NIST.SP.800-160v2r1" TargetMode="External" /><Relationship Type="http://schemas.openxmlformats.org/officeDocument/2006/relationships/hyperlink" Id="rId38" Target="https://www.iso.org/standard/2703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glossar.html" TargetMode="External" /><Relationship Type="http://schemas.openxmlformats.org/officeDocument/2006/relationships/hyperlink" Id="rId40" Target="https://doi.org/10.6028/NIST.SP.800-160v2r1" TargetMode="External" /><Relationship Type="http://schemas.openxmlformats.org/officeDocument/2006/relationships/hyperlink" Id="rId38" Target="https://www.iso.org/standard/27031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 4 – Cyber-Bedrohungen und Resilienzstrategien</dc:title>
  <dc:creator>Prof. Dr. Dirk Loomans</dc:creator>
  <dc:language>de</dc:language>
  <cp:keywords/>
  <dcterms:created xsi:type="dcterms:W3CDTF">2026-09-29T10:45:38Z</dcterms:created>
  <dcterms:modified xsi:type="dcterms:W3CDTF">2026-09-29T10:45:38Z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29. September 2026</vt:lpwstr>
  </property>
  <property fmtid="{D5CDD505-2E9C-101B-9397-08002B2CF9AE}" pid="7" name="date-format">
    <vt:lpwstr>D. MMMM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reference-section-title">
    <vt:lpwstr>Literatur</vt:lpwstr>
  </property>
  <property fmtid="{D5CDD505-2E9C-101B-9397-08002B2CF9AE}" pid="13" name="toc-title">
    <vt:lpwstr>Inhaltsverzeichnis</vt:lpwstr>
  </property>
</Properties>
</file>