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Termin 11 – Klausur</w:t>
      </w:r>
    </w:p>
    <w:p>
      <w:pPr>
        <w:pStyle w:val="Author"/>
      </w:pPr>
      <w:r>
        <w:t xml:space="preserve">Prof. Dr. Dirk Loomans</w:t>
      </w:r>
    </w:p>
    <w:p>
      <w:pPr>
        <w:pStyle w:val="Date"/>
      </w:pPr>
      <w:r>
        <w:t xml:space="preserve">29. September 2026</w:t>
      </w:r>
    </w:p>
    <w:p>
      <w:pPr>
        <w:pStyle w:val="FirstParagraph"/>
      </w:pPr>
      <w:r>
        <w:rPr>
          <w:b/>
          <w:bCs/>
        </w:rPr>
        <w:t xml:space="preserve">Vorlesungsskript · Grundlagen der Resilienz</w:t>
      </w:r>
      <w:r>
        <w:t xml:space="preserve"> </w:t>
      </w:r>
      <w:r>
        <w:t xml:space="preserve">· Cyber Security Management (B.Sc.), 1. Semester · Hochschule Mainz</w:t>
      </w:r>
    </w:p>
    <w:p>
      <w:pPr>
        <w:pStyle w:val="BodyText"/>
      </w:pPr>
      <w:r>
        <w:rPr>
          <w:i/>
          <w:iCs/>
        </w:rPr>
        <w:t xml:space="preserve">Vorbemerkung:</w:t>
      </w:r>
      <w:r>
        <w:t xml:space="preserve"> </w:t>
      </w:r>
      <w:r>
        <w:t xml:space="preserve">Dieses Skript dient als Vorlesungsbegleitung und erhebt keinen akademischen Anspruch. Dennoch kann es bei der Klausurvorbereitung hilfreich sein. Kommentare und Verbesserungsvorschläge gerne an den Autor über dirk.loomans@hs-mainz.de.</w:t>
      </w:r>
    </w:p>
    <w:bookmarkStart w:id="19" w:name="prüfungsrahmen"/>
    <w:p>
      <w:pPr>
        <w:pStyle w:val="Heading1"/>
      </w:pPr>
      <w:r>
        <w:t xml:space="preserve">Prüfungsrahmen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Merkmal</w:t>
            </w:r>
          </w:p>
        </w:tc>
        <w:tc>
          <w:tcPr/>
          <w:p>
            <w:pPr>
              <w:pStyle w:val="Compact"/>
            </w:pPr>
            <w:r>
              <w:t xml:space="preserve">Festlegung laut Probeklausur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Grundlagen der Resilienz (modulübergreifend)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Studiengang</w:t>
            </w:r>
          </w:p>
        </w:tc>
        <w:tc>
          <w:tcPr/>
          <w:p>
            <w:pPr>
              <w:pStyle w:val="Compact"/>
            </w:pPr>
            <w:r>
              <w:t xml:space="preserve">Cyber Security Management (B.Sc.), 1. Semester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Bearbeitungszeit</w:t>
            </w:r>
          </w:p>
        </w:tc>
        <w:tc>
          <w:tcPr/>
          <w:p>
            <w:pPr>
              <w:pStyle w:val="Compact"/>
            </w:pPr>
            <w:r>
              <w:t xml:space="preserve">90 Minuten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Hilfsmittel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Punkte</w:t>
            </w:r>
          </w:p>
        </w:tc>
        <w:tc>
          <w:tcPr/>
          <w:p>
            <w:pPr>
              <w:pStyle w:val="Compact"/>
            </w:pPr>
            <w:r>
              <w:t xml:space="preserve">20 (ein Punkt je Frage)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Antwortform</w:t>
            </w:r>
          </w:p>
        </w:tc>
        <w:tc>
          <w:tcPr/>
          <w:p>
            <w:pPr>
              <w:pStyle w:val="Compact"/>
            </w:pPr>
            <w:r>
              <w:t xml:space="preserve">kurz, präzise, strukturiert in Stichpunkten; pro Frage genügen 1–3 fachlich korrekte Aspekte</w:t>
            </w:r>
          </w:p>
        </w:tc>
      </w:tr>
    </w:tbl>
    <w:p>
      <w:pPr>
        <w:pStyle w:val="BodyText"/>
      </w:pPr>
      <w:r>
        <w:t xml:space="preserve">Verbindliche Angaben zu Termin, Raum und Notenschlüssel werden gemäß der Prüfungsordnung bekannt gegeben.</w:t>
      </w:r>
    </w:p>
    <w:bookmarkEnd w:id="19"/>
    <w:bookmarkStart w:id="20" w:name="aufgabenbereiche"/>
    <w:p>
      <w:pPr>
        <w:pStyle w:val="Heading1"/>
      </w:pPr>
      <w:r>
        <w:t xml:space="preserve">Aufgabenbereiche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Teil</w:t>
            </w:r>
          </w:p>
        </w:tc>
        <w:tc>
          <w:tcPr/>
          <w:p>
            <w:pPr>
              <w:pStyle w:val="Compact"/>
            </w:pPr>
            <w:r>
              <w:t xml:space="preserve">Bereich</w:t>
            </w:r>
          </w:p>
        </w:tc>
        <w:tc>
          <w:tcPr/>
          <w:p>
            <w:pPr>
              <w:pStyle w:val="Compact"/>
            </w:pPr>
            <w:r>
              <w:t xml:space="preserve">Termine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Resilienz-Grundlagen und Begriffe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Safety vs. Security</w:t>
            </w:r>
          </w:p>
        </w:tc>
        <w:tc>
          <w:tcPr/>
          <w:p>
            <w:pPr>
              <w:pStyle w:val="Compact"/>
            </w:pPr>
            <w:r>
              <w:t xml:space="preserve">1, 9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Organisation und Prozesse</w:t>
            </w:r>
          </w:p>
        </w:tc>
        <w:tc>
          <w:tcPr/>
          <w:p>
            <w:pPr>
              <w:pStyle w:val="Compact"/>
            </w:pPr>
            <w:r>
              <w:t xml:space="preserve">5–6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Technische Resilienzmaßnahmen 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Technische Resilienzmaßnahmen II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OT-Resilienz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KI und moderne Risiken</w:t>
            </w:r>
          </w:p>
        </w:tc>
        <w:tc>
          <w:tcPr/>
          <w:p>
            <w:pPr>
              <w:pStyle w:val="Compact"/>
            </w:pPr>
            <w:r>
              <w:t xml:space="preserve">9–10</w:t>
            </w:r>
          </w:p>
        </w:tc>
      </w:tr>
    </w:tbl>
    <w:p>
      <w:pPr>
        <w:pStyle w:val="BodyText"/>
      </w:pPr>
      <w:r>
        <w:t xml:space="preserve">Die Terminkapitel enthalten jeweils prüfungsrelevante Leitfragen. Für die Klausur ist nicht das Aufzählen entscheidend, sondern die Begründung und Einordnung.</w:t>
      </w:r>
    </w:p>
    <w:bookmarkEnd w:id="20"/>
    <w:bookmarkStart w:id="21" w:name="probeklausur"/>
    <w:p>
      <w:pPr>
        <w:pStyle w:val="Heading1"/>
      </w:pPr>
      <w:r>
        <w:t xml:space="preserve">Probeklausur</w:t>
      </w:r>
    </w:p>
    <w:p>
      <w:pPr>
        <w:pStyle w:val="FirstParagraph"/>
      </w:pPr>
      <w:r>
        <w:rPr>
          <w:b/>
          <w:bCs/>
        </w:rPr>
        <w:t xml:space="preserve">Teil A – Resilienz-Grundlagen und Begriffe</w:t>
      </w:r>
    </w:p>
    <w:p>
      <w:pPr>
        <w:pStyle w:val="Compact"/>
        <w:numPr>
          <w:ilvl w:val="0"/>
          <w:numId w:val="1001"/>
        </w:numPr>
      </w:pPr>
      <w:r>
        <w:t xml:space="preserve">Was versteht man unter Resilienz im Kontext von IT- und Cyber-Systemen?</w:t>
      </w:r>
    </w:p>
    <w:p>
      <w:pPr>
        <w:pStyle w:val="Compact"/>
        <w:numPr>
          <w:ilvl w:val="0"/>
          <w:numId w:val="1001"/>
        </w:numPr>
      </w:pPr>
      <w:r>
        <w:t xml:space="preserve">Nennen Sie zwei Unterschiede zwischen Resilienz und klassischer IT-Sicherheit.</w:t>
      </w:r>
    </w:p>
    <w:p>
      <w:pPr>
        <w:pStyle w:val="Compact"/>
        <w:numPr>
          <w:ilvl w:val="0"/>
          <w:numId w:val="1001"/>
        </w:numPr>
      </w:pPr>
      <w:r>
        <w:t xml:space="preserve">Warum ist Resilienz ein Management- und kein reines IT-Thema?</w:t>
      </w:r>
    </w:p>
    <w:p>
      <w:pPr>
        <w:pStyle w:val="FirstParagraph"/>
      </w:pPr>
      <w:r>
        <w:rPr>
          <w:b/>
          <w:bCs/>
        </w:rPr>
        <w:t xml:space="preserve">Teil B – Safety vs. Security</w:t>
      </w:r>
    </w:p>
    <w:p>
      <w:pPr>
        <w:pStyle w:val="Compact"/>
        <w:numPr>
          <w:ilvl w:val="0"/>
          <w:numId w:val="1002"/>
        </w:numPr>
      </w:pPr>
      <w:r>
        <w:t xml:space="preserve">Erläutern Sie den Unterschied zwischen Safety und Security.</w:t>
      </w:r>
    </w:p>
    <w:p>
      <w:pPr>
        <w:pStyle w:val="Compact"/>
        <w:numPr>
          <w:ilvl w:val="0"/>
          <w:numId w:val="1002"/>
        </w:numPr>
      </w:pPr>
      <w:r>
        <w:t xml:space="preserve">Nennen Sie ein Beispiel, bei dem Security-Maßnahmen mit Safety-Zielen kollidieren können.</w:t>
      </w:r>
    </w:p>
    <w:p>
      <w:pPr>
        <w:pStyle w:val="FirstParagraph"/>
      </w:pPr>
      <w:r>
        <w:rPr>
          <w:b/>
          <w:bCs/>
        </w:rPr>
        <w:t xml:space="preserve">Teil C – Organisation und Prozesse</w:t>
      </w:r>
    </w:p>
    <w:p>
      <w:pPr>
        <w:pStyle w:val="Compact"/>
        <w:numPr>
          <w:ilvl w:val="0"/>
          <w:numId w:val="1003"/>
        </w:numPr>
      </w:pPr>
      <w:r>
        <w:t xml:space="preserve">Warum scheitern viele Cyber-Resilienzmaßnahmen nicht an Technik, sondern an Organisation?</w:t>
      </w:r>
    </w:p>
    <w:p>
      <w:pPr>
        <w:pStyle w:val="Compact"/>
        <w:numPr>
          <w:ilvl w:val="0"/>
          <w:numId w:val="1003"/>
        </w:numPr>
      </w:pPr>
      <w:r>
        <w:t xml:space="preserve">Welche Rolle spielt Kommunikation in Krisen- und Notfallsituationen?</w:t>
      </w:r>
    </w:p>
    <w:p>
      <w:pPr>
        <w:pStyle w:val="Compact"/>
        <w:numPr>
          <w:ilvl w:val="0"/>
          <w:numId w:val="1003"/>
        </w:numPr>
      </w:pPr>
      <w:r>
        <w:t xml:space="preserve">Warum sind klare Rollen und Verantwortlichkeiten (z. B. CISO, SOC, CERT) für Resilienz entscheidend?</w:t>
      </w:r>
    </w:p>
    <w:p>
      <w:pPr>
        <w:pStyle w:val="FirstParagraph"/>
      </w:pPr>
      <w:r>
        <w:rPr>
          <w:b/>
          <w:bCs/>
        </w:rPr>
        <w:t xml:space="preserve">Teil D – Technische Resilienzmaßnahmen I</w:t>
      </w:r>
    </w:p>
    <w:p>
      <w:pPr>
        <w:pStyle w:val="Compact"/>
        <w:numPr>
          <w:ilvl w:val="0"/>
          <w:numId w:val="1004"/>
        </w:numPr>
      </w:pPr>
      <w:r>
        <w:t xml:space="preserve">Warum sind Backups allein keine ausreichende Resilienzmaßnahme?</w:t>
      </w:r>
    </w:p>
    <w:p>
      <w:pPr>
        <w:pStyle w:val="Compact"/>
        <w:numPr>
          <w:ilvl w:val="0"/>
          <w:numId w:val="1004"/>
        </w:numPr>
      </w:pPr>
      <w:r>
        <w:t xml:space="preserve">Worin unterscheiden sich Backup, Disaster Recovery und Notfalltests?</w:t>
      </w:r>
    </w:p>
    <w:p>
      <w:pPr>
        <w:pStyle w:val="Compact"/>
        <w:numPr>
          <w:ilvl w:val="0"/>
          <w:numId w:val="1004"/>
        </w:numPr>
      </w:pPr>
      <w:r>
        <w:t xml:space="preserve">Warum sind regelmäßige Notfalltests für Resilienz unverzichtbar?</w:t>
      </w:r>
    </w:p>
    <w:p>
      <w:pPr>
        <w:pStyle w:val="FirstParagraph"/>
      </w:pPr>
      <w:r>
        <w:rPr>
          <w:b/>
          <w:bCs/>
        </w:rPr>
        <w:t xml:space="preserve">Teil E – Technische Resilienzmaßnahmen II</w:t>
      </w:r>
    </w:p>
    <w:p>
      <w:pPr>
        <w:pStyle w:val="Compact"/>
        <w:numPr>
          <w:ilvl w:val="0"/>
          <w:numId w:val="1005"/>
        </w:numPr>
      </w:pPr>
      <w:r>
        <w:t xml:space="preserve">Was bedeutet das Zero-Trust-Prinzip?</w:t>
      </w:r>
    </w:p>
    <w:p>
      <w:pPr>
        <w:pStyle w:val="Compact"/>
        <w:numPr>
          <w:ilvl w:val="0"/>
          <w:numId w:val="1005"/>
        </w:numPr>
      </w:pPr>
      <w:r>
        <w:t xml:space="preserve">Warum ist Microsegmentation eine zentrale Maßnahme für Cyber-Resilienz?</w:t>
      </w:r>
    </w:p>
    <w:p>
      <w:pPr>
        <w:pStyle w:val="Compact"/>
        <w:numPr>
          <w:ilvl w:val="0"/>
          <w:numId w:val="1005"/>
        </w:numPr>
      </w:pPr>
      <w:r>
        <w:t xml:space="preserve">Nennen Sie eine typische Herausforderung bei Cloud-Resilienz.</w:t>
      </w:r>
    </w:p>
    <w:p>
      <w:pPr>
        <w:pStyle w:val="FirstParagraph"/>
      </w:pPr>
      <w:r>
        <w:rPr>
          <w:b/>
          <w:bCs/>
        </w:rPr>
        <w:t xml:space="preserve">Teil F – OT-Resilienz</w:t>
      </w:r>
    </w:p>
    <w:p>
      <w:pPr>
        <w:pStyle w:val="Compact"/>
        <w:numPr>
          <w:ilvl w:val="0"/>
          <w:numId w:val="1006"/>
        </w:numPr>
      </w:pPr>
      <w:r>
        <w:t xml:space="preserve">Was unterscheidet OT-Resilienz grundlegend von IT-Resilienz?</w:t>
      </w:r>
    </w:p>
    <w:p>
      <w:pPr>
        <w:pStyle w:val="Compact"/>
        <w:numPr>
          <w:ilvl w:val="0"/>
          <w:numId w:val="1006"/>
        </w:numPr>
      </w:pPr>
      <w:r>
        <w:t xml:space="preserve">Warum kann ein ungeplanter Shutdown in OT-Umgebungen gefährlich sein?</w:t>
      </w:r>
    </w:p>
    <w:p>
      <w:pPr>
        <w:pStyle w:val="Compact"/>
        <w:numPr>
          <w:ilvl w:val="0"/>
          <w:numId w:val="1006"/>
        </w:numPr>
      </w:pPr>
      <w:r>
        <w:t xml:space="preserve">Warum ist Netzwerksegmentierung (z. B. Purdue-Modell) für OT besonders wichtig?</w:t>
      </w:r>
    </w:p>
    <w:p>
      <w:pPr>
        <w:pStyle w:val="FirstParagraph"/>
      </w:pPr>
      <w:r>
        <w:rPr>
          <w:b/>
          <w:bCs/>
        </w:rPr>
        <w:t xml:space="preserve">Teil G – KI und moderne Risiken</w:t>
      </w:r>
    </w:p>
    <w:p>
      <w:pPr>
        <w:pStyle w:val="Compact"/>
        <w:numPr>
          <w:ilvl w:val="0"/>
          <w:numId w:val="1007"/>
        </w:numPr>
      </w:pPr>
      <w:r>
        <w:t xml:space="preserve">Nennen Sie eine Chance und ein Risiko beim Einsatz von KI im Sicherheitskontext.</w:t>
      </w:r>
    </w:p>
    <w:p>
      <w:pPr>
        <w:pStyle w:val="Compact"/>
        <w:numPr>
          <w:ilvl w:val="0"/>
          <w:numId w:val="1007"/>
        </w:numPr>
      </w:pPr>
      <w:r>
        <w:t xml:space="preserve">Was versteht man unter Data Poisoning, und warum ist es für KI-Resilienz kritisch?</w:t>
      </w:r>
    </w:p>
    <w:p>
      <w:pPr>
        <w:pStyle w:val="Compact"/>
        <w:numPr>
          <w:ilvl w:val="0"/>
          <w:numId w:val="1007"/>
        </w:numPr>
      </w:pPr>
      <w:r>
        <w:t xml:space="preserve">Warum ist das Prinzip Human-in-the-Loop ein zentrales Resilienzprinzip?</w:t>
      </w:r>
    </w:p>
    <w:p>
      <w:pPr>
        <w:pStyle w:val="FirstParagraph"/>
      </w:pPr>
      <w:r>
        <w:t xml:space="preserve">Die kompakte Musterlösung liegt im Dozentenprojekt (</w:t>
      </w:r>
      <w:r>
        <w:rPr>
          <w:rStyle w:val="VerbatimChar"/>
        </w:rPr>
        <w:t xml:space="preserve">dozenten/loesungen.qmd</w:t>
      </w:r>
      <w:r>
        <w:t xml:space="preserve">) und wird bei Bedarf gesondert freigegeben.</w:t>
      </w:r>
    </w:p>
    <w:bookmarkEnd w:id="21"/>
    <w:bookmarkStart w:id="22" w:name="vorbereitung"/>
    <w:p>
      <w:pPr>
        <w:pStyle w:val="Heading1"/>
      </w:pPr>
      <w:r>
        <w:t xml:space="preserve">Vorbereitung</w:t>
      </w:r>
    </w:p>
    <w:p>
      <w:pPr>
        <w:pStyle w:val="Compact"/>
        <w:numPr>
          <w:ilvl w:val="0"/>
          <w:numId w:val="1008"/>
        </w:numPr>
      </w:pPr>
      <w:r>
        <w:t xml:space="preserve">Glossar durcharbeiten und Begriffe in Zusammenhänge einordnen.</w:t>
      </w:r>
    </w:p>
    <w:p>
      <w:pPr>
        <w:pStyle w:val="Compact"/>
        <w:numPr>
          <w:ilvl w:val="0"/>
          <w:numId w:val="1008"/>
        </w:numPr>
      </w:pPr>
      <w:r>
        <w:t xml:space="preserve">Leitfragen der Termine 1–10 schriftlich in Stichpunkten beantworten.</w:t>
      </w:r>
    </w:p>
    <w:p>
      <w:pPr>
        <w:pStyle w:val="Compact"/>
        <w:numPr>
          <w:ilvl w:val="0"/>
          <w:numId w:val="1008"/>
        </w:numPr>
      </w:pPr>
      <w:r>
        <w:t xml:space="preserve">Übungsszenarien (Ransomware am Montagmorgen, Phishing mit Admin-Credentials, GameNova, Plan the Worst Day) noch einmal durchdenken: Wer entscheidet was, welches Prinzip wirkt gegen welche Bedrohung?</w:t>
      </w:r>
    </w:p>
    <w:bookmarkEnd w:id="22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474" w:footer="567" w:header="567" w:left="1417" w:right="1417" w:top="181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8" w:space="4" w:color="4472C4"/>
      </w:pBdr>
      <w:tabs>
        <w:tab w:pos="9072" w:val="right"/>
      </w:tabs>
    </w:pPr>
    <w:r/>
    <w:r>
      <w:rPr>
        <w:color w:val="404040"/>
        <w:sz w:val="15"/>
      </w:rPr>
      <w:t>DIRK LOOMANS · VORLESUNGSSKRIPT GRUNDLAGEN DER RESILIENZ · HOCHSCHULE MAINZ</w:t>
      <w:tab/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093750" cy="45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sm-wirtschaf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3750" cy="45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/>
      <w:b/>
      <w:color w:val="2F549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/>
      <w:b w:val="0"/>
      <w:color w:val="2F5496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/>
      <w:b/>
      <w:color w:val="2F549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/>
      <w:b/>
      <w:color w:val="2F549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/>
      <w:b/>
      <w:color w:val="2F549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 11 – Klausur</dc:title>
  <dc:creator>Prof. Dr. Dirk Loomans</dc:creator>
  <dc:language>de</dc:language>
  <cp:keywords/>
  <dcterms:created xsi:type="dcterms:W3CDTF">2026-09-29T10:45:59Z</dcterms:created>
  <dcterms:modified xsi:type="dcterms:W3CDTF">2026-09-29T10:45:59Z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29. September 2026</vt:lpwstr>
  </property>
  <property fmtid="{D5CDD505-2E9C-101B-9397-08002B2CF9AE}" pid="7" name="date-format">
    <vt:lpwstr>D. MMMM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ference-section-title">
    <vt:lpwstr>Literatur</vt:lpwstr>
  </property>
  <property fmtid="{D5CDD505-2E9C-101B-9397-08002B2CF9AE}" pid="13" name="toc-title">
    <vt:lpwstr>Inhaltsverzeichnis</vt:lpwstr>
  </property>
</Properties>
</file>