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4.png" ContentType="image/png"/>
  <Override PartName="/word/media/rId65.png" ContentType="image/png"/>
  <Override PartName="/word/media/rId115.png" ContentType="image/png"/>
  <Override PartName="/word/media/rId46.png" ContentType="image/png"/>
  <Override PartName="/word/media/rId78.png" ContentType="image/png"/>
  <Override PartName="/word/media/rId35.png" ContentType="image/png"/>
  <Override PartName="/word/media/rId101.png" ContentType="image/png"/>
  <Override PartName="/word/media/rId110.png" ContentType="image/png"/>
  <Override PartName="/word/media/rId73.png" ContentType="image/png"/>
  <Override PartName="/word/media/rId28.png" ContentType="image/png"/>
  <Override PartName="/word/media/rId20.png" ContentType="image/png"/>
  <Override PartName="/word/media/rId3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Resilienz als Organisationsfähigkeit</w:t>
      </w:r>
    </w:p>
    <w:p>
      <w:pPr>
        <w:pStyle w:val="Subtitle"/>
      </w:pPr>
      <w:r>
        <w:t xml:space="preserve">Vorlesungsskript · Sitzung 5 · Grundlagen der Resilienz</w:t>
      </w:r>
    </w:p>
    <w:p>
      <w:pPr>
        <w:pStyle w:val="Author"/>
      </w:pPr>
      <w:r>
        <w:t xml:space="preserve">Prof. Dr. Dirk Loomans</w:t>
      </w:r>
    </w:p>
    <w:p>
      <w:pPr>
        <w:pStyle w:val="Date"/>
      </w:pPr>
      <w:r>
        <w:t xml:space="preserve">29. September 2026</w:t>
      </w:r>
    </w:p>
    <w:p>
      <w:pPr>
        <w:pStyle w:val="FirstParagraph"/>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p>
      <w:pPr>
        <w:pStyle w:val="BodyText"/>
      </w:pPr>
      <w:r>
        <w:t xml:space="preserve">Die mit „Hinweis zur Aktualität“ und „Ergänzung zur Vorlesung“ markierten Kästen sowie die Abbildungen wurden bei der Überführung ins Quarto-Projekt ergänzt. Der übrige Text entspricht dem Skript aus dem Wintersemester 2025/26; korrigiert wurden nur Tipp- und Umbruchfehler.</w:t>
      </w:r>
    </w:p>
    <w:bookmarkStart w:id="19" w:name="X3d6ac6523e134f44e48e61cab84e9cc8bef8033"/>
    <w:p>
      <w:pPr>
        <w:pStyle w:val="Heading1"/>
      </w:pPr>
      <w:r>
        <w:t xml:space="preserve">Kapitel 1 – Einleitung und Zielsetzung der Sitzung</w:t>
      </w:r>
    </w:p>
    <w:p>
      <w:pPr>
        <w:pStyle w:val="FirstParagraph"/>
      </w:pPr>
      <w:r>
        <w:t xml:space="preserve">In den vorangegangenen Sitzungen wurde Resilienz vor allem</w:t>
      </w:r>
      <w:r>
        <w:t xml:space="preserve"> </w:t>
      </w:r>
      <w:r>
        <w:rPr>
          <w:b/>
          <w:bCs/>
        </w:rPr>
        <w:t xml:space="preserve">technisch</w:t>
      </w:r>
      <w:r>
        <w:t xml:space="preserve"> </w:t>
      </w:r>
      <w:r>
        <w:t xml:space="preserve">betrachtet: Wie Systeme entworfen, redundant aufgebaut und wiederherstellbar gemacht werden können, um trotz Angriffen oder Störungen funktionsfähig zu bleiben. Diese fünfte Sitzung verschiebt nun den Fokus von der Technik auf die</w:t>
      </w:r>
      <w:r>
        <w:t xml:space="preserve"> </w:t>
      </w:r>
      <w:r>
        <w:rPr>
          <w:b/>
          <w:bCs/>
        </w:rPr>
        <w:t xml:space="preserve">Organisation</w:t>
      </w:r>
      <w:r>
        <w:t xml:space="preserve">, also auf die Fähigkeit von Menschen und Strukturen, in Krisen</w:t>
      </w:r>
      <w:r>
        <w:t xml:space="preserve"> </w:t>
      </w:r>
      <w:r>
        <w:rPr>
          <w:b/>
          <w:bCs/>
        </w:rPr>
        <w:t xml:space="preserve">koordiniert, informiert und entscheidungsfähig</w:t>
      </w:r>
      <w:r>
        <w:t xml:space="preserve"> </w:t>
      </w:r>
      <w:r>
        <w:t xml:space="preserve">zu handeln.</w:t>
      </w:r>
    </w:p>
    <w:p>
      <w:pPr>
        <w:pStyle w:val="BodyText"/>
      </w:pPr>
      <w:r>
        <w:t xml:space="preserve">Während technische Resilienz das „Wie überlebt das System?“ adressiert, fragt organisationale Resilienz:</w:t>
      </w:r>
    </w:p>
    <w:p>
      <w:pPr>
        <w:pStyle w:val="BodyText"/>
      </w:pPr>
      <w:r>
        <w:rPr>
          <w:i/>
          <w:iCs/>
        </w:rPr>
        <w:t xml:space="preserve">„Wie überlebt die Organisation – und bleibt dabei handlungsfähig?“</w:t>
      </w:r>
    </w:p>
    <w:p>
      <w:pPr>
        <w:pStyle w:val="BodyText"/>
      </w:pPr>
      <w:r>
        <w:t xml:space="preserve">In komplexen Cyber-Security-Umgebungen entscheidet nicht allein der technische Zustand über Erfolg oder Scheitern, sondern vor allem</w:t>
      </w:r>
      <w:r>
        <w:t xml:space="preserve"> </w:t>
      </w:r>
      <w:r>
        <w:rPr>
          <w:b/>
          <w:bCs/>
        </w:rPr>
        <w:t xml:space="preserve">Kommunikation, Entscheidungswege und Rollenbewusstsein</w:t>
      </w:r>
      <w:r>
        <w:t xml:space="preserve">.</w:t>
      </w:r>
    </w:p>
    <w:p>
      <w:pPr>
        <w:pStyle w:val="BodyText"/>
      </w:pPr>
      <w:r>
        <w:t xml:space="preserve">Organisationale Resilienz ist somit das Bindeglied zwischen Technologie, Management und Kultur.</w:t>
      </w:r>
    </w:p>
    <w:p>
      <w:pPr>
        <w:pStyle w:val="BodyText"/>
      </w:pPr>
      <w:r>
        <w:t xml:space="preserve">Die Sitzung verfolgt drei Lernziele:</w:t>
      </w:r>
    </w:p>
    <w:p>
      <w:pPr>
        <w:numPr>
          <w:ilvl w:val="0"/>
          <w:numId w:val="1001"/>
        </w:numPr>
      </w:pPr>
      <w:r>
        <w:rPr>
          <w:b/>
          <w:bCs/>
        </w:rPr>
        <w:t xml:space="preserve">Verstehen</w:t>
      </w:r>
      <w:r>
        <w:t xml:space="preserve">, was unter organisationaler Resilienz nach ISO 22316 zu verstehen ist (Fähigkeit, Störungen vorherzusehen, zu bewältigen und daraus zu lernen).</w:t>
      </w:r>
    </w:p>
    <w:p>
      <w:pPr>
        <w:numPr>
          <w:ilvl w:val="0"/>
          <w:numId w:val="1001"/>
        </w:numPr>
      </w:pPr>
      <w:r>
        <w:rPr>
          <w:b/>
          <w:bCs/>
        </w:rPr>
        <w:t xml:space="preserve">Erkennen</w:t>
      </w:r>
      <w:r>
        <w:t xml:space="preserve">, welche Rollen, Prozesse und Kommunikationsmuster Resilienz fördern oder behindern.</w:t>
      </w:r>
    </w:p>
    <w:p>
      <w:pPr>
        <w:numPr>
          <w:ilvl w:val="0"/>
          <w:numId w:val="1001"/>
        </w:numPr>
      </w:pPr>
      <w:r>
        <w:rPr>
          <w:b/>
          <w:bCs/>
        </w:rPr>
        <w:t xml:space="preserve">Anwenden</w:t>
      </w:r>
      <w:r>
        <w:t xml:space="preserve">, wie Organisationen durch Training, Governance und Lernkultur ihre Widerstandsfähigkeit institutionalisieren können.</w:t>
      </w:r>
    </w:p>
    <w:p>
      <w:pPr>
        <w:pStyle w:val="FirstParagraph"/>
      </w:pPr>
      <w:r>
        <w:t xml:space="preserve">Damit schließt die Sitzung die inhaltliche Lücke zwischen „technischer Robustheit“ und „sozialer Handlungsfähigkeit“.</w:t>
      </w:r>
    </w:p>
    <w:p>
      <w:pPr>
        <w:pStyle w:val="BodyText"/>
      </w:pPr>
      <w:r>
        <w:t xml:space="preserve">Beide Dimensionen sind komplementär: Nur wenn Systeme und Menschen gleichermaßen vorbereitet sind, entsteht echte Cyber-Resilienz.</w:t>
      </w:r>
    </w:p>
    <w:bookmarkEnd w:id="19"/>
    <w:bookmarkStart w:id="39" w:name="X8786202de367d6c70a10d934872afc263a0a122"/>
    <w:p>
      <w:pPr>
        <w:pStyle w:val="Heading1"/>
      </w:pPr>
      <w:r>
        <w:t xml:space="preserve">Kapitel 2 – Von der technischen zur organisationalen Resilienz</w:t>
      </w:r>
    </w:p>
    <w:p>
      <w:pPr>
        <w:pStyle w:val="FirstParagraph"/>
      </w:pPr>
      <w:r>
        <w:t xml:space="preserve">Technische Resilienz bildet die Grundlage moderner IT-Systeme. Sie basiert auf</w:t>
      </w:r>
      <w:r>
        <w:t xml:space="preserve"> </w:t>
      </w:r>
      <w:r>
        <w:rPr>
          <w:b/>
          <w:bCs/>
        </w:rPr>
        <w:t xml:space="preserve">Redundanz</w:t>
      </w:r>
      <w:r>
        <w:t xml:space="preserve">,</w:t>
      </w:r>
      <w:r>
        <w:t xml:space="preserve"> </w:t>
      </w:r>
      <w:r>
        <w:rPr>
          <w:b/>
          <w:bCs/>
        </w:rPr>
        <w:t xml:space="preserve">Diversität</w:t>
      </w:r>
      <w:r>
        <w:t xml:space="preserve">,</w:t>
      </w:r>
      <w:r>
        <w:t xml:space="preserve"> </w:t>
      </w:r>
      <w:r>
        <w:rPr>
          <w:b/>
          <w:bCs/>
        </w:rPr>
        <w:t xml:space="preserve">Wiederherstellbarkeit</w:t>
      </w:r>
      <w:r>
        <w:t xml:space="preserve"> </w:t>
      </w:r>
      <w:r>
        <w:t xml:space="preserve">und</w:t>
      </w:r>
      <w:r>
        <w:t xml:space="preserve"> </w:t>
      </w:r>
      <w:r>
        <w:rPr>
          <w:b/>
          <w:bCs/>
        </w:rPr>
        <w:t xml:space="preserve">Adaptivität</w:t>
      </w:r>
      <w:r>
        <w:t xml:space="preserve"> </w:t>
      </w:r>
      <w:r>
        <w:t xml:space="preserve">– also auf architektonischen Eigenschaften, die sicherstellen, dass Systeme Störungen absorbieren oder kompensieren können. Doch Technik allein erzeugt noch keine Resilienz. Sie schafft nur das</w:t>
      </w:r>
      <w:r>
        <w:t xml:space="preserve"> </w:t>
      </w:r>
      <w:r>
        <w:rPr>
          <w:b/>
          <w:bCs/>
        </w:rPr>
        <w:t xml:space="preserve">Potenzial</w:t>
      </w:r>
      <w:r>
        <w:t xml:space="preserve">, resilient zu sein.</w:t>
      </w:r>
    </w:p>
    <w:p>
      <w:pPr>
        <w:pStyle w:val="BodyText"/>
      </w:pPr>
      <w:r>
        <w:t xml:space="preserve">Organisationale Resilienz beschreibt dagegen die Fähigkeit, dieses Potenzial</w:t>
      </w:r>
      <w:r>
        <w:t xml:space="preserve"> </w:t>
      </w:r>
      <w:r>
        <w:rPr>
          <w:b/>
          <w:bCs/>
        </w:rPr>
        <w:t xml:space="preserve">gezielt zu aktivieren</w:t>
      </w:r>
      <w:r>
        <w:t xml:space="preserve"> </w:t>
      </w:r>
      <w:r>
        <w:t xml:space="preserve">– insbesondere unter Stress, Zeitdruck oder Informationsunsicherheit. Hier entscheidet nicht mehr die Architekturqualität, sondern die</w:t>
      </w:r>
      <w:r>
        <w:t xml:space="preserve"> </w:t>
      </w:r>
      <w:r>
        <w:rPr>
          <w:b/>
          <w:bCs/>
        </w:rPr>
        <w:t xml:space="preserve">Reaktionsfähigkeit der Organisation</w:t>
      </w:r>
      <w:r>
        <w:t xml:space="preserve">:</w:t>
      </w:r>
    </w:p>
    <w:p>
      <w:pPr>
        <w:pStyle w:val="BodyText"/>
      </w:pPr>
      <w:r>
        <w:t xml:space="preserve">Wer erkennt den Vorfall? Wer informiert wen?</w:t>
      </w:r>
    </w:p>
    <w:p>
      <w:pPr>
        <w:pStyle w:val="BodyText"/>
      </w:pPr>
      <w:r>
        <w:t xml:space="preserve">Wer entscheidet, was getan wird – und in welcher Reihenfolge?</w:t>
      </w:r>
    </w:p>
    <w:bookmarkStart w:id="24" w:name="X83c4de3854b2b8f7fbbee7cba146194a8706322"/>
    <w:p>
      <w:pPr>
        <w:pStyle w:val="Heading2"/>
      </w:pPr>
      <w:r>
        <w:t xml:space="preserve">2.1 Unterschiedliche Logiken von Technik und Organisation</w:t>
      </w:r>
    </w:p>
    <w:p>
      <w:pPr>
        <w:pStyle w:val="FirstParagraph"/>
      </w:pPr>
      <w:r>
        <w:t xml:space="preserve">Technische Resilienz und organisationale Resilienz folgen unterschiedlichen Logiken. Während technische Resilienz deterministisch und planbar ist, zielt organisationale Resilienz auf menschliches Verhalten, Entscheidungsfähigkeit und Kommunikation unter Unsicherheit.</w:t>
      </w:r>
    </w:p>
    <w:p>
      <w:pPr>
        <w:pStyle w:val="BodyText"/>
      </w:pPr>
      <w:r>
        <w:t xml:space="preserve">In der Praxis wird Resilienz nur dann wirksam, wenn</w:t>
      </w:r>
      <w:r>
        <w:t xml:space="preserve"> </w:t>
      </w:r>
      <w:r>
        <w:rPr>
          <w:b/>
          <w:bCs/>
        </w:rPr>
        <w:t xml:space="preserve">beide Ebenen</w:t>
      </w:r>
      <w:r>
        <w:t xml:space="preserve"> </w:t>
      </w:r>
      <w:r>
        <w:t xml:space="preserve">zusammenspielen.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Aspekt</w:t>
            </w:r>
          </w:p>
        </w:tc>
        <w:tc>
          <w:tcPr/>
          <w:p>
            <w:pPr>
              <w:pStyle w:val="Compact"/>
            </w:pPr>
            <w:r>
              <w:t xml:space="preserve">Technische Resilienz</w:t>
            </w:r>
          </w:p>
        </w:tc>
        <w:tc>
          <w:tcPr/>
          <w:p>
            <w:pPr>
              <w:pStyle w:val="Compact"/>
            </w:pPr>
            <w:r>
              <w:t xml:space="preserve">Organisationale Resilienz</w:t>
            </w:r>
          </w:p>
        </w:tc>
      </w:tr>
      <w:tr>
        <w:tc>
          <w:tcPr/>
          <w:p>
            <w:pPr>
              <w:pStyle w:val="Compact"/>
            </w:pPr>
            <w:r>
              <w:rPr>
                <w:b/>
                <w:bCs/>
              </w:rPr>
              <w:t xml:space="preserve">Steuerungslogik</w:t>
            </w:r>
          </w:p>
        </w:tc>
        <w:tc>
          <w:tcPr/>
          <w:p>
            <w:pPr>
              <w:pStyle w:val="Compact"/>
            </w:pPr>
            <w:r>
              <w:t xml:space="preserve">Deterministisch, automatisiert</w:t>
            </w:r>
          </w:p>
        </w:tc>
        <w:tc>
          <w:tcPr/>
          <w:p>
            <w:pPr>
              <w:pStyle w:val="Compact"/>
            </w:pPr>
            <w:r>
              <w:t xml:space="preserve">Adaptiv, situativ</w:t>
            </w:r>
          </w:p>
        </w:tc>
      </w:tr>
      <w:tr>
        <w:tc>
          <w:tcPr/>
          <w:p>
            <w:pPr>
              <w:pStyle w:val="Compact"/>
            </w:pPr>
            <w:r>
              <w:rPr>
                <w:b/>
                <w:bCs/>
              </w:rPr>
              <w:t xml:space="preserve">Fokus</w:t>
            </w:r>
          </w:p>
        </w:tc>
        <w:tc>
          <w:tcPr/>
          <w:p>
            <w:pPr>
              <w:pStyle w:val="Compact"/>
            </w:pPr>
            <w:r>
              <w:t xml:space="preserve">Systeme und Prozesse</w:t>
            </w:r>
          </w:p>
        </w:tc>
        <w:tc>
          <w:tcPr/>
          <w:p>
            <w:pPr>
              <w:pStyle w:val="Compact"/>
            </w:pPr>
            <w:r>
              <w:t xml:space="preserve">Menschen, Rollen, Kommunikation</w:t>
            </w:r>
          </w:p>
        </w:tc>
      </w:tr>
      <w:tr>
        <w:tc>
          <w:tcPr/>
          <w:p>
            <w:pPr>
              <w:pStyle w:val="Compact"/>
            </w:pPr>
            <w:r>
              <w:rPr>
                <w:b/>
                <w:bCs/>
              </w:rPr>
              <w:t xml:space="preserve">Nachweis</w:t>
            </w:r>
          </w:p>
        </w:tc>
        <w:tc>
          <w:tcPr/>
          <w:p>
            <w:pPr>
              <w:pStyle w:val="Compact"/>
            </w:pPr>
            <w:r>
              <w:t xml:space="preserve">Monitoring, Failover-Tests</w:t>
            </w:r>
          </w:p>
        </w:tc>
        <w:tc>
          <w:tcPr/>
          <w:p>
            <w:pPr>
              <w:pStyle w:val="Compact"/>
            </w:pPr>
            <w:r>
              <w:t xml:space="preserve">Übungen, Entscheidungswege, Lernfähigkeit</w:t>
            </w:r>
          </w:p>
        </w:tc>
      </w:tr>
      <w:tr>
        <w:tc>
          <w:tcPr/>
          <w:p>
            <w:pPr>
              <w:pStyle w:val="Compact"/>
            </w:pPr>
            <w:r>
              <w:rPr>
                <w:b/>
                <w:bCs/>
              </w:rPr>
              <w:t xml:space="preserve">Zielgröße</w:t>
            </w:r>
          </w:p>
        </w:tc>
        <w:tc>
          <w:tcPr/>
          <w:p>
            <w:pPr>
              <w:pStyle w:val="Compact"/>
            </w:pPr>
            <w:r>
              <w:t xml:space="preserve">System bleibt funktionsfähig</w:t>
            </w:r>
          </w:p>
        </w:tc>
        <w:tc>
          <w:tcPr/>
          <w:p>
            <w:pPr>
              <w:pStyle w:val="Compact"/>
            </w:pPr>
            <w:r>
              <w:t xml:space="preserve">Organisation bleibt handlungsfähig</w:t>
            </w:r>
          </w:p>
        </w:tc>
      </w:tr>
    </w:tbl>
    <w:p>
      <w:pPr>
        <w:pStyle w:val="BodyText"/>
      </w:pPr>
      <w:r>
        <w:t xml:space="preserve">Fachberichte und Leitfäden zum Incident Response zeigen, dass</w:t>
      </w:r>
      <w:r>
        <w:t xml:space="preserve"> </w:t>
      </w:r>
      <w:r>
        <w:rPr>
          <w:b/>
          <w:bCs/>
        </w:rPr>
        <w:t xml:space="preserve">organisatorische Defizite</w:t>
      </w:r>
      <w:r>
        <w:t xml:space="preserve"> </w:t>
      </w:r>
      <w:r>
        <w:t xml:space="preserve">häufig die Ursache für unzureichende Reaktionsfähigkeit sind.</w:t>
      </w:r>
    </w:p>
    <w:p>
      <w:pPr>
        <w:pStyle w:val="BodyText"/>
      </w:pPr>
      <w:r>
        <w:t xml:space="preserve">Der</w:t>
      </w:r>
      <w:r>
        <w:t xml:space="preserve"> </w:t>
      </w:r>
      <w:r>
        <w:rPr>
          <w:i/>
          <w:iCs/>
        </w:rPr>
        <w:t xml:space="preserve">NIST Computer Security Incident Handling Guide</w:t>
      </w:r>
      <w:r>
        <w:t xml:space="preserve"> </w:t>
      </w:r>
      <w:r>
        <w:t xml:space="preserve">(SP 800-61 Rev. 2, 2012) betont, dass die Effektivität des Incident Handling „maßgeblich von klaren Zuständigkeiten, Kommunikationswegen und geübten Prozessen“ abhängt – nicht primär von der eingesetzten Technik.</w:t>
      </w:r>
    </w:p>
    <w:p>
      <w:pPr>
        <w:pStyle w:val="BodyText"/>
      </w:pPr>
      <w:r>
        <w:t xml:space="preserve">Auch ENISA weist in ihren</w:t>
      </w:r>
      <w:r>
        <w:t xml:space="preserve"> </w:t>
      </w:r>
      <w:r>
        <w:rPr>
          <w:i/>
          <w:iCs/>
        </w:rPr>
        <w:t xml:space="preserve">Good Practice Guides for Incident Management</w:t>
      </w:r>
      <w:r>
        <w:t xml:space="preserve"> </w:t>
      </w:r>
      <w:r>
        <w:t xml:space="preserve">darauf hin, dass die größten Schwächen bei Eskalationen typischerweise in</w:t>
      </w:r>
      <w:r>
        <w:t xml:space="preserve"> </w:t>
      </w:r>
      <w:r>
        <w:rPr>
          <w:b/>
          <w:bCs/>
        </w:rPr>
        <w:t xml:space="preserve">Rollenunklarheit und fehlender Abstimmung zwischen Teams</w:t>
      </w:r>
      <w:r>
        <w:t xml:space="preserve"> </w:t>
      </w:r>
      <w:r>
        <w:t xml:space="preserve">liegen.</w:t>
      </w:r>
    </w:p>
    <w:p>
      <w:pPr>
        <w:pStyle w:val="BodyText"/>
      </w:pPr>
      <w:r>
        <w:t xml:space="preserve">SANS-Umfragen unter Incident-Response-Teams (z. B. SANS 2024 IR Survey) zeigen ebenfalls, dass „coordination“ und „communication“ zu den am häufigsten genannten Hindernissen zählen.</w:t>
      </w:r>
    </w:p>
    <w:p>
      <w:pPr>
        <w:pStyle w:val="BodyText"/>
      </w:pPr>
      <w:r>
        <w:t xml:space="preserve">Daraus ergibt sich ein klares Muster:</w:t>
      </w:r>
    </w:p>
    <w:p>
      <w:pPr>
        <w:pStyle w:val="BodyText"/>
      </w:pPr>
      <w:r>
        <w:t xml:space="preserve">Technische Schutzmaßnahmen sind notwendig, aber nicht hinreichend.</w:t>
      </w:r>
    </w:p>
    <w:p>
      <w:pPr>
        <w:pStyle w:val="BodyText"/>
      </w:pPr>
      <w:r>
        <w:t xml:space="preserve">Ohne funktionierende Entscheidungslogik, Kommunikationsdisziplin und Übung bleiben selbst hochverfügbare Systeme im Krisenfall wirkungslos.</w:t>
      </w:r>
    </w:p>
    <w:p>
      <w:pPr>
        <w:pStyle w:val="BodyText"/>
      </w:pPr>
      <w:r>
        <w:rPr>
          <w:i/>
          <w:iCs/>
        </w:rPr>
        <w:t xml:space="preserve">(Quellen: NIST SP 800-61 Rev. 2 (2012); ENISA Good Practice Guide for Incident Management (2021); SANS Incident Response Survey (2024).)</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usr/local/lib/python3.13/dist-packages/quarto_cli/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w:t>
            </w:r>
          </w:p>
        </w:tc>
      </w:tr>
      <w:tr>
        <w:trPr>
          <w:cantSplit/>
        </w:trPr>
        <w:tc>
          <w:tcPr>
            <w:tcMar>
              <w:top w:w="108" w:type="dxa"/>
              <w:bottom w:w="108" w:type="dxa"/>
            </w:tcMar>
          </w:tcPr>
          <w:p>
            <w:pPr>
              <w:pStyle w:val="BodyText"/>
            </w:pPr>
            <w:pPr>
              <w:spacing w:before="16" w:after="16"/>
            </w:pPr>
            <w:r>
              <w:t xml:space="preserve">NIST SP 800-61 Rev. 2 (2012) wurde im April 2025 durch Revision 3 ersetzt, die Incident Response am NIST CSF 2.0 ausrichtet</w:t>
            </w:r>
            <w:r>
              <w:t xml:space="preserve"> </w:t>
            </w:r>
            <w:r>
              <w:t xml:space="preserve">(Nelson u. a. 2025)</w:t>
            </w:r>
            <w:r>
              <w:t xml:space="preserve">. Titel und Jahr der hier genannten ENISA- und SANS-Quellen sind nicht geprüft. Siehe</w:t>
            </w:r>
            <w:r>
              <w:t xml:space="preserve"> </w:t>
            </w:r>
            <w:hyperlink r:id="rId23">
              <w:r>
                <w:rPr>
                  <w:rStyle w:val="Hyperlink"/>
                </w:rPr>
                <w:t xml:space="preserve">Quellen, Hinweis 6</w:t>
              </w:r>
            </w:hyperlink>
            <w:r>
              <w:t xml:space="preserve">,</w:t>
            </w:r>
            <w:r>
              <w:t xml:space="preserve"> </w:t>
            </w:r>
            <w:hyperlink r:id="rId23">
              <w:r>
                <w:rPr>
                  <w:rStyle w:val="Hyperlink"/>
                </w:rPr>
                <w:t xml:space="preserve">Quellen, Hinweis 10</w:t>
              </w:r>
            </w:hyperlink>
            <w:r>
              <w:t xml:space="preserve">.</w:t>
            </w:r>
          </w:p>
          <w:p/>
        </w:tc>
      </w:tr>
    </w:tbl>
    <w:bookmarkEnd w:id="24"/>
    <w:bookmarkStart w:id="25" w:name="Xadc7052390152f47742783fae0465737885463e"/>
    <w:p>
      <w:pPr>
        <w:pStyle w:val="Heading2"/>
      </w:pPr>
      <w:r>
        <w:t xml:space="preserve">2.2 Die Rolle der Kommunikation und Entscheidungslogik</w:t>
      </w:r>
    </w:p>
    <w:p>
      <w:pPr>
        <w:pStyle w:val="FirstParagraph"/>
      </w:pPr>
      <w:r>
        <w:t xml:space="preserve">Technik kann Redundanz schaffen – aber</w:t>
      </w:r>
      <w:r>
        <w:t xml:space="preserve"> </w:t>
      </w:r>
      <w:r>
        <w:rPr>
          <w:b/>
          <w:bCs/>
        </w:rPr>
        <w:t xml:space="preserve">nicht Kommunikation ersetzen</w:t>
      </w:r>
      <w:r>
        <w:t xml:space="preserve">. Die Fähigkeit, in Krisen klar zu kommunizieren, priorisieren und Entscheidungen zu treffen, ist das soziale Äquivalent zu technischer Fehlertoleranz. In diesem Sinne wirkt Organisationale Resilienz wie ein „</w:t>
      </w:r>
      <w:r>
        <w:rPr>
          <w:b/>
          <w:bCs/>
        </w:rPr>
        <w:t xml:space="preserve">soziales Redundanzsystem</w:t>
      </w:r>
      <w:r>
        <w:t xml:space="preserve">“ – sie fängt menschliche und informationelle Unsicherheiten ab.</w:t>
      </w:r>
    </w:p>
    <w:p>
      <w:pPr>
        <w:pStyle w:val="BodyText"/>
      </w:pPr>
      <w:r>
        <w:t xml:space="preserve">Kommunikation wird dadurch selbst zu einem</w:t>
      </w:r>
      <w:r>
        <w:t xml:space="preserve"> </w:t>
      </w:r>
      <w:r>
        <w:rPr>
          <w:b/>
          <w:bCs/>
        </w:rPr>
        <w:t xml:space="preserve">Resilienzfaktor</w:t>
      </w:r>
      <w:r>
        <w:t xml:space="preserve">: Wenn Informationen zu spät, unvollständig oder falsch verstanden werden, können auch perfekte technische Systeme nicht effektiv reagieren. Daher ist Kommunikation keine Nebentätigkeit, sondern</w:t>
      </w:r>
      <w:r>
        <w:t xml:space="preserve"> </w:t>
      </w:r>
      <w:r>
        <w:rPr>
          <w:b/>
          <w:bCs/>
        </w:rPr>
        <w:t xml:space="preserve">Teil der Resilienzarchitektur</w:t>
      </w:r>
      <w:r>
        <w:t xml:space="preserve">.</w:t>
      </w:r>
    </w:p>
    <w:bookmarkEnd w:id="25"/>
    <w:bookmarkStart w:id="38" w:name="Xe73179e247e9e12f9b5e8eafbf3c5c4fc63a14d"/>
    <w:p>
      <w:pPr>
        <w:pStyle w:val="Heading2"/>
      </w:pPr>
      <w:r>
        <w:t xml:space="preserve">2.3 Organisational Resilience als Verhaltensdisziplin</w:t>
      </w:r>
    </w:p>
    <w:p>
      <w:pPr>
        <w:pStyle w:val="FirstParagraph"/>
      </w:pPr>
      <w:r>
        <w:t xml:space="preserve">ISO 22316 definiert organisationale Resilienz als die Fähigkeit, „Störungen vorherzusehen, sich darauf vorzubereiten, darauf zu reagieren und sich daran anzupassen, um in einem sich verändernden Umfeld zu überleben und zu gedeihen.“</w:t>
      </w:r>
    </w:p>
    <w:p>
      <w:pPr>
        <w:pStyle w:val="BodyText"/>
      </w:pPr>
      <w:r>
        <w:t xml:space="preserve">Damit wird Resilienz zu einer</w:t>
      </w:r>
      <w:r>
        <w:t xml:space="preserve"> </w:t>
      </w:r>
      <w:r>
        <w:rPr>
          <w:b/>
          <w:bCs/>
        </w:rPr>
        <w:t xml:space="preserve">Verhaltensdisziplin</w:t>
      </w:r>
      <w:r>
        <w:t xml:space="preserve">. Sie entsteht nicht in der Dokumentation, sondern in der Übung:</w:t>
      </w:r>
    </w:p>
    <w:p>
      <w:pPr>
        <w:pStyle w:val="BodyText"/>
      </w:pPr>
      <w:r>
        <w:t xml:space="preserve">Menschen müssen trainiert werden, wie Systeme reagieren – nicht nur wissen, dass sie es sollen.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usr/local/lib/python3.13/dist-packages/quarto_cli/share/formats/docx/note.png" id="2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w:t>
            </w:r>
          </w:p>
        </w:tc>
      </w:tr>
      <w:tr>
        <w:trPr>
          <w:cantSplit/>
        </w:trPr>
        <w:tc>
          <w:tcPr>
            <w:tcMar>
              <w:top w:w="108" w:type="dxa"/>
              <w:bottom w:w="108" w:type="dxa"/>
            </w:tcMar>
          </w:tcPr>
          <w:p>
            <w:pPr>
              <w:pStyle w:val="BodyText"/>
            </w:pPr>
            <w:pPr>
              <w:spacing w:before="16" w:after="16"/>
            </w:pPr>
            <w:r>
              <w:t xml:space="preserve">Die hier zitierte Formulierung („vorhersehen, vorbereiten, reagieren, anpassen“) entspricht der britischen Norm BS 65000:2014. ISO 22316:2017 definiert organisationale Resilienz knapper als Fähigkeit einer Organisation, in einem sich wandelnden Umfeld Störungen aufzufangen und sich anzupassen, um ihre Ziele zu erreichen, zu überleben und zu gedeihen („absorb and adapt“)</w:t>
            </w:r>
            <w:r>
              <w:t xml:space="preserve"> </w:t>
            </w:r>
            <w:r>
              <w:t xml:space="preserve">(ISO 22316 2017)</w:t>
            </w:r>
            <w:r>
              <w:t xml:space="preserve">. Siehe</w:t>
            </w:r>
            <w:r>
              <w:t xml:space="preserve"> </w:t>
            </w:r>
            <w:hyperlink r:id="rId23">
              <w:r>
                <w:rPr>
                  <w:rStyle w:val="Hyperlink"/>
                </w:rPr>
                <w:t xml:space="preserve">Quellen, Hinweis 11</w:t>
              </w:r>
            </w:hyperlink>
            <w:r>
              <w:t xml:space="preserve">.</w:t>
            </w:r>
          </w:p>
          <w:p/>
        </w:tc>
      </w:tr>
    </w:tbl>
    <w:p>
      <w:pPr>
        <w:pStyle w:val="CaptionedFigure"/>
      </w:pPr>
      <w:r>
        <w:drawing>
          <wp:inline>
            <wp:extent cx="3451860" cy="2630436"/>
            <wp:effectExtent b="0" l="0" r="0" t="0"/>
            <wp:docPr descr="Vier Kernkomponenten organisationaler Resilienz" title="" id="29" name="Picture"/>
            <a:graphic>
              <a:graphicData uri="http://schemas.openxmlformats.org/drawingml/2006/picture">
                <pic:pic>
                  <pic:nvPicPr>
                    <pic:cNvPr descr="../Präsentationen/Termin-05/assets/vier-komponenten.png" id="30" name="Picture"/>
                    <pic:cNvPicPr>
                      <a:picLocks noChangeArrowheads="1" noChangeAspect="1"/>
                    </pic:cNvPicPr>
                  </pic:nvPicPr>
                  <pic:blipFill>
                    <a:blip r:embed="rId28"/>
                    <a:stretch>
                      <a:fillRect/>
                    </a:stretch>
                  </pic:blipFill>
                  <pic:spPr bwMode="auto">
                    <a:xfrm>
                      <a:off x="0" y="0"/>
                      <a:ext cx="3451860" cy="2630436"/>
                    </a:xfrm>
                    <a:prstGeom prst="rect">
                      <a:avLst/>
                    </a:prstGeom>
                    <a:noFill/>
                    <a:ln w="9525">
                      <a:noFill/>
                      <a:headEnd/>
                      <a:tailEnd/>
                    </a:ln>
                  </pic:spPr>
                </pic:pic>
              </a:graphicData>
            </a:graphic>
          </wp:inline>
        </w:drawing>
      </w:r>
    </w:p>
    <w:p>
      <w:pPr>
        <w:pStyle w:val="ImageCaption"/>
      </w:pPr>
      <w:r>
        <w:t xml:space="preserve">Vier Kernkomponenten organisationaler Resilienz</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usr/local/lib/python3.13/dist-packages/quarto_cli/share/formats/docx/tip.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Norsk Hydro 2019</w:t>
            </w:r>
          </w:p>
        </w:tc>
      </w:tr>
      <w:tr>
        <w:trPr>
          <w:cantSplit/>
        </w:trPr>
        <w:tc>
          <w:tcPr>
            <w:tcMar>
              <w:top w:w="108" w:type="dxa"/>
              <w:bottom w:w="108" w:type="dxa"/>
            </w:tcMar>
          </w:tcPr>
          <w:p>
            <w:pPr>
              <w:pStyle w:val="BodyText"/>
            </w:pPr>
            <w:pPr>
              <w:spacing w:before="16"/>
            </w:pPr>
            <w:r>
              <w:t xml:space="preserve">Am 19. März 2019 traf die Ransomware LockerGoga den norwegischen Aluminiumkonzern Norsk Hydro; betroffen war die gesamte Organisation mit rund 35.000 Beschäftigten in 40 Ländern. Hydro isolierte alle Anlagen und stellte, wo möglich, auf manuelle Abläufe um. Energie sowie Bauxit und Tonerde produzierten nahezu normal, mehrere Werke der Strangpressprodukte standen zeitweise still. Noch am selben Tag gab das Unternehmen eine Analysten- und Pressekonferenz mit Webübertragung und informierte danach laufend. Lösegeld zahlte Hydro nicht; Rechner und Server wurden bereinigt oder aus Backups neu aufgebaut. Die Gesamtkosten bezifferte Hydro auf rund 800 Millionen Kronen.</w:t>
            </w:r>
          </w:p>
          <w:p>
            <w:pPr>
              <w:pStyle w:val="BodyText"/>
            </w:pPr>
            <w:r>
              <w:t xml:space="preserve">Der Fall gilt als Beispiel organisationaler Resilienz: Die Technik war gefallen, die Organisation nicht. Entscheidungen (isolieren, manuell weiterarbeiten, nicht zahlen), besetzte Rollen und offene Kommunikation trugen das Unternehmen durch den Ausfall.</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4027170" cy="3068842"/>
            <wp:effectExtent b="0" l="0" r="0" t="0"/>
            <wp:docPr descr="Norsk Hydro 2019: Was ausfiel und was trug" title="" id="36" name="Picture"/>
            <a:graphic>
              <a:graphicData uri="http://schemas.openxmlformats.org/drawingml/2006/picture">
                <pic:pic>
                  <pic:nvPicPr>
                    <pic:cNvPr descr="../Präsentationen/Termin-05/assets/norsk-hydro-2019.png" id="37" name="Picture"/>
                    <pic:cNvPicPr>
                      <a:picLocks noChangeArrowheads="1" noChangeAspect="1"/>
                    </pic:cNvPicPr>
                  </pic:nvPicPr>
                  <pic:blipFill>
                    <a:blip r:embed="rId35"/>
                    <a:stretch>
                      <a:fillRect/>
                    </a:stretch>
                  </pic:blipFill>
                  <pic:spPr bwMode="auto">
                    <a:xfrm>
                      <a:off x="0" y="0"/>
                      <a:ext cx="4027170" cy="3068842"/>
                    </a:xfrm>
                    <a:prstGeom prst="rect">
                      <a:avLst/>
                    </a:prstGeom>
                    <a:noFill/>
                    <a:ln w="9525">
                      <a:noFill/>
                      <a:headEnd/>
                      <a:tailEnd/>
                    </a:ln>
                  </pic:spPr>
                </pic:pic>
              </a:graphicData>
            </a:graphic>
          </wp:inline>
        </w:drawing>
      </w:r>
    </w:p>
    <w:p>
      <w:pPr>
        <w:pStyle w:val="ImageCaption"/>
      </w:pPr>
      <w:r>
        <w:t xml:space="preserve">Norsk Hydro 2019: Was ausfiel und was trug</w:t>
      </w:r>
    </w:p>
    <w:bookmarkEnd w:id="38"/>
    <w:bookmarkEnd w:id="39"/>
    <w:bookmarkStart w:id="50" w:name="Xddb95ba82389d52f5f19364b54496f3bee211bf"/>
    <w:p>
      <w:pPr>
        <w:pStyle w:val="Heading1"/>
      </w:pPr>
      <w:r>
        <w:t xml:space="preserve">Kapitel 3 – Der Resilienzzyklus und seine organisatorische Umsetzung</w:t>
      </w:r>
    </w:p>
    <w:p>
      <w:pPr>
        <w:pStyle w:val="FirstParagraph"/>
      </w:pPr>
      <w:r>
        <w:t xml:space="preserve">Der Resilienzzyklus beschreibt den wiederkehrenden Prozess, mit dem eine Organisation Störungen erkennt, bewältigt und daraus lernt.</w:t>
      </w:r>
    </w:p>
    <w:p>
      <w:pPr>
        <w:pStyle w:val="BodyText"/>
      </w:pPr>
      <w:r>
        <w:t xml:space="preserve">Er umfasst die Phasen</w:t>
      </w:r>
      <w:r>
        <w:t xml:space="preserve"> </w:t>
      </w:r>
      <w:r>
        <w:rPr>
          <w:b/>
          <w:bCs/>
        </w:rPr>
        <w:t xml:space="preserve">Detection</w:t>
      </w:r>
      <w:r>
        <w:t xml:space="preserve">,</w:t>
      </w:r>
      <w:r>
        <w:t xml:space="preserve"> </w:t>
      </w:r>
      <w:r>
        <w:rPr>
          <w:b/>
          <w:bCs/>
        </w:rPr>
        <w:t xml:space="preserve">Response</w:t>
      </w:r>
      <w:r>
        <w:t xml:space="preserve">,</w:t>
      </w:r>
      <w:r>
        <w:t xml:space="preserve"> </w:t>
      </w:r>
      <w:r>
        <w:rPr>
          <w:b/>
          <w:bCs/>
        </w:rPr>
        <w:t xml:space="preserve">Recovery</w:t>
      </w:r>
      <w:r>
        <w:t xml:space="preserve"> </w:t>
      </w:r>
      <w:r>
        <w:t xml:space="preserve">und</w:t>
      </w:r>
      <w:r>
        <w:t xml:space="preserve"> </w:t>
      </w:r>
      <w:r>
        <w:rPr>
          <w:b/>
          <w:bCs/>
        </w:rPr>
        <w:t xml:space="preserve">Adapt</w:t>
      </w:r>
      <w:r>
        <w:t xml:space="preserve">, die – ähnlich wie der PDCA-Zyklus – ein kontinuierliches Lernen ermöglichen. Während der PDCA-Ansatz (Plan–Do–Check–Act) auf Qualitätsmanagement und ISO 27001 zielt, fokussiert der Resilienzzyklus auf</w:t>
      </w:r>
      <w:r>
        <w:t xml:space="preserve"> </w:t>
      </w:r>
      <w:r>
        <w:rPr>
          <w:b/>
          <w:bCs/>
        </w:rPr>
        <w:t xml:space="preserve">reaktive und adaptive Fähigkeiten im Krisenfall</w:t>
      </w:r>
      <w:r>
        <w:t xml:space="preserve">.</w:t>
      </w:r>
    </w:p>
    <w:bookmarkStart w:id="40" w:name="X2647133bc96c3ea99d2b46d0039d40fa5129dd0"/>
    <w:p>
      <w:pPr>
        <w:pStyle w:val="Heading2"/>
      </w:pPr>
      <w:r>
        <w:t xml:space="preserve">3.1 Detection – Wahrnehmungsfähigkeit als Startpunkt</w:t>
      </w:r>
    </w:p>
    <w:p>
      <w:pPr>
        <w:pStyle w:val="FirstParagraph"/>
      </w:pPr>
      <w:r>
        <w:t xml:space="preserve">Resilienz beginnt mit der Fähigkeit, Abweichungen frühzeitig zu erkennen. Detection bedeutet nicht nur technisches Monitoring (z. B. Logfiles, IDS), sondern auch die</w:t>
      </w:r>
      <w:r>
        <w:t xml:space="preserve"> </w:t>
      </w:r>
      <w:r>
        <w:rPr>
          <w:b/>
          <w:bCs/>
        </w:rPr>
        <w:t xml:space="preserve">menschliche Wahrnehmung</w:t>
      </w:r>
      <w:r>
        <w:t xml:space="preserve"> </w:t>
      </w:r>
      <w:r>
        <w:t xml:space="preserve">ungewöhnlicher Situationen – etwa bei Nutzeranfragen, Performanceeinbrüchen oder untypischem Kommunikationsverhalten. Eine Organisation ist nur so resilient wie ihre Fähigkeit, Signale richtig zu interpretieren.</w:t>
      </w:r>
    </w:p>
    <w:p>
      <w:pPr>
        <w:numPr>
          <w:ilvl w:val="0"/>
          <w:numId w:val="1002"/>
        </w:numPr>
      </w:pPr>
      <w:r>
        <w:rPr>
          <w:b/>
          <w:bCs/>
        </w:rPr>
        <w:t xml:space="preserve">Technische Dimension:</w:t>
      </w:r>
      <w:r>
        <w:t xml:space="preserve"> </w:t>
      </w:r>
      <w:r>
        <w:t xml:space="preserve">Sensorik, SIEM, Anomalieerkennung</w:t>
      </w:r>
    </w:p>
    <w:p>
      <w:pPr>
        <w:numPr>
          <w:ilvl w:val="0"/>
          <w:numId w:val="1002"/>
        </w:numPr>
      </w:pPr>
      <w:r>
        <w:rPr>
          <w:b/>
          <w:bCs/>
        </w:rPr>
        <w:t xml:space="preserve">Organisationale Dimension:</w:t>
      </w:r>
      <w:r>
        <w:t xml:space="preserve"> </w:t>
      </w:r>
      <w:r>
        <w:t xml:space="preserve">Meldekultur, Informationsaufnahme, Priorisierung</w:t>
      </w:r>
    </w:p>
    <w:p>
      <w:pPr>
        <w:numPr>
          <w:ilvl w:val="0"/>
          <w:numId w:val="1002"/>
        </w:numPr>
      </w:pPr>
      <w:r>
        <w:rPr>
          <w:b/>
          <w:bCs/>
        </w:rPr>
        <w:t xml:space="preserve">Herausforderung:</w:t>
      </w:r>
      <w:r>
        <w:t xml:space="preserve"> </w:t>
      </w:r>
      <w:r>
        <w:t xml:space="preserve">Informationsrauschen vs. Aufmerksamkeit</w:t>
      </w:r>
    </w:p>
    <w:p>
      <w:pPr>
        <w:pStyle w:val="FirstParagraph"/>
      </w:pPr>
      <w:r>
        <w:t xml:space="preserve">Ziel ist nicht absolute Überwachung, sondern</w:t>
      </w:r>
      <w:r>
        <w:t xml:space="preserve"> </w:t>
      </w:r>
      <w:r>
        <w:rPr>
          <w:b/>
          <w:bCs/>
        </w:rPr>
        <w:t xml:space="preserve">zielgerichtete Wahrnehmung</w:t>
      </w:r>
      <w:r>
        <w:t xml:space="preserve">.</w:t>
      </w:r>
    </w:p>
    <w:bookmarkEnd w:id="40"/>
    <w:bookmarkStart w:id="41" w:name="Xcb7c0240c03263233b05156733a6fd7650d074b"/>
    <w:p>
      <w:pPr>
        <w:pStyle w:val="Heading2"/>
      </w:pPr>
      <w:r>
        <w:t xml:space="preserve">3.2 Response – Koordinierte Reaktion unter Unsicherheit</w:t>
      </w:r>
    </w:p>
    <w:p>
      <w:pPr>
        <w:pStyle w:val="FirstParagraph"/>
      </w:pPr>
      <w:r>
        <w:t xml:space="preserve">In der Response-Phase entscheidet die Organisation,</w:t>
      </w:r>
      <w:r>
        <w:t xml:space="preserve"> </w:t>
      </w:r>
      <w:r>
        <w:rPr>
          <w:b/>
          <w:bCs/>
        </w:rPr>
        <w:t xml:space="preserve">wer was wann tut</w:t>
      </w:r>
      <w:r>
        <w:t xml:space="preserve">. Sie umfasst Sofortmaßnahmen, Schadensbegrenzung und interne Kommunikation. Zentral ist die</w:t>
      </w:r>
      <w:r>
        <w:t xml:space="preserve"> </w:t>
      </w:r>
      <w:r>
        <w:rPr>
          <w:b/>
          <w:bCs/>
        </w:rPr>
        <w:t xml:space="preserve">Eskalationsfähigkeit</w:t>
      </w:r>
      <w:r>
        <w:t xml:space="preserve">: Ein Incident darf nicht an individuellen Grenzen hängen bleiben.</w:t>
      </w:r>
    </w:p>
    <w:p>
      <w:pPr>
        <w:pStyle w:val="BodyText"/>
      </w:pPr>
      <w:r>
        <w:t xml:space="preserve">Das erfordert klare Rollen (z. B. Incident Commander), Kommunikationsroutinen und Entscheidungskompetenzen.</w:t>
      </w:r>
    </w:p>
    <w:p>
      <w:pPr>
        <w:pStyle w:val="BodyText"/>
      </w:pPr>
      <w:r>
        <w:t xml:space="preserve">Ein häufiges Problem: Teams reagieren technisch korrekt, aber</w:t>
      </w:r>
      <w:r>
        <w:t xml:space="preserve"> </w:t>
      </w:r>
      <w:r>
        <w:rPr>
          <w:b/>
          <w:bCs/>
        </w:rPr>
        <w:t xml:space="preserve">unkoordiniert</w:t>
      </w:r>
      <w:r>
        <w:t xml:space="preserve">, weil niemand das Gesamtbild verantwortet. Organisationale Resilienz zielt daher auf Synchronisation: Alle Beteiligten handeln entlang einer gemeinsamen Lageeinschätzung.</w:t>
      </w:r>
    </w:p>
    <w:bookmarkEnd w:id="41"/>
    <w:bookmarkStart w:id="42" w:name="Xbd86ad21a896dcab419a9c34b854ef2c8b1b831"/>
    <w:p>
      <w:pPr>
        <w:pStyle w:val="Heading2"/>
      </w:pPr>
      <w:r>
        <w:t xml:space="preserve">3.3 Recovery – Wiederherstellung der Handlungsfähigkeit</w:t>
      </w:r>
    </w:p>
    <w:p>
      <w:pPr>
        <w:pStyle w:val="FirstParagraph"/>
      </w:pPr>
      <w:r>
        <w:t xml:space="preserve">Recovery bedeutet mehr als „Systeme wieder hochfahren“. Es geht um das</w:t>
      </w:r>
      <w:r>
        <w:t xml:space="preserve"> </w:t>
      </w:r>
      <w:r>
        <w:rPr>
          <w:b/>
          <w:bCs/>
        </w:rPr>
        <w:t xml:space="preserve">Wiederherstellen organisationaler Funktion</w:t>
      </w:r>
      <w:r>
        <w:t xml:space="preserve"> </w:t>
      </w:r>
      <w:r>
        <w:t xml:space="preserve">– z. B. Entscheidungsfähigkeit, Kommunikationsflüsse und Prioritätensteuerung. Technische Recovery ohne organisatorische Priorisierung führt oft zu suboptimalen Ergebnissen (etwa Wiederanlauf unwichtiger Systeme vor kritischen Prozessen).</w:t>
      </w:r>
    </w:p>
    <w:p>
      <w:pPr>
        <w:pStyle w:val="BodyText"/>
      </w:pPr>
      <w:r>
        <w:t xml:space="preserve">Daher muss die Recovery-Phase</w:t>
      </w:r>
    </w:p>
    <w:p>
      <w:pPr>
        <w:numPr>
          <w:ilvl w:val="0"/>
          <w:numId w:val="1003"/>
        </w:numPr>
      </w:pPr>
      <w:r>
        <w:t xml:space="preserve">Prioritäten nach Geschäftsrelevanz (Business Impact) berücksichtigen,</w:t>
      </w:r>
    </w:p>
    <w:p>
      <w:pPr>
        <w:numPr>
          <w:ilvl w:val="0"/>
          <w:numId w:val="1003"/>
        </w:numPr>
      </w:pPr>
      <w:r>
        <w:t xml:space="preserve">Kommunikation mit Stakeholdern sichern,</w:t>
      </w:r>
    </w:p>
    <w:p>
      <w:pPr>
        <w:numPr>
          <w:ilvl w:val="0"/>
          <w:numId w:val="1003"/>
        </w:numPr>
      </w:pPr>
      <w:r>
        <w:t xml:space="preserve">und psychologische Belastung im Team einbeziehen.</w:t>
      </w:r>
    </w:p>
    <w:p>
      <w:pPr>
        <w:pStyle w:val="FirstParagraph"/>
      </w:pPr>
      <w:r>
        <w:t xml:space="preserve">Eine gute Wiederherstellung ist</w:t>
      </w:r>
      <w:r>
        <w:t xml:space="preserve"> </w:t>
      </w:r>
      <w:r>
        <w:rPr>
          <w:b/>
          <w:bCs/>
        </w:rPr>
        <w:t xml:space="preserve">koordiniert, nicht chaotisch</w:t>
      </w:r>
      <w:r>
        <w:t xml:space="preserve">.</w:t>
      </w:r>
    </w:p>
    <w:bookmarkEnd w:id="42"/>
    <w:bookmarkStart w:id="43" w:name="adapt-lernen-und-verbessern"/>
    <w:p>
      <w:pPr>
        <w:pStyle w:val="Heading2"/>
      </w:pPr>
      <w:r>
        <w:t xml:space="preserve">3.4 Adapt – Lernen und Verbessern</w:t>
      </w:r>
    </w:p>
    <w:p>
      <w:pPr>
        <w:pStyle w:val="FirstParagraph"/>
      </w:pPr>
      <w:r>
        <w:t xml:space="preserve">Der letzte Schritt ist der entscheidende:</w:t>
      </w:r>
      <w:r>
        <w:t xml:space="preserve"> </w:t>
      </w:r>
      <w:r>
        <w:rPr>
          <w:b/>
          <w:bCs/>
        </w:rPr>
        <w:t xml:space="preserve">Lernen aus Störungen</w:t>
      </w:r>
      <w:r>
        <w:t xml:space="preserve">. Nur durch Reflexion und Anpassung wird Resilienz nachhaltig. Der Lernprozess erfolgt systematisch über</w:t>
      </w:r>
      <w:r>
        <w:t xml:space="preserve"> </w:t>
      </w:r>
      <w:r>
        <w:rPr>
          <w:i/>
          <w:iCs/>
        </w:rPr>
        <w:t xml:space="preserve">After-Action Reviews</w:t>
      </w:r>
      <w:r>
        <w:t xml:space="preserve">,</w:t>
      </w:r>
      <w:r>
        <w:t xml:space="preserve"> </w:t>
      </w:r>
      <w:r>
        <w:rPr>
          <w:i/>
          <w:iCs/>
        </w:rPr>
        <w:t xml:space="preserve">Post-Mortems</w:t>
      </w:r>
      <w:r>
        <w:t xml:space="preserve"> </w:t>
      </w:r>
      <w:r>
        <w:t xml:space="preserve">oder</w:t>
      </w:r>
      <w:r>
        <w:t xml:space="preserve"> </w:t>
      </w:r>
      <w:r>
        <w:rPr>
          <w:i/>
          <w:iCs/>
        </w:rPr>
        <w:t xml:space="preserve">Lessons Learned</w:t>
      </w:r>
      <w:r>
        <w:t xml:space="preserve">-Workshops.</w:t>
      </w:r>
    </w:p>
    <w:p>
      <w:pPr>
        <w:pStyle w:val="BodyText"/>
      </w:pPr>
      <w:r>
        <w:t xml:space="preserve">Hier werden nicht Schuldige gesucht, sondern strukturelle Ursachen analysiert. Das Ergebnis fließt in Schulungen, Playbooks, Governance und Architektur zurück.</w:t>
      </w:r>
    </w:p>
    <w:p>
      <w:pPr>
        <w:pStyle w:val="BodyText"/>
      </w:pPr>
      <w:r>
        <w:rPr>
          <w:b/>
          <w:bCs/>
        </w:rPr>
        <w:t xml:space="preserve">Adaptivität ist damit das Bindeglied zwischen Incident Handling und Organisationsentwicklung.</w:t>
      </w:r>
    </w:p>
    <w:p>
      <w:pPr>
        <w:pStyle w:val="BodyText"/>
      </w:pPr>
      <w:r>
        <w:t xml:space="preserve">Eine Organisation, die nach jedem Vorfall etwas besser wird, ist per Definition resilient.</w:t>
      </w:r>
    </w:p>
    <w:bookmarkEnd w:id="43"/>
    <w:bookmarkStart w:id="49" w:name="zusammenhang-mit-etablierten-frameworks"/>
    <w:p>
      <w:pPr>
        <w:pStyle w:val="Heading2"/>
      </w:pPr>
      <w:r>
        <w:t xml:space="preserve">3.5 Zusammenhang mit etablierten Frameworks</w:t>
      </w:r>
    </w:p>
    <w:p>
      <w:pPr>
        <w:numPr>
          <w:ilvl w:val="0"/>
          <w:numId w:val="1004"/>
        </w:numPr>
      </w:pPr>
      <w:r>
        <w:rPr>
          <w:b/>
          <w:bCs/>
        </w:rPr>
        <w:t xml:space="preserve">ISO/IEC 27035</w:t>
      </w:r>
      <w:r>
        <w:t xml:space="preserve">: Definiert den Lebenszyklus des Incident Handling</w:t>
      </w:r>
    </w:p>
    <w:p>
      <w:pPr>
        <w:numPr>
          <w:ilvl w:val="0"/>
          <w:numId w:val="1004"/>
        </w:numPr>
      </w:pPr>
      <w:r>
        <w:rPr>
          <w:b/>
          <w:bCs/>
        </w:rPr>
        <w:t xml:space="preserve">BSI-200-4</w:t>
      </w:r>
      <w:r>
        <w:t xml:space="preserve">: Bewertet Resilienz anhand von Reifegraden der Reaktionsfähigkeit</w:t>
      </w:r>
    </w:p>
    <w:p>
      <w:pPr>
        <w:numPr>
          <w:ilvl w:val="0"/>
          <w:numId w:val="1004"/>
        </w:numPr>
      </w:pPr>
      <w:r>
        <w:rPr>
          <w:b/>
          <w:bCs/>
        </w:rPr>
        <w:t xml:space="preserve">NIST SP 800-160 Vol. 2</w:t>
      </w:r>
      <w:r>
        <w:t xml:space="preserve">: Koppelt Resilienz an Fähigkeiten (</w:t>
      </w:r>
      <w:r>
        <w:rPr>
          <w:i/>
          <w:iCs/>
        </w:rPr>
        <w:t xml:space="preserve">capabilities</w:t>
      </w:r>
      <w:r>
        <w:t xml:space="preserve">)</w:t>
      </w:r>
    </w:p>
    <w:p>
      <w:pPr>
        <w:numPr>
          <w:ilvl w:val="0"/>
          <w:numId w:val="1004"/>
        </w:numPr>
      </w:pPr>
      <w:r>
        <w:rPr>
          <w:b/>
          <w:bCs/>
        </w:rPr>
        <w:t xml:space="preserve">ISO 22316</w:t>
      </w:r>
      <w:r>
        <w:t xml:space="preserve">: Überträgt diese Denkweise auf die gesamte Organisation</w:t>
      </w:r>
    </w:p>
    <w:p>
      <w:pPr>
        <w:pStyle w:val="FirstParagraph"/>
      </w:pPr>
      <w:r>
        <w:t xml:space="preserve">Damit ist der Resilienzzyklus kein theoretisches Konzept, sondern</w:t>
      </w:r>
      <w:r>
        <w:t xml:space="preserve"> </w:t>
      </w:r>
      <w:r>
        <w:rPr>
          <w:b/>
          <w:bCs/>
        </w:rPr>
        <w:t xml:space="preserve">ein verbindendes Prinzip zwischen Technik, Organisation und Kultur</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usr/local/lib/python3.13/dist-packages/quarto_cli/share/formats/docx/tip.png" id="45"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Der Incident-Management-Prozess nach ISO/IEC 27035-1:2023</w:t>
            </w:r>
          </w:p>
        </w:tc>
      </w:tr>
      <w:tr>
        <w:trPr>
          <w:cantSplit/>
        </w:trPr>
        <w:tc>
          <w:tcPr>
            <w:tcMar>
              <w:top w:w="108" w:type="dxa"/>
              <w:bottom w:w="108" w:type="dxa"/>
            </w:tcMar>
          </w:tcPr>
          <w:p>
            <w:pPr>
              <w:pStyle w:val="BodyText"/>
            </w:pPr>
            <w:pPr>
              <w:spacing w:before="16"/>
            </w:pPr>
            <w:r>
              <w:t xml:space="preserve">Die aktuelle Ausgabe von ISO/IEC 27035-1 (2023) gliedert den Incident-Management-Prozess in fünf Phasen: Planen und vorbereiten, Erkennen und melden, Bewerten und entscheiden, Reagieren sowie Lehren ziehen</w:t>
            </w:r>
            <w:r>
              <w:t xml:space="preserve"> </w:t>
            </w:r>
            <w:r>
              <w:t xml:space="preserve">(ISO/IEC 27035-1 2023)</w:t>
            </w:r>
            <w:r>
              <w:t xml:space="preserve">. Die in der Praxis verbreitete Feingliederung der Reaktion in Eindämmen (Containment), Beseitigen (Eradication) und Wiederherstellen (Recovery) stammt aus NIST SP 800-61 Rev. 2. Revision 3 (April 2025) richtet Incident Response an den sechs Funktionen des NIST CSF 2.0 aus</w:t>
            </w:r>
            <w:r>
              <w:t xml:space="preserve"> </w:t>
            </w:r>
            <w:r>
              <w:t xml:space="preserve">(Nelson u. a. 2025)</w:t>
            </w:r>
            <w:r>
              <w:t xml:space="preserve">. Für die Governance genügen die groben Phasen, für das Playbook braucht es die feinen Schritte – und für jede Phase einen Owner.</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4027170" cy="3068842"/>
            <wp:effectExtent b="0" l="0" r="0" t="0"/>
            <wp:docPr descr="Incident-Management-Prozess nach ISO/IEC 27035-1:2023" title="" id="47" name="Picture"/>
            <a:graphic>
              <a:graphicData uri="http://schemas.openxmlformats.org/drawingml/2006/picture">
                <pic:pic>
                  <pic:nvPicPr>
                    <pic:cNvPr descr="../Präsentationen/Termin-05/assets/ir-phasen.png" id="48" name="Picture"/>
                    <pic:cNvPicPr>
                      <a:picLocks noChangeArrowheads="1" noChangeAspect="1"/>
                    </pic:cNvPicPr>
                  </pic:nvPicPr>
                  <pic:blipFill>
                    <a:blip r:embed="rId46"/>
                    <a:stretch>
                      <a:fillRect/>
                    </a:stretch>
                  </pic:blipFill>
                  <pic:spPr bwMode="auto">
                    <a:xfrm>
                      <a:off x="0" y="0"/>
                      <a:ext cx="4027170" cy="3068842"/>
                    </a:xfrm>
                    <a:prstGeom prst="rect">
                      <a:avLst/>
                    </a:prstGeom>
                    <a:noFill/>
                    <a:ln w="9525">
                      <a:noFill/>
                      <a:headEnd/>
                      <a:tailEnd/>
                    </a:ln>
                  </pic:spPr>
                </pic:pic>
              </a:graphicData>
            </a:graphic>
          </wp:inline>
        </w:drawing>
      </w:r>
    </w:p>
    <w:p>
      <w:pPr>
        <w:pStyle w:val="ImageCaption"/>
      </w:pPr>
      <w:r>
        <w:t xml:space="preserve">Incident-Management-Prozess nach ISO/IEC 27035-1:2023</w:t>
      </w:r>
    </w:p>
    <w:bookmarkEnd w:id="49"/>
    <w:bookmarkEnd w:id="50"/>
    <w:bookmarkStart w:id="61" w:name="Xd00ff5e4e38efb7d733a186844d1eeb3dd0bdf2"/>
    <w:p>
      <w:pPr>
        <w:pStyle w:val="Heading1"/>
      </w:pPr>
      <w:r>
        <w:t xml:space="preserve">Kapitel 4 – Rollen, Verantwortung und Entscheidungslogik in Krisenorganisationen</w:t>
      </w:r>
    </w:p>
    <w:p>
      <w:pPr>
        <w:pStyle w:val="FirstParagraph"/>
      </w:pPr>
      <w:r>
        <w:t xml:space="preserve">Organisationale Resilienz lebt von Klarheit.</w:t>
      </w:r>
    </w:p>
    <w:p>
      <w:pPr>
        <w:pStyle w:val="BodyText"/>
      </w:pPr>
      <w:r>
        <w:t xml:space="preserve">In einer Krise entstehen parallel technischer, kommunikativer und strategischer Handlungsdruck.</w:t>
      </w:r>
    </w:p>
    <w:p>
      <w:pPr>
        <w:pStyle w:val="BodyText"/>
      </w:pPr>
      <w:r>
        <w:t xml:space="preserve">Je unklarer Rollen und Entscheidungswege sind, desto größer wird das Risiko einer</w:t>
      </w:r>
      <w:r>
        <w:t xml:space="preserve"> </w:t>
      </w:r>
      <w:r>
        <w:rPr>
          <w:b/>
          <w:bCs/>
        </w:rPr>
        <w:t xml:space="preserve">Reaktionsparalyse</w:t>
      </w:r>
      <w:r>
        <w:t xml:space="preserve"> </w:t>
      </w:r>
      <w:r>
        <w:t xml:space="preserve">— der Zustand, in dem alle etwas tun, aber niemand die Richtung vorgibt.</w:t>
      </w:r>
    </w:p>
    <w:p>
      <w:pPr>
        <w:pStyle w:val="BodyText"/>
      </w:pPr>
      <w:r>
        <w:t xml:space="preserve">Resilienz verlangt daher nicht nur Strukturen, sondern auch</w:t>
      </w:r>
      <w:r>
        <w:t xml:space="preserve"> </w:t>
      </w:r>
      <w:r>
        <w:rPr>
          <w:b/>
          <w:bCs/>
        </w:rPr>
        <w:t xml:space="preserve">Entscheidungslogik</w:t>
      </w:r>
      <w:r>
        <w:t xml:space="preserve">.</w:t>
      </w:r>
    </w:p>
    <w:bookmarkStart w:id="51" w:name="strukturprinzip-rollen-statt-personen"/>
    <w:p>
      <w:pPr>
        <w:pStyle w:val="Heading2"/>
      </w:pPr>
      <w:r>
        <w:t xml:space="preserve">4.1 Strukturprinzip: Rollen statt Personen</w:t>
      </w:r>
    </w:p>
    <w:p>
      <w:pPr>
        <w:pStyle w:val="FirstParagraph"/>
      </w:pPr>
      <w:r>
        <w:t xml:space="preserve">Effektive Krisenorganisationen definieren Rollen</w:t>
      </w:r>
      <w:r>
        <w:t xml:space="preserve"> </w:t>
      </w:r>
      <w:r>
        <w:rPr>
          <w:b/>
          <w:bCs/>
        </w:rPr>
        <w:t xml:space="preserve">unabhängig von Personen</w:t>
      </w:r>
      <w:r>
        <w:t xml:space="preserve">. Nicht wichtig ist,</w:t>
      </w:r>
      <w:r>
        <w:t xml:space="preserve"> </w:t>
      </w:r>
      <w:r>
        <w:rPr>
          <w:i/>
          <w:iCs/>
        </w:rPr>
        <w:t xml:space="preserve">wer anwesend</w:t>
      </w:r>
      <w:r>
        <w:t xml:space="preserve"> </w:t>
      </w:r>
      <w:r>
        <w:t xml:space="preserve">ist, sondern</w:t>
      </w:r>
      <w:r>
        <w:t xml:space="preserve"> </w:t>
      </w:r>
      <w:r>
        <w:rPr>
          <w:i/>
          <w:iCs/>
        </w:rPr>
        <w:t xml:space="preserve">wer welche Rolle</w:t>
      </w:r>
      <w:r>
        <w:t xml:space="preserve"> </w:t>
      </w:r>
      <w:r>
        <w:t xml:space="preserve">ausfüllt. Das verhindert Abhängigkeit von Einzelpersonen und sorgt für Skalierbarkeit in 24/7-Betrieben.</w:t>
      </w:r>
    </w:p>
    <w:p>
      <w:pPr>
        <w:pStyle w:val="BodyText"/>
      </w:pPr>
      <w:r>
        <w:t xml:space="preserve">Typische Rollen im Resilienzkontext: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Rolle</w:t>
            </w:r>
          </w:p>
        </w:tc>
        <w:tc>
          <w:tcPr/>
          <w:p>
            <w:pPr>
              <w:pStyle w:val="Compact"/>
            </w:pPr>
            <w:r>
              <w:t xml:space="preserve">Hauptverantwortung</w:t>
            </w:r>
          </w:p>
        </w:tc>
      </w:tr>
      <w:tr>
        <w:tc>
          <w:tcPr/>
          <w:p>
            <w:pPr>
              <w:pStyle w:val="Compact"/>
            </w:pPr>
            <w:r>
              <w:t xml:space="preserve">CISO</w:t>
            </w:r>
          </w:p>
        </w:tc>
        <w:tc>
          <w:tcPr/>
          <w:p>
            <w:pPr>
              <w:pStyle w:val="Compact"/>
            </w:pPr>
            <w:r>
              <w:t xml:space="preserve">Strategische Gesamtverantwortung, Kommunikation mit Geschäftsleitung</w:t>
            </w:r>
          </w:p>
        </w:tc>
      </w:tr>
      <w:tr>
        <w:tc>
          <w:tcPr/>
          <w:p>
            <w:pPr>
              <w:pStyle w:val="Compact"/>
            </w:pPr>
            <w:r>
              <w:t xml:space="preserve">Incident Commander</w:t>
            </w:r>
          </w:p>
        </w:tc>
        <w:tc>
          <w:tcPr/>
          <w:p>
            <w:pPr>
              <w:pStyle w:val="Compact"/>
            </w:pPr>
            <w:r>
              <w:t xml:space="preserve">Operative Leitung des Incident-Response-Teams, Priorisierung</w:t>
            </w:r>
          </w:p>
        </w:tc>
      </w:tr>
      <w:tr>
        <w:tc>
          <w:tcPr/>
          <w:p>
            <w:pPr>
              <w:pStyle w:val="Compact"/>
            </w:pPr>
            <w:r>
              <w:t xml:space="preserve">Technical Lead / IT Operations</w:t>
            </w:r>
          </w:p>
        </w:tc>
        <w:tc>
          <w:tcPr/>
          <w:p>
            <w:pPr>
              <w:pStyle w:val="Compact"/>
            </w:pPr>
            <w:r>
              <w:t xml:space="preserve">Analyse, Containment, Wiederherstellung</w:t>
            </w:r>
          </w:p>
        </w:tc>
      </w:tr>
      <w:tr>
        <w:tc>
          <w:tcPr/>
          <w:p>
            <w:pPr>
              <w:pStyle w:val="Compact"/>
            </w:pPr>
            <w:r>
              <w:t xml:space="preserve">Business Continuity Manager</w:t>
            </w:r>
          </w:p>
        </w:tc>
        <w:tc>
          <w:tcPr/>
          <w:p>
            <w:pPr>
              <w:pStyle w:val="Compact"/>
            </w:pPr>
            <w:r>
              <w:t xml:space="preserve">Koordination mit Fachbereichen, Priorisierung kritischer Prozesse</w:t>
            </w:r>
          </w:p>
        </w:tc>
      </w:tr>
      <w:tr>
        <w:tc>
          <w:tcPr/>
          <w:p>
            <w:pPr>
              <w:pStyle w:val="Compact"/>
            </w:pPr>
            <w:r>
              <w:t xml:space="preserve">Kommunikation / PR</w:t>
            </w:r>
          </w:p>
        </w:tc>
        <w:tc>
          <w:tcPr/>
          <w:p>
            <w:pPr>
              <w:pStyle w:val="Compact"/>
            </w:pPr>
            <w:r>
              <w:t xml:space="preserve">Interne und externe Informationssteuerung</w:t>
            </w:r>
          </w:p>
        </w:tc>
      </w:tr>
      <w:tr>
        <w:tc>
          <w:tcPr/>
          <w:p>
            <w:pPr>
              <w:pStyle w:val="Compact"/>
            </w:pPr>
            <w:r>
              <w:t xml:space="preserve">Legal / Datenschutz</w:t>
            </w:r>
          </w:p>
        </w:tc>
        <w:tc>
          <w:tcPr/>
          <w:p>
            <w:pPr>
              <w:pStyle w:val="Compact"/>
            </w:pPr>
            <w:r>
              <w:t xml:space="preserve">Bewertung regulatorischer Meldepflichten (z. B. DSGVO Art. 33)</w:t>
            </w:r>
          </w:p>
        </w:tc>
      </w:tr>
      <w:tr>
        <w:tc>
          <w:tcPr/>
          <w:p>
            <w:pPr>
              <w:pStyle w:val="Compact"/>
            </w:pPr>
            <w:r>
              <w:t xml:space="preserve">Management Board</w:t>
            </w:r>
          </w:p>
        </w:tc>
        <w:tc>
          <w:tcPr/>
          <w:p>
            <w:pPr>
              <w:pStyle w:val="Compact"/>
            </w:pPr>
            <w:r>
              <w:t xml:space="preserve">Freigabe von Ressourcen, Risikoakzeptanz, externe Vertretung</w:t>
            </w:r>
          </w:p>
        </w:tc>
      </w:tr>
    </w:tbl>
    <w:p>
      <w:pPr>
        <w:pStyle w:val="BodyText"/>
      </w:pPr>
      <w:r>
        <w:rPr>
          <w:b/>
          <w:bCs/>
        </w:rPr>
        <w:t xml:space="preserve">Ziel:</w:t>
      </w:r>
      <w:r>
        <w:t xml:space="preserve"> </w:t>
      </w:r>
      <w:r>
        <w:t xml:space="preserve">Jede Funktion weiß, was sie entscheidet, nicht nur was sie tut.</w:t>
      </w:r>
    </w:p>
    <w:bookmarkEnd w:id="51"/>
    <w:bookmarkStart w:id="57" w:name="entscheidungslogik-in-krisen"/>
    <w:p>
      <w:pPr>
        <w:pStyle w:val="Heading2"/>
      </w:pPr>
      <w:r>
        <w:t xml:space="preserve">4.2 Entscheidungslogik in Krisen</w:t>
      </w:r>
    </w:p>
    <w:p>
      <w:pPr>
        <w:pStyle w:val="FirstParagraph"/>
      </w:pPr>
      <w:r>
        <w:t xml:space="preserve">In Krisen gelten andere Regeln als im Normalbetrieb. Der normale Linienweg („Abteilungsleiter – Bereichsleiter – Geschäftsführung“) ist zu langsam.</w:t>
      </w:r>
    </w:p>
    <w:p>
      <w:pPr>
        <w:pStyle w:val="BodyText"/>
      </w:pPr>
      <w:r>
        <w:t xml:space="preserve">Resiliente Organisationen verfügen über</w:t>
      </w:r>
      <w:r>
        <w:t xml:space="preserve"> </w:t>
      </w:r>
      <w:r>
        <w:rPr>
          <w:b/>
          <w:bCs/>
        </w:rPr>
        <w:t xml:space="preserve">vordefinierte Eskalationspfade</w:t>
      </w:r>
      <w:r>
        <w:t xml:space="preserve"> </w:t>
      </w:r>
      <w:r>
        <w:t xml:space="preserve">mit Entscheidungskompetenz auf Zeit.</w:t>
      </w:r>
    </w:p>
    <w:p>
      <w:pPr>
        <w:pStyle w:val="BodyText"/>
      </w:pPr>
      <w:r>
        <w:t xml:space="preserve">Ein bewährtes Modell ist das</w:t>
      </w:r>
      <w:r>
        <w:t xml:space="preserve"> </w:t>
      </w:r>
      <w:r>
        <w:rPr>
          <w:b/>
          <w:bCs/>
        </w:rPr>
        <w:t xml:space="preserve">Incident Command System (ICS)</w:t>
      </w:r>
      <w:r>
        <w:t xml:space="preserve">, ursprünglich aus dem Katastrophenschutz:</w:t>
      </w:r>
    </w:p>
    <w:p>
      <w:pPr>
        <w:numPr>
          <w:ilvl w:val="0"/>
          <w:numId w:val="1005"/>
        </w:numPr>
      </w:pPr>
      <w:r>
        <w:t xml:space="preserve">Klare Hierarchie mit taktischer Führung (Incident Commander)</w:t>
      </w:r>
    </w:p>
    <w:p>
      <w:pPr>
        <w:numPr>
          <w:ilvl w:val="0"/>
          <w:numId w:val="1005"/>
        </w:numPr>
      </w:pPr>
      <w:r>
        <w:t xml:space="preserve">Temporäre Rollen, die sich je nach Lage erweitern oder reduzieren</w:t>
      </w:r>
    </w:p>
    <w:p>
      <w:pPr>
        <w:numPr>
          <w:ilvl w:val="0"/>
          <w:numId w:val="1005"/>
        </w:numPr>
      </w:pPr>
      <w:r>
        <w:t xml:space="preserve">Entscheidungsgewalt nach Lage, nicht nach Rang</w:t>
      </w:r>
    </w:p>
    <w:p>
      <w:pPr>
        <w:pStyle w:val="FirstParagraph"/>
      </w:pPr>
      <w:r>
        <w:t xml:space="preserve">Diese Logik lässt sich auf Cyber-Resilienz übertragen: Die „Command“-Ebene priorisiert, die „Operations“-Ebene handelt, die „Support“-Ebene dokumentiert und kommuniziert. So wird Chaos in</w:t>
      </w:r>
      <w:r>
        <w:t xml:space="preserve"> </w:t>
      </w:r>
      <w:r>
        <w:rPr>
          <w:b/>
          <w:bCs/>
        </w:rPr>
        <w:t xml:space="preserve">koordiniertes Handeln</w:t>
      </w:r>
      <w:r>
        <w:t xml:space="preserve"> </w:t>
      </w:r>
      <w:r>
        <w:t xml:space="preserve">überführt.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usr/local/lib/python3.13/dist-packages/quarto_cli/share/formats/docx/tip.png" id="5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Landkreis Anhalt-Bitterfeld 2021</w:t>
            </w:r>
          </w:p>
        </w:tc>
      </w:tr>
      <w:tr>
        <w:trPr>
          <w:cantSplit/>
        </w:trPr>
        <w:tc>
          <w:tcPr>
            <w:tcMar>
              <w:top w:w="108" w:type="dxa"/>
              <w:bottom w:w="108" w:type="dxa"/>
            </w:tcMar>
          </w:tcPr>
          <w:p>
            <w:pPr>
              <w:pStyle w:val="BodyText"/>
            </w:pPr>
            <w:pPr>
              <w:spacing w:before="16"/>
            </w:pPr>
            <w:r>
              <w:t xml:space="preserve">In der Nacht auf den 6. Juli 2021 verschlüsselte Ransomware die IT der Kreisverwaltung Anhalt-Bitterfeld; nur die Telefonanlage funktionierte noch. Am 9. Juli rief der Landkreis den Katastrophenfall aus – der erste nach einem Cyberangriff in Deutschland. Ein Krisenstab mit Unterstützung von Bundeswehr, BSI, LKA, CERT Nord und Landesverwaltung übernahm die Führung. Die Angreifer forderten umgerechnet rund 500.000 Euro, der Landrat zahlte nicht; Daten wurden teilweise veröffentlicht. Sozialhilfe, Eltern- und Kindergeld konnten zeitweise nicht ausgezahlt werden, im März 2022 liefen erst 40 von 159 Fachanwendungen wieder. Der Katastrophenfall dauerte über ein halbes Jahr.</w:t>
            </w:r>
          </w:p>
          <w:p>
            <w:pPr>
              <w:pStyle w:val="BodyText"/>
            </w:pPr>
            <w:r>
              <w:t xml:space="preserve">Der Katastrophenfall ist im Kern das, was dieses Kapitel beschreibt: eine Führungsstruktur mit Entscheidungskompetenz auf Zeit, die der Lage folgt und nicht dem Organigramm. Als Lehren nannte der Landkreis unter anderem Offline-Backups, Notfallkonzepte für den Betrieb ohne IT und einen verbindlichen Wiederanlaufplan mit Prioritäten.</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4027170" cy="3068842"/>
            <wp:effectExtent b="0" l="0" r="0" t="0"/>
            <wp:docPr descr="Anhalt-Bitterfeld 2021: Katastrophenfall und Krisenstab" title="" id="55" name="Picture"/>
            <a:graphic>
              <a:graphicData uri="http://schemas.openxmlformats.org/drawingml/2006/picture">
                <pic:pic>
                  <pic:nvPicPr>
                    <pic:cNvPr descr="../Präsentationen/Termin-05/assets/anhalt-bitterfeld-2021.png" id="56" name="Picture"/>
                    <pic:cNvPicPr>
                      <a:picLocks noChangeArrowheads="1" noChangeAspect="1"/>
                    </pic:cNvPicPr>
                  </pic:nvPicPr>
                  <pic:blipFill>
                    <a:blip r:embed="rId54"/>
                    <a:stretch>
                      <a:fillRect/>
                    </a:stretch>
                  </pic:blipFill>
                  <pic:spPr bwMode="auto">
                    <a:xfrm>
                      <a:off x="0" y="0"/>
                      <a:ext cx="4027170" cy="3068842"/>
                    </a:xfrm>
                    <a:prstGeom prst="rect">
                      <a:avLst/>
                    </a:prstGeom>
                    <a:noFill/>
                    <a:ln w="9525">
                      <a:noFill/>
                      <a:headEnd/>
                      <a:tailEnd/>
                    </a:ln>
                  </pic:spPr>
                </pic:pic>
              </a:graphicData>
            </a:graphic>
          </wp:inline>
        </w:drawing>
      </w:r>
    </w:p>
    <w:p>
      <w:pPr>
        <w:pStyle w:val="ImageCaption"/>
      </w:pPr>
      <w:r>
        <w:t xml:space="preserve">Anhalt-Bitterfeld 2021: Katastrophenfall und Krisenstab</w:t>
      </w:r>
    </w:p>
    <w:bookmarkEnd w:id="57"/>
    <w:bookmarkStart w:id="58" w:name="prinzipien-wirksamer-führungsstrukturen"/>
    <w:p>
      <w:pPr>
        <w:pStyle w:val="Heading2"/>
      </w:pPr>
      <w:r>
        <w:t xml:space="preserve">4.3 Prinzipien wirksamer Führungsstrukturen</w:t>
      </w:r>
    </w:p>
    <w:p>
      <w:pPr>
        <w:numPr>
          <w:ilvl w:val="0"/>
          <w:numId w:val="1006"/>
        </w:numPr>
      </w:pPr>
      <w:r>
        <w:rPr>
          <w:b/>
          <w:bCs/>
        </w:rPr>
        <w:t xml:space="preserve">Unity of Command</w:t>
      </w:r>
      <w:r>
        <w:t xml:space="preserve"> </w:t>
      </w:r>
      <w:r>
        <w:t xml:space="preserve">– Jeder Mitarbeitende berichtet in der Krise an genau</w:t>
      </w:r>
      <w:r>
        <w:t xml:space="preserve"> </w:t>
      </w:r>
      <w:r>
        <w:rPr>
          <w:i/>
          <w:iCs/>
        </w:rPr>
        <w:t xml:space="preserve">eine</w:t>
      </w:r>
      <w:r>
        <w:t xml:space="preserve"> </w:t>
      </w:r>
      <w:r>
        <w:t xml:space="preserve">Führungsperson.</w:t>
      </w:r>
    </w:p>
    <w:p>
      <w:pPr>
        <w:numPr>
          <w:ilvl w:val="0"/>
          <w:numId w:val="1006"/>
        </w:numPr>
      </w:pPr>
      <w:r>
        <w:rPr>
          <w:b/>
          <w:bCs/>
        </w:rPr>
        <w:t xml:space="preserve">Span of Control</w:t>
      </w:r>
      <w:r>
        <w:t xml:space="preserve"> </w:t>
      </w:r>
      <w:r>
        <w:t xml:space="preserve">– Eine Führungskraft koordiniert maximal 5–7 Personen gleichzeitig.</w:t>
      </w:r>
    </w:p>
    <w:p>
      <w:pPr>
        <w:numPr>
          <w:ilvl w:val="0"/>
          <w:numId w:val="1006"/>
        </w:numPr>
      </w:pPr>
      <w:r>
        <w:rPr>
          <w:b/>
          <w:bCs/>
        </w:rPr>
        <w:t xml:space="preserve">Delegation of Authority</w:t>
      </w:r>
      <w:r>
        <w:t xml:space="preserve"> </w:t>
      </w:r>
      <w:r>
        <w:t xml:space="preserve">– Entscheidungen dürfen an der niedrigsten sinnvollen Ebene getroffen werden.</w:t>
      </w:r>
    </w:p>
    <w:p>
      <w:pPr>
        <w:numPr>
          <w:ilvl w:val="0"/>
          <w:numId w:val="1006"/>
        </w:numPr>
      </w:pPr>
      <w:r>
        <w:rPr>
          <w:b/>
          <w:bCs/>
        </w:rPr>
        <w:t xml:space="preserve">Documentation &amp; Traceability</w:t>
      </w:r>
      <w:r>
        <w:t xml:space="preserve"> </w:t>
      </w:r>
      <w:r>
        <w:t xml:space="preserve">– Jede Entscheidung ist nachvollziehbar protokolliert.</w:t>
      </w:r>
    </w:p>
    <w:p>
      <w:pPr>
        <w:numPr>
          <w:ilvl w:val="0"/>
          <w:numId w:val="1006"/>
        </w:numPr>
      </w:pPr>
      <w:r>
        <w:rPr>
          <w:b/>
          <w:bCs/>
        </w:rPr>
        <w:t xml:space="preserve">Role Rotation &amp; Training</w:t>
      </w:r>
      <w:r>
        <w:t xml:space="preserve"> </w:t>
      </w:r>
      <w:r>
        <w:t xml:space="preserve">– Rollen müssen regelmäßig trainiert und vertretbar sein.</w:t>
      </w:r>
    </w:p>
    <w:p>
      <w:pPr>
        <w:pStyle w:val="FirstParagraph"/>
      </w:pPr>
      <w:r>
        <w:t xml:space="preserve">Diese Prinzipien sind in internationalen Frameworks (z. B. NIST SP 800-61 r2, ISO 22320) verankert und bilden das Rückgrat resilienter Führungsmodelle.</w:t>
      </w:r>
    </w:p>
    <w:bookmarkEnd w:id="58"/>
    <w:bookmarkStart w:id="59" w:name="Xdb176ad518770869fa3772b802e33a9a806b65f"/>
    <w:p>
      <w:pPr>
        <w:pStyle w:val="Heading2"/>
      </w:pPr>
      <w:r>
        <w:t xml:space="preserve">4.4 Psychologische Dimension: Entscheidung unter Stress</w:t>
      </w:r>
    </w:p>
    <w:p>
      <w:pPr>
        <w:pStyle w:val="FirstParagraph"/>
      </w:pPr>
      <w:r>
        <w:t xml:space="preserve">Forschung aus der Kognitionspsychologie zeigt, dass Stress, Informationsüberlastung und Zeitdruck die Entscheidungsqualität drastisch reduzieren.</w:t>
      </w:r>
    </w:p>
    <w:p>
      <w:pPr>
        <w:pStyle w:val="BodyText"/>
      </w:pPr>
      <w:r>
        <w:t xml:space="preserve">In diesem Zustand greifen Menschen auf Heuristiken zurück – also auf erlernte Muster. Darum ist</w:t>
      </w:r>
      <w:r>
        <w:t xml:space="preserve"> </w:t>
      </w:r>
      <w:r>
        <w:rPr>
          <w:b/>
          <w:bCs/>
        </w:rPr>
        <w:t xml:space="preserve">Training</w:t>
      </w:r>
      <w:r>
        <w:t xml:space="preserve"> </w:t>
      </w:r>
      <w:r>
        <w:t xml:space="preserve">entscheidend:</w:t>
      </w:r>
    </w:p>
    <w:p>
      <w:pPr>
        <w:pStyle w:val="BodyText"/>
      </w:pPr>
      <w:r>
        <w:t xml:space="preserve">Nur geübte Abläufe ermöglichen Entscheidungen, wenn rationale Abwägung nicht mehr möglich ist.</w:t>
      </w:r>
    </w:p>
    <w:p>
      <w:pPr>
        <w:pStyle w:val="BodyText"/>
      </w:pPr>
      <w:r>
        <w:t xml:space="preserve">Organisationale Resilienz zielt daher darauf ab, Entscheidungen</w:t>
      </w:r>
      <w:r>
        <w:t xml:space="preserve"> </w:t>
      </w:r>
      <w:r>
        <w:rPr>
          <w:b/>
          <w:bCs/>
        </w:rPr>
        <w:t xml:space="preserve">vorzubereiten</w:t>
      </w:r>
      <w:r>
        <w:t xml:space="preserve">, nicht nur zu treffen.</w:t>
      </w:r>
    </w:p>
    <w:p>
      <w:pPr>
        <w:pStyle w:val="BodyText"/>
      </w:pPr>
      <w:r>
        <w:t xml:space="preserve">Playbooks, Priorisierungslisten und Entscheidungsdiagramme (Decision Trees) schaffen Orientierung in Momenten maximaler Unsicherheit.</w:t>
      </w:r>
    </w:p>
    <w:bookmarkEnd w:id="59"/>
    <w:bookmarkStart w:id="60" w:name="verbindung-zu-governance-und-compliance"/>
    <w:p>
      <w:pPr>
        <w:pStyle w:val="Heading2"/>
      </w:pPr>
      <w:r>
        <w:t xml:space="preserve">4.5 Verbindung zu Governance und Compliance</w:t>
      </w:r>
    </w:p>
    <w:p>
      <w:pPr>
        <w:pStyle w:val="FirstParagraph"/>
      </w:pPr>
      <w:r>
        <w:t xml:space="preserve">Rollen- und Entscheidungsmodelle sind nicht nur praktisch, sondern auch regulatorisch relevant. Standards wie</w:t>
      </w:r>
      <w:r>
        <w:t xml:space="preserve"> </w:t>
      </w:r>
      <w:r>
        <w:rPr>
          <w:b/>
          <w:bCs/>
        </w:rPr>
        <w:t xml:space="preserve">ISO/IEC 27035</w:t>
      </w:r>
      <w:r>
        <w:t xml:space="preserve">,</w:t>
      </w:r>
      <w:r>
        <w:t xml:space="preserve"> </w:t>
      </w:r>
      <w:r>
        <w:rPr>
          <w:b/>
          <w:bCs/>
        </w:rPr>
        <w:t xml:space="preserve">BSI-200-4</w:t>
      </w:r>
      <w:r>
        <w:t xml:space="preserve"> </w:t>
      </w:r>
      <w:r>
        <w:t xml:space="preserve">und</w:t>
      </w:r>
      <w:r>
        <w:t xml:space="preserve"> </w:t>
      </w:r>
      <w:r>
        <w:rPr>
          <w:b/>
          <w:bCs/>
        </w:rPr>
        <w:t xml:space="preserve">NIS-2-Richtlinie</w:t>
      </w:r>
      <w:r>
        <w:t xml:space="preserve"> </w:t>
      </w:r>
      <w:r>
        <w:t xml:space="preserve">fordern explizit den Nachweis strukturierter Incident-Response-Organisationen inklusive dokumentierter Verantwortlichkeiten, Meldewege und Eskalationslogiken.</w:t>
      </w:r>
    </w:p>
    <w:p>
      <w:pPr>
        <w:pStyle w:val="BodyText"/>
      </w:pPr>
      <w:r>
        <w:t xml:space="preserve">Damit wird Führungsfähigkeit zu einem</w:t>
      </w:r>
      <w:r>
        <w:t xml:space="preserve"> </w:t>
      </w:r>
      <w:r>
        <w:rPr>
          <w:b/>
          <w:bCs/>
        </w:rPr>
        <w:t xml:space="preserve">Prüfkriterium der Resilienz</w:t>
      </w:r>
      <w:r>
        <w:t xml:space="preserve"> </w:t>
      </w:r>
      <w:r>
        <w:t xml:space="preserve">– vergleichbar mit Backup- oder Recovery-Tests auf technischer Ebene.</w:t>
      </w:r>
    </w:p>
    <w:p>
      <w:pPr>
        <w:pStyle w:val="BodyText"/>
      </w:pPr>
      <w:r>
        <w:rPr>
          <w:b/>
          <w:bCs/>
        </w:rPr>
        <w:t xml:space="preserve">Kernaussage:</w:t>
      </w:r>
    </w:p>
    <w:p>
      <w:pPr>
        <w:pStyle w:val="BodyText"/>
      </w:pPr>
      <w:r>
        <w:t xml:space="preserve">In Krisen entscheidet Organisation über Technik. Rollen, Eskalationswege und Entscheidungsklarheit sind die wahren „Redundanzen“ menschlicher Resilienz.</w:t>
      </w:r>
    </w:p>
    <w:bookmarkEnd w:id="60"/>
    <w:bookmarkEnd w:id="61"/>
    <w:bookmarkStart w:id="72" w:name="Xce313d2b4f8ce5131fb25eb916bad90b5b2ba13"/>
    <w:p>
      <w:pPr>
        <w:pStyle w:val="Heading1"/>
      </w:pPr>
      <w:r>
        <w:t xml:space="preserve">Kapitel 5 – Kommunikation als Resilienzfaktor</w:t>
      </w:r>
    </w:p>
    <w:bookmarkStart w:id="62" w:name="X624ca7fff426c47876dc4edcfebedc62c6852e3"/>
    <w:p>
      <w:pPr>
        <w:pStyle w:val="Heading2"/>
      </w:pPr>
      <w:r>
        <w:t xml:space="preserve">5.1 Kommunikation als Schlüssel organisationaler Handlungsfähigkeit</w:t>
      </w:r>
    </w:p>
    <w:p>
      <w:pPr>
        <w:pStyle w:val="FirstParagraph"/>
      </w:pPr>
      <w:r>
        <w:t xml:space="preserve">In nahezu jeder Incident-Analyse zeigt sich: Fehler in der Kommunikation sind häufiger als Fehler in der Technik. Kommunikation entscheidet darüber,</w:t>
      </w:r>
      <w:r>
        <w:t xml:space="preserve"> </w:t>
      </w:r>
      <w:r>
        <w:rPr>
          <w:b/>
          <w:bCs/>
        </w:rPr>
        <w:t xml:space="preserve">wie schnell</w:t>
      </w:r>
      <w:r>
        <w:t xml:space="preserve"> </w:t>
      </w:r>
      <w:r>
        <w:t xml:space="preserve">Informationen fließen,</w:t>
      </w:r>
      <w:r>
        <w:t xml:space="preserve"> </w:t>
      </w:r>
      <w:r>
        <w:rPr>
          <w:b/>
          <w:bCs/>
        </w:rPr>
        <w:t xml:space="preserve">wie klar</w:t>
      </w:r>
      <w:r>
        <w:t xml:space="preserve"> </w:t>
      </w:r>
      <w:r>
        <w:t xml:space="preserve">sie verstanden werden und</w:t>
      </w:r>
      <w:r>
        <w:t xml:space="preserve"> </w:t>
      </w:r>
      <w:r>
        <w:rPr>
          <w:b/>
          <w:bCs/>
        </w:rPr>
        <w:t xml:space="preserve">wie koordiniert</w:t>
      </w:r>
      <w:r>
        <w:t xml:space="preserve"> </w:t>
      </w:r>
      <w:r>
        <w:t xml:space="preserve">gehandelt wird. Organisationale Resilienz beruht deshalb auf einer Kommunikationskultur, die in Stresssituationen</w:t>
      </w:r>
      <w:r>
        <w:t xml:space="preserve"> </w:t>
      </w:r>
      <w:r>
        <w:rPr>
          <w:b/>
          <w:bCs/>
        </w:rPr>
        <w:t xml:space="preserve">präzise, überprüfbar und empathisch</w:t>
      </w:r>
      <w:r>
        <w:t xml:space="preserve"> </w:t>
      </w:r>
      <w:r>
        <w:t xml:space="preserve">funktioniert.</w:t>
      </w:r>
    </w:p>
    <w:p>
      <w:pPr>
        <w:pStyle w:val="BodyText"/>
      </w:pPr>
      <w:r>
        <w:t xml:space="preserve">Ziel resilienzorientierter Kommunikation ist es,</w:t>
      </w:r>
    </w:p>
    <w:p>
      <w:pPr>
        <w:numPr>
          <w:ilvl w:val="0"/>
          <w:numId w:val="1007"/>
        </w:numPr>
      </w:pPr>
      <w:r>
        <w:t xml:space="preserve">Informationsverluste und Fehlinterpretationen zu vermeiden,</w:t>
      </w:r>
    </w:p>
    <w:p>
      <w:pPr>
        <w:numPr>
          <w:ilvl w:val="0"/>
          <w:numId w:val="1007"/>
        </w:numPr>
      </w:pPr>
      <w:r>
        <w:t xml:space="preserve">Entscheidungsprozesse zu beschleunigen,</w:t>
      </w:r>
    </w:p>
    <w:p>
      <w:pPr>
        <w:numPr>
          <w:ilvl w:val="0"/>
          <w:numId w:val="1007"/>
        </w:numPr>
      </w:pPr>
      <w:r>
        <w:t xml:space="preserve">und Vertrauen trotz Unsicherheit aufrechtzuerhalten.</w:t>
      </w:r>
    </w:p>
    <w:p>
      <w:pPr>
        <w:pStyle w:val="FirstParagraph"/>
      </w:pPr>
      <w:r>
        <w:t xml:space="preserve">ENISA, NIST SP 800-61 r2 und ISO 22316 nennen Kommunikation ausdrücklich als</w:t>
      </w:r>
      <w:r>
        <w:t xml:space="preserve"> </w:t>
      </w:r>
      <w:r>
        <w:rPr>
          <w:b/>
          <w:bCs/>
        </w:rPr>
        <w:t xml:space="preserve">kritische Fähigkeit innerhalb des Resilienzzyklus</w:t>
      </w:r>
      <w:r>
        <w:t xml:space="preserve">.</w:t>
      </w:r>
    </w:p>
    <w:p>
      <w:pPr>
        <w:pStyle w:val="BodyText"/>
      </w:pPr>
      <w:r>
        <w:t xml:space="preserve">Ein funktionierendes Kommunikationssystem verbindet technische, operative und strategische Ebenen.</w:t>
      </w:r>
    </w:p>
    <w:bookmarkEnd w:id="62"/>
    <w:bookmarkStart w:id="68" w:name="X51feaef012c7c2b27f6560789f9e48100b6576a"/>
    <w:p>
      <w:pPr>
        <w:pStyle w:val="Heading2"/>
      </w:pPr>
      <w:r>
        <w:t xml:space="preserve">5.2 Prinzipien effektiver Krisenkommunikation</w:t>
      </w:r>
    </w:p>
    <w:p>
      <w:pPr>
        <w:pStyle w:val="FirstParagraph"/>
      </w:pPr>
      <w:r>
        <w:t xml:space="preserve">In Krisen gilt eine einfache Regel:</w:t>
      </w:r>
    </w:p>
    <w:p>
      <w:pPr>
        <w:pStyle w:val="BodyText"/>
      </w:pPr>
      <w:r>
        <w:rPr>
          <w:i/>
          <w:iCs/>
        </w:rPr>
        <w:t xml:space="preserve">„Eine Information ist nur dann nützlich, wenn sie verstanden, bestätigt und geteilt wurde.“</w:t>
      </w:r>
    </w:p>
    <w:p>
      <w:pPr>
        <w:pStyle w:val="BodyText"/>
      </w:pPr>
      <w:r>
        <w:t xml:space="preserve">Daraus ergeben sich vier Leitprinzipien (nach CCCC-Modell):</w:t>
      </w:r>
    </w:p>
    <w:p>
      <w:pPr>
        <w:numPr>
          <w:ilvl w:val="0"/>
          <w:numId w:val="1008"/>
        </w:numPr>
      </w:pPr>
      <w:r>
        <w:rPr>
          <w:b/>
          <w:bCs/>
        </w:rPr>
        <w:t xml:space="preserve">Clear</w:t>
      </w:r>
      <w:r>
        <w:t xml:space="preserve"> </w:t>
      </w:r>
      <w:r>
        <w:t xml:space="preserve">– Aussage ist eindeutig und frei von Mehrdeutigkeit.</w:t>
      </w:r>
    </w:p>
    <w:p>
      <w:pPr>
        <w:numPr>
          <w:ilvl w:val="0"/>
          <w:numId w:val="1008"/>
        </w:numPr>
      </w:pPr>
      <w:r>
        <w:rPr>
          <w:b/>
          <w:bCs/>
        </w:rPr>
        <w:t xml:space="preserve">Concise</w:t>
      </w:r>
      <w:r>
        <w:t xml:space="preserve"> </w:t>
      </w:r>
      <w:r>
        <w:t xml:space="preserve">– Kürze statt Detailüberlastung.</w:t>
      </w:r>
    </w:p>
    <w:p>
      <w:pPr>
        <w:numPr>
          <w:ilvl w:val="0"/>
          <w:numId w:val="1008"/>
        </w:numPr>
      </w:pPr>
      <w:r>
        <w:rPr>
          <w:b/>
          <w:bCs/>
        </w:rPr>
        <w:t xml:space="preserve">Confirmed</w:t>
      </w:r>
      <w:r>
        <w:t xml:space="preserve"> </w:t>
      </w:r>
      <w:r>
        <w:t xml:space="preserve">– Empfänger bestätigt Verständnis („Readback“).</w:t>
      </w:r>
    </w:p>
    <w:p>
      <w:pPr>
        <w:numPr>
          <w:ilvl w:val="0"/>
          <w:numId w:val="1008"/>
        </w:numPr>
      </w:pPr>
      <w:r>
        <w:rPr>
          <w:b/>
          <w:bCs/>
        </w:rPr>
        <w:t xml:space="preserve">Coordinated</w:t>
      </w:r>
      <w:r>
        <w:t xml:space="preserve"> </w:t>
      </w:r>
      <w:r>
        <w:t xml:space="preserve">– Alle sprechen auf Basis derselben Lageeinschätzung.</w:t>
      </w:r>
    </w:p>
    <w:p>
      <w:pPr>
        <w:pStyle w:val="FirstParagraph"/>
      </w:pPr>
      <w:r>
        <w:t xml:space="preserve">Diese Prinzipien müssen</w:t>
      </w:r>
      <w:r>
        <w:t xml:space="preserve"> </w:t>
      </w:r>
      <w:r>
        <w:rPr>
          <w:b/>
          <w:bCs/>
        </w:rPr>
        <w:t xml:space="preserve">trainiert</w:t>
      </w:r>
      <w:r>
        <w:t xml:space="preserve">, nicht nur definiert werden. Sie wirken wie ein Kommunikationsprotokoll: Je öfter geübt, desto stabiler im Ernstfall.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usr/local/lib/python3.13/dist-packages/quarto_cli/share/formats/docx/tip.png" id="64"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Atlassian 2022</w:t>
            </w:r>
          </w:p>
        </w:tc>
      </w:tr>
      <w:tr>
        <w:trPr>
          <w:cantSplit/>
        </w:trPr>
        <w:tc>
          <w:tcPr>
            <w:tcMar>
              <w:top w:w="108" w:type="dxa"/>
              <w:bottom w:w="108" w:type="dxa"/>
            </w:tcMar>
          </w:tcPr>
          <w:p>
            <w:pPr>
              <w:pStyle w:val="BodyText"/>
            </w:pPr>
            <w:pPr>
              <w:spacing w:before="16"/>
            </w:pPr>
            <w:r>
              <w:t xml:space="preserve">Am 5. April 2022 löschte ein Wartungsskript bei Atlassian 883 Cloud-Sites von 775 Kunden. Eine veraltete App sollte entfernt werden; das anfragende Team übergab jedoch die IDs der Sites statt der App, und die Schnittstelle akzeptierte beide ohne Rückfrage. Mit den Sites verschwanden auch die Kontaktdaten der Administratoren auf Kundenseite, sodass viele Betroffene nicht einmal ein Ticket eröffnen konnten. Die Statusseite meldete den Vorfall nach knapp anderthalb Stunden, eine breite öffentliche Stellungnahme folgte erst am dritten Tag. Die Wiederherstellung dauerte bis zum 18. April; nach eigener Aussage hielt Atlassian das RPO ein und verfehlte das RTO.</w:t>
            </w:r>
          </w:p>
          <w:p>
            <w:pPr>
              <w:pStyle w:val="BodyText"/>
            </w:pPr>
            <w:r>
              <w:t xml:space="preserve">Atlassian räumte im eigenen Bericht ein, viel früher und über mehrere Kanäle kommuniziert haben zu müssen. Der Fall zeigt zwei Kommunikationsfehler: einen am Anfang (unklare Übergabe, nicht bestätigt) und einen am Ende (Kontaktdaten im ausgefallenen System). Kommunikationswege und Kontaktlisten gehören deshalb außerhalb der Systeme, die sie im Ernstfall erreichen sollen.</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4027170" cy="2932982"/>
            <wp:effectExtent b="0" l="0" r="0" t="0"/>
            <wp:docPr descr="Atlassian 2022: Zeitleiste der Löschung und Wiederherstellung" title="" id="66" name="Picture"/>
            <a:graphic>
              <a:graphicData uri="http://schemas.openxmlformats.org/drawingml/2006/picture">
                <pic:pic>
                  <pic:nvPicPr>
                    <pic:cNvPr descr="../Präsentationen/Termin-05/assets/atlassian-2022-zeitleiste.png" id="67" name="Picture"/>
                    <pic:cNvPicPr>
                      <a:picLocks noChangeArrowheads="1" noChangeAspect="1"/>
                    </pic:cNvPicPr>
                  </pic:nvPicPr>
                  <pic:blipFill>
                    <a:blip r:embed="rId65"/>
                    <a:stretch>
                      <a:fillRect/>
                    </a:stretch>
                  </pic:blipFill>
                  <pic:spPr bwMode="auto">
                    <a:xfrm>
                      <a:off x="0" y="0"/>
                      <a:ext cx="4027170" cy="2932982"/>
                    </a:xfrm>
                    <a:prstGeom prst="rect">
                      <a:avLst/>
                    </a:prstGeom>
                    <a:noFill/>
                    <a:ln w="9525">
                      <a:noFill/>
                      <a:headEnd/>
                      <a:tailEnd/>
                    </a:ln>
                  </pic:spPr>
                </pic:pic>
              </a:graphicData>
            </a:graphic>
          </wp:inline>
        </w:drawing>
      </w:r>
    </w:p>
    <w:p>
      <w:pPr>
        <w:pStyle w:val="ImageCaption"/>
      </w:pPr>
      <w:r>
        <w:t xml:space="preserve">Atlassian 2022: Zeitleiste der Löschung und Wiederherstellung</w:t>
      </w:r>
    </w:p>
    <w:bookmarkEnd w:id="68"/>
    <w:bookmarkStart w:id="69" w:name="X9590a5e16bd6587251f9b083d4f9539ff663e80"/>
    <w:p>
      <w:pPr>
        <w:pStyle w:val="Heading2"/>
      </w:pPr>
      <w:r>
        <w:t xml:space="preserve">5.3 Exkurs: Das Kommunikationsmodell nach Schulz von Thun</w:t>
      </w:r>
    </w:p>
    <w:p>
      <w:pPr>
        <w:pStyle w:val="FirstParagraph"/>
      </w:pPr>
      <w:r>
        <w:t xml:space="preserve">Der Psychologe</w:t>
      </w:r>
      <w:r>
        <w:t xml:space="preserve"> </w:t>
      </w:r>
      <w:r>
        <w:rPr>
          <w:b/>
          <w:bCs/>
        </w:rPr>
        <w:t xml:space="preserve">Friedemann Schulz von Thun</w:t>
      </w:r>
      <w:r>
        <w:t xml:space="preserve"> </w:t>
      </w:r>
      <w:r>
        <w:t xml:space="preserve">beschreibt in seinem Modell „Vier Seiten einer Nachricht“ die Mehrdimensionalität jeder Kommunikation:</w:t>
      </w:r>
    </w:p>
    <w:p>
      <w:pPr>
        <w:numPr>
          <w:ilvl w:val="0"/>
          <w:numId w:val="1009"/>
        </w:numPr>
      </w:pPr>
      <w:r>
        <w:rPr>
          <w:b/>
          <w:bCs/>
        </w:rPr>
        <w:t xml:space="preserve">Sachinhalt</w:t>
      </w:r>
      <w:r>
        <w:t xml:space="preserve"> </w:t>
      </w:r>
      <w:r>
        <w:t xml:space="preserve">– Worüber informiere ich?</w:t>
      </w:r>
    </w:p>
    <w:p>
      <w:pPr>
        <w:numPr>
          <w:ilvl w:val="0"/>
          <w:numId w:val="1009"/>
        </w:numPr>
      </w:pPr>
      <w:r>
        <w:rPr>
          <w:b/>
          <w:bCs/>
        </w:rPr>
        <w:t xml:space="preserve">Selbstoffenbarung</w:t>
      </w:r>
      <w:r>
        <w:t xml:space="preserve"> </w:t>
      </w:r>
      <w:r>
        <w:t xml:space="preserve">– Was gebe ich von mir preis?</w:t>
      </w:r>
    </w:p>
    <w:p>
      <w:pPr>
        <w:numPr>
          <w:ilvl w:val="0"/>
          <w:numId w:val="1009"/>
        </w:numPr>
      </w:pPr>
      <w:r>
        <w:rPr>
          <w:b/>
          <w:bCs/>
        </w:rPr>
        <w:t xml:space="preserve">Beziehung</w:t>
      </w:r>
      <w:r>
        <w:t xml:space="preserve"> </w:t>
      </w:r>
      <w:r>
        <w:t xml:space="preserve">– Was halte ich vom Gegenüber?</w:t>
      </w:r>
    </w:p>
    <w:p>
      <w:pPr>
        <w:numPr>
          <w:ilvl w:val="0"/>
          <w:numId w:val="1009"/>
        </w:numPr>
      </w:pPr>
      <w:r>
        <w:rPr>
          <w:b/>
          <w:bCs/>
        </w:rPr>
        <w:t xml:space="preserve">Appell</w:t>
      </w:r>
      <w:r>
        <w:t xml:space="preserve"> </w:t>
      </w:r>
      <w:r>
        <w:t xml:space="preserve">– Was möchte ich erreichen?</w:t>
      </w:r>
    </w:p>
    <w:p>
      <w:pPr>
        <w:pStyle w:val="FirstParagraph"/>
      </w:pPr>
      <w:r>
        <w:t xml:space="preserve">Gerade in Krisen wird diese Komplexität sichtbar. Eine scheinbar sachliche Aussage wie</w:t>
      </w:r>
    </w:p>
    <w:p>
      <w:pPr>
        <w:pStyle w:val="BodyText"/>
      </w:pPr>
      <w:r>
        <w:rPr>
          <w:b/>
          <w:bCs/>
          <w:i/>
          <w:iCs/>
        </w:rPr>
        <w:t xml:space="preserve">„Der Server ist schon wieder down.“</w:t>
      </w:r>
    </w:p>
    <w:p>
      <w:pPr>
        <w:pStyle w:val="BodyText"/>
      </w:pPr>
      <w:r>
        <w:t xml:space="preserve">kann gleichzeitig Genervtheit (Selbstoffenbarung), Vorwurf (Beziehung) und Handlungsaufforderung (Appell) transportieren.</w:t>
      </w:r>
    </w:p>
    <w:p>
      <w:pPr>
        <w:pStyle w:val="BodyText"/>
      </w:pPr>
      <w:r>
        <w:t xml:space="preserve">In Stresssituationen hören Menschen häufig</w:t>
      </w:r>
      <w:r>
        <w:t xml:space="preserve"> </w:t>
      </w:r>
      <w:r>
        <w:rPr>
          <w:b/>
          <w:bCs/>
        </w:rPr>
        <w:t xml:space="preserve">auf der falschen Ebene</w:t>
      </w:r>
      <w:r>
        <w:t xml:space="preserve"> </w:t>
      </w:r>
      <w:r>
        <w:t xml:space="preserve">– etwa als persönlichen Angriff statt technische Meldung.</w:t>
      </w:r>
    </w:p>
    <w:p>
      <w:pPr>
        <w:pStyle w:val="BodyText"/>
      </w:pPr>
      <w:r>
        <w:t xml:space="preserve">Das Modell sensibilisiert Teams, auch unter Druck</w:t>
      </w:r>
      <w:r>
        <w:t xml:space="preserve"> </w:t>
      </w:r>
      <w:r>
        <w:rPr>
          <w:b/>
          <w:bCs/>
        </w:rPr>
        <w:t xml:space="preserve">metakommunikativ zu denken</w:t>
      </w:r>
      <w:r>
        <w:t xml:space="preserve">: Was sende ich wirklich? Was empfängt mein Gegenüber?</w:t>
      </w:r>
    </w:p>
    <w:p>
      <w:pPr>
        <w:pStyle w:val="BodyText"/>
      </w:pPr>
      <w:r>
        <w:rPr>
          <w:b/>
          <w:bCs/>
        </w:rPr>
        <w:t xml:space="preserve">Merksatz:</w:t>
      </w:r>
      <w:r>
        <w:t xml:space="preserve"> </w:t>
      </w:r>
      <w:r>
        <w:t xml:space="preserve">„Resilienz in Kommunikation heißt: auf allen vier Ohren bewusst sprechen und hören.“</w:t>
      </w:r>
    </w:p>
    <w:bookmarkEnd w:id="69"/>
    <w:bookmarkStart w:id="70" w:name="X3da9ae938ecb91d8e0153fcf53b9b47ea499c7e"/>
    <w:p>
      <w:pPr>
        <w:pStyle w:val="Heading2"/>
      </w:pPr>
      <w:r>
        <w:t xml:space="preserve">5.4 Kommunikationsübung: Vier Seiten einer Nachricht</w:t>
      </w:r>
    </w:p>
    <w:p>
      <w:pPr>
        <w:pStyle w:val="FirstParagraph"/>
      </w:pPr>
      <w:r>
        <w:rPr>
          <w:b/>
          <w:bCs/>
        </w:rPr>
        <w:t xml:space="preserve">Ziel:</w:t>
      </w:r>
      <w:r>
        <w:t xml:space="preserve"> </w:t>
      </w:r>
      <w:r>
        <w:t xml:space="preserve">Bewusstsein für Mehrdeutigkeit und Fehlinterpretationen schärfen.</w:t>
      </w:r>
    </w:p>
    <w:p>
      <w:pPr>
        <w:pStyle w:val="BodyText"/>
      </w:pPr>
      <w:r>
        <w:rPr>
          <w:b/>
          <w:bCs/>
        </w:rPr>
        <w:t xml:space="preserve">Aufgabe:</w:t>
      </w:r>
    </w:p>
    <w:p>
      <w:pPr>
        <w:pStyle w:val="BodyText"/>
      </w:pPr>
      <w:r>
        <w:t xml:space="preserve">Analysieren Sie in 3er-Gruppen die Aussage:</w:t>
      </w:r>
    </w:p>
    <w:p>
      <w:pPr>
        <w:pStyle w:val="BodyText"/>
      </w:pPr>
      <w:r>
        <w:rPr>
          <w:i/>
          <w:iCs/>
        </w:rPr>
        <w:t xml:space="preserve">„Warum habt ihr das Backup noch nicht eingespielt?“</w:t>
      </w:r>
    </w:p>
    <w:p>
      <w:pPr>
        <w:pStyle w:val="BodyText"/>
      </w:pPr>
      <w:r>
        <w:t xml:space="preserve">Diskutieren Sie:</w:t>
      </w:r>
    </w:p>
    <w:p>
      <w:pPr>
        <w:numPr>
          <w:ilvl w:val="0"/>
          <w:numId w:val="1010"/>
        </w:numPr>
      </w:pPr>
      <w:r>
        <w:t xml:space="preserve">Welche Botschaften liegen auf den vier Ebenen?</w:t>
      </w:r>
    </w:p>
    <w:p>
      <w:pPr>
        <w:numPr>
          <w:ilvl w:val="0"/>
          <w:numId w:val="1010"/>
        </w:numPr>
      </w:pPr>
      <w:r>
        <w:t xml:space="preserve">Wie könnte dieselbe Aussage</w:t>
      </w:r>
      <w:r>
        <w:t xml:space="preserve"> </w:t>
      </w:r>
      <w:r>
        <w:rPr>
          <w:i/>
          <w:iCs/>
        </w:rPr>
        <w:t xml:space="preserve">resilienter</w:t>
      </w:r>
      <w:r>
        <w:t xml:space="preserve"> </w:t>
      </w:r>
      <w:r>
        <w:t xml:space="preserve">formuliert werden?</w:t>
      </w:r>
    </w:p>
    <w:p>
      <w:pPr>
        <w:numPr>
          <w:ilvl w:val="0"/>
          <w:numId w:val="1010"/>
        </w:numPr>
      </w:pPr>
      <w:r>
        <w:t xml:space="preserve">Welche Missverständnisse entstehen, wenn Empfänger nur eine Ebene hören?</w:t>
      </w:r>
    </w:p>
    <w:p>
      <w:pPr>
        <w:pStyle w:val="FirstParagraph"/>
      </w:pPr>
      <w:r>
        <w:rPr>
          <w:b/>
          <w:bCs/>
        </w:rPr>
        <w:t xml:space="preserve">Beispielhafte Auswertung: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Ebene</w:t>
            </w:r>
          </w:p>
        </w:tc>
        <w:tc>
          <w:tcPr/>
          <w:p>
            <w:pPr>
              <w:pStyle w:val="Compact"/>
            </w:pPr>
            <w:r>
              <w:t xml:space="preserve">Interpretation</w:t>
            </w:r>
          </w:p>
        </w:tc>
      </w:tr>
      <w:tr>
        <w:tc>
          <w:tcPr/>
          <w:p>
            <w:pPr>
              <w:pStyle w:val="Compact"/>
            </w:pPr>
            <w:r>
              <w:rPr>
                <w:b/>
                <w:bCs/>
              </w:rPr>
              <w:t xml:space="preserve">Sachinhalt</w:t>
            </w:r>
          </w:p>
        </w:tc>
        <w:tc>
          <w:tcPr/>
          <w:p>
            <w:pPr>
              <w:pStyle w:val="Compact"/>
            </w:pPr>
            <w:r>
              <w:t xml:space="preserve">Das Backup wurde noch nicht eingespielt.</w:t>
            </w:r>
          </w:p>
        </w:tc>
      </w:tr>
      <w:tr>
        <w:tc>
          <w:tcPr/>
          <w:p>
            <w:pPr>
              <w:pStyle w:val="Compact"/>
            </w:pPr>
            <w:r>
              <w:rPr>
                <w:b/>
                <w:bCs/>
              </w:rPr>
              <w:t xml:space="preserve">Selbstoffenbarung</w:t>
            </w:r>
          </w:p>
        </w:tc>
        <w:tc>
          <w:tcPr/>
          <w:p>
            <w:pPr>
              <w:pStyle w:val="Compact"/>
            </w:pPr>
            <w:r>
              <w:t xml:space="preserve">Ich bin gestresst / unter Druck.</w:t>
            </w:r>
          </w:p>
        </w:tc>
      </w:tr>
      <w:tr>
        <w:tc>
          <w:tcPr/>
          <w:p>
            <w:pPr>
              <w:pStyle w:val="Compact"/>
            </w:pPr>
            <w:r>
              <w:rPr>
                <w:b/>
                <w:bCs/>
              </w:rPr>
              <w:t xml:space="preserve">Beziehung</w:t>
            </w:r>
          </w:p>
        </w:tc>
        <w:tc>
          <w:tcPr/>
          <w:p>
            <w:pPr>
              <w:pStyle w:val="Compact"/>
            </w:pPr>
            <w:r>
              <w:t xml:space="preserve">Ich zweifle an eurer Kompetenz.</w:t>
            </w:r>
          </w:p>
        </w:tc>
      </w:tr>
      <w:tr>
        <w:tc>
          <w:tcPr/>
          <w:p>
            <w:pPr>
              <w:pStyle w:val="Compact"/>
            </w:pPr>
            <w:r>
              <w:rPr>
                <w:b/>
                <w:bCs/>
              </w:rPr>
              <w:t xml:space="preserve">Appell</w:t>
            </w:r>
          </w:p>
        </w:tc>
        <w:tc>
          <w:tcPr/>
          <w:p>
            <w:pPr>
              <w:pStyle w:val="Compact"/>
            </w:pPr>
            <w:r>
              <w:t xml:space="preserve">Bitte handelt jetzt sofort.</w:t>
            </w:r>
          </w:p>
        </w:tc>
      </w:tr>
    </w:tbl>
    <w:p>
      <w:pPr>
        <w:pStyle w:val="BodyText"/>
      </w:pPr>
      <w:r>
        <w:rPr>
          <w:b/>
          <w:bCs/>
        </w:rPr>
        <w:t xml:space="preserve">Alternative Formulierung:</w:t>
      </w:r>
    </w:p>
    <w:p>
      <w:pPr>
        <w:pStyle w:val="BodyText"/>
      </w:pPr>
      <w:r>
        <w:rPr>
          <w:i/>
          <w:iCs/>
        </w:rPr>
        <w:t xml:space="preserve">„Wie ist der Stand beim Backup-Restore? Können wir gemeinsam priorisieren?“</w:t>
      </w:r>
    </w:p>
    <w:p>
      <w:pPr>
        <w:pStyle w:val="BodyText"/>
      </w:pPr>
      <w:r>
        <w:t xml:space="preserve">Diese Übung verdeutlicht, dass Kommunikation</w:t>
      </w:r>
      <w:r>
        <w:t xml:space="preserve"> </w:t>
      </w:r>
      <w:r>
        <w:rPr>
          <w:b/>
          <w:bCs/>
        </w:rPr>
        <w:t xml:space="preserve">selbst ein Resilienzprozess</w:t>
      </w:r>
      <w:r>
        <w:t xml:space="preserve"> </w:t>
      </w:r>
      <w:r>
        <w:t xml:space="preserve">ist – je klarer, respektvoller und bewusster sie erfolgt, desto stabiler bleibt die Organisation in der Krise.</w:t>
      </w:r>
    </w:p>
    <w:bookmarkEnd w:id="70"/>
    <w:bookmarkStart w:id="71" w:name="X0bae28ce9ab5b40e44c7cd269a6ada3704a3df2"/>
    <w:p>
      <w:pPr>
        <w:pStyle w:val="Heading2"/>
      </w:pPr>
      <w:r>
        <w:t xml:space="preserve">5.5 Verbindung zu Incident-Management und Governance</w:t>
      </w:r>
    </w:p>
    <w:p>
      <w:pPr>
        <w:pStyle w:val="FirstParagraph"/>
      </w:pPr>
      <w:r>
        <w:t xml:space="preserve">Gute Kommunikation ist in internationalen Standards verankert:</w:t>
      </w:r>
    </w:p>
    <w:p>
      <w:pPr>
        <w:numPr>
          <w:ilvl w:val="0"/>
          <w:numId w:val="1011"/>
        </w:numPr>
      </w:pPr>
      <w:r>
        <w:rPr>
          <w:b/>
          <w:bCs/>
        </w:rPr>
        <w:t xml:space="preserve">NIST SP 800-61 r2</w:t>
      </w:r>
      <w:r>
        <w:t xml:space="preserve"> </w:t>
      </w:r>
      <w:r>
        <w:t xml:space="preserve">fordert definierte Kommunikationskanäle und Ansprechpartner.</w:t>
      </w:r>
    </w:p>
    <w:p>
      <w:pPr>
        <w:numPr>
          <w:ilvl w:val="0"/>
          <w:numId w:val="1011"/>
        </w:numPr>
      </w:pPr>
      <w:r>
        <w:rPr>
          <w:b/>
          <w:bCs/>
        </w:rPr>
        <w:t xml:space="preserve">ENISA Incident Management Guide</w:t>
      </w:r>
      <w:r>
        <w:t xml:space="preserve"> </w:t>
      </w:r>
      <w:r>
        <w:t xml:space="preserve">empfiehlt Kommunikations-Playbooks und regelmäßige Testübungen.</w:t>
      </w:r>
    </w:p>
    <w:p>
      <w:pPr>
        <w:numPr>
          <w:ilvl w:val="0"/>
          <w:numId w:val="1011"/>
        </w:numPr>
      </w:pPr>
      <w:r>
        <w:rPr>
          <w:b/>
          <w:bCs/>
        </w:rPr>
        <w:t xml:space="preserve">BSI-200-4</w:t>
      </w:r>
      <w:r>
        <w:t xml:space="preserve"> </w:t>
      </w:r>
      <w:r>
        <w:t xml:space="preserve">bewertet Kommunikationsprozesse als Teil des Reifegradmodells für Resilienz.</w:t>
      </w:r>
    </w:p>
    <w:p>
      <w:pPr>
        <w:pStyle w:val="FirstParagraph"/>
      </w:pPr>
      <w:r>
        <w:t xml:space="preserve">Damit ist Kommunikation kein „Soft Skill“, sondern ein</w:t>
      </w:r>
      <w:r>
        <w:t xml:space="preserve"> </w:t>
      </w:r>
      <w:r>
        <w:rPr>
          <w:b/>
          <w:bCs/>
        </w:rPr>
        <w:t xml:space="preserve">organisatorisches Kontrollziel</w:t>
      </w:r>
      <w:r>
        <w:t xml:space="preserve"> </w:t>
      </w:r>
      <w:r>
        <w:t xml:space="preserve">und ein messbarer Faktor im Resilienz-Audit.</w:t>
      </w:r>
    </w:p>
    <w:p>
      <w:pPr>
        <w:pStyle w:val="BodyText"/>
      </w:pPr>
      <w:r>
        <w:rPr>
          <w:b/>
          <w:bCs/>
        </w:rPr>
        <w:t xml:space="preserve">Kernaussage:</w:t>
      </w:r>
    </w:p>
    <w:p>
      <w:pPr>
        <w:pStyle w:val="BodyText"/>
      </w:pPr>
      <w:r>
        <w:t xml:space="preserve">Organisationale Resilienz beginnt mit kommunikativer Klarheit. Wer unter Stress klar und respektvoll kommunizieren kann, reduziert Eskalationen, stärkt Vertrauen und verkürzt Recovery-Zeiten.</w:t>
      </w:r>
    </w:p>
    <w:bookmarkEnd w:id="71"/>
    <w:bookmarkEnd w:id="72"/>
    <w:bookmarkStart w:id="86" w:name="Xac5b873ad012e987cf0adcae3fc49cffa3e2036"/>
    <w:p>
      <w:pPr>
        <w:pStyle w:val="Heading1"/>
      </w:pPr>
      <w:r>
        <w:t xml:space="preserve">Kapitel 6 – Übungs- und Trainingskultur als Fundament organisationaler Resilienz</w:t>
      </w:r>
    </w:p>
    <w:p>
      <w:pPr>
        <w:pStyle w:val="FirstParagraph"/>
      </w:pPr>
      <w:r>
        <w:t xml:space="preserve">Technische Systeme werden regelmäßig getestet – Organisationen oft nicht. Doch Resilienz ist kein theoretisches Konzept, sondern eine</w:t>
      </w:r>
      <w:r>
        <w:t xml:space="preserve"> </w:t>
      </w:r>
      <w:r>
        <w:rPr>
          <w:b/>
          <w:bCs/>
        </w:rPr>
        <w:t xml:space="preserve">praktische Fähigkeit</w:t>
      </w:r>
      <w:r>
        <w:t xml:space="preserve">. Erst durch Training entsteht die Verhaltenssicherheit, die in Krisen benötigt wird. Ohne Übung bleibt jede noch so gute Incident-Response-Policy ein Papierdokument.</w:t>
      </w:r>
    </w:p>
    <w:p>
      <w:pPr>
        <w:pStyle w:val="BodyText"/>
      </w:pPr>
      <w:r>
        <w:t xml:space="preserve">Organisationale Resilienz verlangt daher eine</w:t>
      </w:r>
      <w:r>
        <w:t xml:space="preserve"> </w:t>
      </w:r>
      <w:r>
        <w:rPr>
          <w:b/>
          <w:bCs/>
        </w:rPr>
        <w:t xml:space="preserve">institutionalisierte Trainingskultur</w:t>
      </w:r>
      <w:r>
        <w:t xml:space="preserve">, in der Fehler als Lernchancen gelten und Szenarien bewusst durchgespielt werden.</w:t>
      </w:r>
    </w:p>
    <w:bookmarkStart w:id="81" w:name="formen-des-resilienztrainings"/>
    <w:p>
      <w:pPr>
        <w:pStyle w:val="Heading2"/>
      </w:pPr>
      <w:r>
        <w:t xml:space="preserve">6.1 Formen des Resilienztrainings</w:t>
      </w:r>
    </w:p>
    <w:p>
      <w:pPr>
        <w:pStyle w:val="FirstParagraph"/>
      </w:pPr>
      <w:r>
        <w:rPr>
          <w:b/>
          <w:bCs/>
        </w:rPr>
        <w:t xml:space="preserve">a) Tabletop-Übungen (TTX)</w:t>
      </w:r>
    </w:p>
    <w:p>
      <w:pPr>
        <w:pStyle w:val="BodyText"/>
      </w:pPr>
      <w:r>
        <w:t xml:space="preserve">Planspiele mit fiktiven, aber realistischen Szenarien. Ziel: Kommunikations- und Entscheidungsfähigkeit testen. TTX eignen sich für Management- und Querschnittsteams, da kein technischer Aufwand nötig ist.</w:t>
      </w:r>
    </w:p>
    <w:p>
      <w:pPr>
        <w:pStyle w:val="BodyText"/>
      </w:pPr>
      <w:r>
        <w:rPr>
          <w:b/>
          <w:bCs/>
        </w:rPr>
        <w:t xml:space="preserve">b) Live-Simulationen</w:t>
      </w:r>
    </w:p>
    <w:p>
      <w:pPr>
        <w:pStyle w:val="BodyText"/>
      </w:pPr>
      <w:r>
        <w:t xml:space="preserve">Technisch-operative Übungen, bei denen Systeme oder Services tatsächlich beeinträchtigt werden.</w:t>
      </w:r>
    </w:p>
    <w:p>
      <w:pPr>
        <w:pStyle w:val="BodyText"/>
      </w:pPr>
      <w:r>
        <w:t xml:space="preserve">Ziel: Reaktionsgeschwindigkeit, Schnittstellen und Wiederanlaufprozesse real prüfen. Beispiele: Red-Team-Übungen, „Ransomware-Day“, Ausfall-Simulation eines Cloud-Providers.</w:t>
      </w:r>
    </w:p>
    <w:p>
      <w:pPr>
        <w:pStyle w:val="BodyText"/>
      </w:pPr>
      <w:r>
        <w:rPr>
          <w:b/>
          <w:bCs/>
        </w:rPr>
        <w:t xml:space="preserve">c) After-Action Reviews (AAR) / Post-Mortems</w:t>
      </w:r>
    </w:p>
    <w:p>
      <w:pPr>
        <w:pStyle w:val="BodyText"/>
      </w:pPr>
      <w:r>
        <w:t xml:space="preserve">Strukturierte Nachbesprechungen realer oder simulierter Incidents.</w:t>
      </w:r>
    </w:p>
    <w:p>
      <w:pPr>
        <w:pStyle w:val="BodyText"/>
      </w:pPr>
      <w:r>
        <w:t xml:space="preserve">Fokus auf Ursache, Prozesslücken und Verbesserung –</w:t>
      </w:r>
      <w:r>
        <w:t xml:space="preserve"> </w:t>
      </w:r>
      <w:r>
        <w:rPr>
          <w:b/>
          <w:bCs/>
        </w:rPr>
        <w:t xml:space="preserve">nicht auf Schuldzuweisung</w:t>
      </w:r>
      <w:r>
        <w:t xml:space="preserve">. Ergebnisse fließen zurück in Playbooks, Schulungen und Governance.</w:t>
      </w:r>
    </w:p>
    <w:p>
      <w:pPr>
        <w:pStyle w:val="CaptionedFigure"/>
      </w:pPr>
      <w:r>
        <w:drawing>
          <wp:inline>
            <wp:extent cx="3451860" cy="2630436"/>
            <wp:effectExtent b="0" l="0" r="0" t="0"/>
            <wp:docPr descr="Übungsformen nach Aufwand und Realitätsnähe" title="" id="74" name="Picture"/>
            <a:graphic>
              <a:graphicData uri="http://schemas.openxmlformats.org/drawingml/2006/picture">
                <pic:pic>
                  <pic:nvPicPr>
                    <pic:cNvPr descr="../Präsentationen/Termin-05/assets/uebungsformen.png" id="75" name="Picture"/>
                    <pic:cNvPicPr>
                      <a:picLocks noChangeArrowheads="1" noChangeAspect="1"/>
                    </pic:cNvPicPr>
                  </pic:nvPicPr>
                  <pic:blipFill>
                    <a:blip r:embed="rId73"/>
                    <a:stretch>
                      <a:fillRect/>
                    </a:stretch>
                  </pic:blipFill>
                  <pic:spPr bwMode="auto">
                    <a:xfrm>
                      <a:off x="0" y="0"/>
                      <a:ext cx="3451860" cy="2630436"/>
                    </a:xfrm>
                    <a:prstGeom prst="rect">
                      <a:avLst/>
                    </a:prstGeom>
                    <a:noFill/>
                    <a:ln w="9525">
                      <a:noFill/>
                      <a:headEnd/>
                      <a:tailEnd/>
                    </a:ln>
                  </pic:spPr>
                </pic:pic>
              </a:graphicData>
            </a:graphic>
          </wp:inline>
        </w:drawing>
      </w:r>
    </w:p>
    <w:p>
      <w:pPr>
        <w:pStyle w:val="ImageCaption"/>
      </w:pPr>
      <w:r>
        <w:t xml:space="preserve">Übungsformen nach Aufwand und Realitätsnähe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usr/local/lib/python3.13/dist-packages/quarto_cli/share/formats/docx/tip.png" id="77"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LÜKEX 23</w:t>
            </w:r>
          </w:p>
        </w:tc>
      </w:tr>
      <w:tr>
        <w:trPr>
          <w:cantSplit/>
        </w:trPr>
        <w:tc>
          <w:tcPr>
            <w:tcMar>
              <w:top w:w="108" w:type="dxa"/>
              <w:bottom w:w="108" w:type="dxa"/>
            </w:tcMar>
          </w:tcPr>
          <w:p>
            <w:pPr>
              <w:pStyle w:val="BodyText"/>
            </w:pPr>
            <w:pPr>
              <w:spacing w:before="16"/>
            </w:pPr>
            <w:r>
              <w:t xml:space="preserve">Am 27. und 28. September 2023 übten Bund und Länder in der Krisenmanagementübung LÜKEX 23 unter Federführung des Bundesamts für Bevölkerungsschutz und Katastrophenhilfe (BBK) einen massiven Cyberangriff auf das Regierungshandeln. Beteiligt waren mehr als 50 Behörden und über 1.000 Mitwirkende; acht Länder nahmen am vollen Übungsablauf teil. Einsatzkräfte und Bevölkerung waren nicht eingebunden, das Szenario wurde vorab nicht veröffentlicht. Im Mittelpunkt standen Melde- und Kommunikationswege, das Zusammenspiel von Krisenmanagement und IT-Notfallmanagement sowie die Krisenkommunikation. Baden-Württemberg berichtete in seiner Auswertung, die Strukturen hätten sich bewährt, an verschiedenen Stellen gebe es aber Verbesserungspotenzial.</w:t>
            </w:r>
          </w:p>
          <w:p>
            <w:pPr>
              <w:pStyle w:val="BodyText"/>
            </w:pPr>
            <w:r>
              <w:t xml:space="preserve">LÜKEX ist eine Tabletop-Übung im Großformat: Kein Server wird abgeschaltet, geübt werden Entscheidungen und Kommunikation. Genau diese Fähigkeit musste in Anhalt-Bitterfeld 2021 im Ernstfall erst entstehen.</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4027170" cy="3068842"/>
            <wp:effectExtent b="0" l="0" r="0" t="0"/>
            <wp:docPr descr="LÜKEX 23: Krisenmanagementübung zu einem Cyberangriff" title="" id="79" name="Picture"/>
            <a:graphic>
              <a:graphicData uri="http://schemas.openxmlformats.org/drawingml/2006/picture">
                <pic:pic>
                  <pic:nvPicPr>
                    <pic:cNvPr descr="../Präsentationen/Termin-05/assets/luekex-23.png" id="80" name="Picture"/>
                    <pic:cNvPicPr>
                      <a:picLocks noChangeArrowheads="1" noChangeAspect="1"/>
                    </pic:cNvPicPr>
                  </pic:nvPicPr>
                  <pic:blipFill>
                    <a:blip r:embed="rId78"/>
                    <a:stretch>
                      <a:fillRect/>
                    </a:stretch>
                  </pic:blipFill>
                  <pic:spPr bwMode="auto">
                    <a:xfrm>
                      <a:off x="0" y="0"/>
                      <a:ext cx="4027170" cy="3068842"/>
                    </a:xfrm>
                    <a:prstGeom prst="rect">
                      <a:avLst/>
                    </a:prstGeom>
                    <a:noFill/>
                    <a:ln w="9525">
                      <a:noFill/>
                      <a:headEnd/>
                      <a:tailEnd/>
                    </a:ln>
                  </pic:spPr>
                </pic:pic>
              </a:graphicData>
            </a:graphic>
          </wp:inline>
        </w:drawing>
      </w:r>
    </w:p>
    <w:p>
      <w:pPr>
        <w:pStyle w:val="ImageCaption"/>
      </w:pPr>
      <w:r>
        <w:t xml:space="preserve">LÜKEX 23: Krisenmanagementübung zu einem Cyberangriff</w:t>
      </w:r>
    </w:p>
    <w:bookmarkEnd w:id="81"/>
    <w:bookmarkStart w:id="82" w:name="messgrößen-und-erfolgsindikatoren"/>
    <w:p>
      <w:pPr>
        <w:pStyle w:val="Heading2"/>
      </w:pPr>
      <w:r>
        <w:t xml:space="preserve">6.2 Messgrößen und Erfolgsindikatoren</w:t>
      </w:r>
    </w:p>
    <w:p>
      <w:pPr>
        <w:pStyle w:val="FirstParagraph"/>
      </w:pPr>
      <w:r>
        <w:t xml:space="preserve">Resilienz lässt sich nicht absolut messen, wohl aber</w:t>
      </w:r>
      <w:r>
        <w:t xml:space="preserve"> </w:t>
      </w:r>
      <w:r>
        <w:rPr>
          <w:b/>
          <w:bCs/>
        </w:rPr>
        <w:t xml:space="preserve">bewerten</w:t>
      </w:r>
      <w:r>
        <w:t xml:space="preserve">. Typische Kennzahlen: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Metrik</w:t>
            </w:r>
          </w:p>
        </w:tc>
        <w:tc>
          <w:tcPr/>
          <w:p>
            <w:pPr>
              <w:pStyle w:val="Compact"/>
            </w:pPr>
            <w:r>
              <w:t xml:space="preserve">Bedeutung</w:t>
            </w:r>
          </w:p>
        </w:tc>
      </w:tr>
      <w:tr>
        <w:tc>
          <w:tcPr/>
          <w:p>
            <w:pPr>
              <w:pStyle w:val="Compact"/>
            </w:pPr>
            <w:r>
              <w:t xml:space="preserve">Time to Detect (TTD)</w:t>
            </w:r>
          </w:p>
        </w:tc>
        <w:tc>
          <w:tcPr/>
          <w:p>
            <w:pPr>
              <w:pStyle w:val="Compact"/>
            </w:pPr>
            <w:r>
              <w:t xml:space="preserve">Wie schnell wird ein Incident erkannt?</w:t>
            </w:r>
          </w:p>
        </w:tc>
      </w:tr>
      <w:tr>
        <w:tc>
          <w:tcPr/>
          <w:p>
            <w:pPr>
              <w:pStyle w:val="Compact"/>
            </w:pPr>
            <w:r>
              <w:t xml:space="preserve">Time to Decision (TTDec)</w:t>
            </w:r>
          </w:p>
        </w:tc>
        <w:tc>
          <w:tcPr/>
          <w:p>
            <w:pPr>
              <w:pStyle w:val="Compact"/>
            </w:pPr>
            <w:r>
              <w:t xml:space="preserve">Wie schnell fällt eine handlungsleitende Entscheidung?</w:t>
            </w:r>
          </w:p>
        </w:tc>
      </w:tr>
      <w:tr>
        <w:tc>
          <w:tcPr/>
          <w:p>
            <w:pPr>
              <w:pStyle w:val="Compact"/>
            </w:pPr>
            <w:r>
              <w:t xml:space="preserve">Time to Recover (TTR)</w:t>
            </w:r>
          </w:p>
        </w:tc>
        <w:tc>
          <w:tcPr/>
          <w:p>
            <w:pPr>
              <w:pStyle w:val="Compact"/>
            </w:pPr>
            <w:r>
              <w:t xml:space="preserve">Wie lange dauert es, bis kritische Systeme wieder lauffähig sind?</w:t>
            </w:r>
          </w:p>
        </w:tc>
      </w:tr>
      <w:tr>
        <w:tc>
          <w:tcPr/>
          <w:p>
            <w:pPr>
              <w:pStyle w:val="Compact"/>
            </w:pPr>
            <w:r>
              <w:t xml:space="preserve">Communication Efficiency Score</w:t>
            </w:r>
          </w:p>
        </w:tc>
        <w:tc>
          <w:tcPr/>
          <w:p>
            <w:pPr>
              <w:pStyle w:val="Compact"/>
            </w:pPr>
            <w:r>
              <w:t xml:space="preserve">Verhältnis bestätigter zu gesendeten Meldungen</w:t>
            </w:r>
          </w:p>
        </w:tc>
      </w:tr>
      <w:tr>
        <w:tc>
          <w:tcPr/>
          <w:p>
            <w:pPr>
              <w:pStyle w:val="Compact"/>
            </w:pPr>
            <w:r>
              <w:t xml:space="preserve">Exercise Frequency</w:t>
            </w:r>
          </w:p>
        </w:tc>
        <w:tc>
          <w:tcPr/>
          <w:p>
            <w:pPr>
              <w:pStyle w:val="Compact"/>
            </w:pPr>
            <w:r>
              <w:t xml:space="preserve">Anzahl der durchgeführten Übungen pro Jahr</w:t>
            </w:r>
          </w:p>
        </w:tc>
      </w:tr>
    </w:tbl>
    <w:p>
      <w:pPr>
        <w:pStyle w:val="BodyText"/>
      </w:pPr>
      <w:r>
        <w:t xml:space="preserve">Diese Kennzahlen werden zunehmend Bestandteil von</w:t>
      </w:r>
      <w:r>
        <w:t xml:space="preserve"> </w:t>
      </w:r>
      <w:r>
        <w:rPr>
          <w:b/>
          <w:bCs/>
        </w:rPr>
        <w:t xml:space="preserve">BCM- und ISMS-Audits</w:t>
      </w:r>
      <w:r>
        <w:t xml:space="preserve">. Sie machen Resilienz operationalisierbar und fördern kontinuierliche Verbesserung.</w:t>
      </w:r>
    </w:p>
    <w:bookmarkEnd w:id="82"/>
    <w:bookmarkStart w:id="83" w:name="organisatorische-verankerung"/>
    <w:p>
      <w:pPr>
        <w:pStyle w:val="Heading2"/>
      </w:pPr>
      <w:r>
        <w:t xml:space="preserve">6.3 Organisatorische Verankerung</w:t>
      </w:r>
    </w:p>
    <w:p>
      <w:pPr>
        <w:pStyle w:val="FirstParagraph"/>
      </w:pPr>
      <w:r>
        <w:t xml:space="preserve">Eine nachhaltige Trainingskultur braucht:</w:t>
      </w:r>
    </w:p>
    <w:p>
      <w:pPr>
        <w:numPr>
          <w:ilvl w:val="0"/>
          <w:numId w:val="1012"/>
        </w:numPr>
      </w:pPr>
      <w:r>
        <w:rPr>
          <w:b/>
          <w:bCs/>
        </w:rPr>
        <w:t xml:space="preserve">Regelmäßigkeit:</w:t>
      </w:r>
      <w:r>
        <w:t xml:space="preserve"> </w:t>
      </w:r>
      <w:r>
        <w:t xml:space="preserve">mindestens zwei Tabletop-Übungen pro Jahr</w:t>
      </w:r>
    </w:p>
    <w:p>
      <w:pPr>
        <w:numPr>
          <w:ilvl w:val="0"/>
          <w:numId w:val="1012"/>
        </w:numPr>
      </w:pPr>
      <w:r>
        <w:rPr>
          <w:b/>
          <w:bCs/>
        </w:rPr>
        <w:t xml:space="preserve">Dokumentation:</w:t>
      </w:r>
      <w:r>
        <w:t xml:space="preserve"> </w:t>
      </w:r>
      <w:r>
        <w:t xml:space="preserve">strukturierte Lessons-Learned-Protokolle</w:t>
      </w:r>
    </w:p>
    <w:p>
      <w:pPr>
        <w:numPr>
          <w:ilvl w:val="0"/>
          <w:numId w:val="1012"/>
        </w:numPr>
      </w:pPr>
      <w:r>
        <w:rPr>
          <w:b/>
          <w:bCs/>
        </w:rPr>
        <w:t xml:space="preserve">Management-Teilnahme:</w:t>
      </w:r>
      <w:r>
        <w:t xml:space="preserve"> </w:t>
      </w:r>
      <w:r>
        <w:t xml:space="preserve">gelebte Vorbildfunktion</w:t>
      </w:r>
    </w:p>
    <w:p>
      <w:pPr>
        <w:numPr>
          <w:ilvl w:val="0"/>
          <w:numId w:val="1012"/>
        </w:numPr>
      </w:pPr>
      <w:r>
        <w:rPr>
          <w:b/>
          <w:bCs/>
        </w:rPr>
        <w:t xml:space="preserve">Evaluation:</w:t>
      </w:r>
      <w:r>
        <w:t xml:space="preserve"> </w:t>
      </w:r>
      <w:r>
        <w:t xml:space="preserve">standardisierte Bewertung (z. B. BSI-200-4 Reifegrad)</w:t>
      </w:r>
    </w:p>
    <w:p>
      <w:pPr>
        <w:pStyle w:val="FirstParagraph"/>
      </w:pPr>
      <w:r>
        <w:t xml:space="preserve">Training ist damit kein freiwilliges Zusatzprogramm, sondern Bestandteil des Resilienzmanagements nach ISO 22316 und ISO 22301.</w:t>
      </w:r>
    </w:p>
    <w:bookmarkEnd w:id="83"/>
    <w:bookmarkStart w:id="84" w:name="psychologische-und-kulturelle-dimension"/>
    <w:p>
      <w:pPr>
        <w:pStyle w:val="Heading2"/>
      </w:pPr>
      <w:r>
        <w:t xml:space="preserve">6.4 Psychologische und kulturelle Dimension</w:t>
      </w:r>
    </w:p>
    <w:p>
      <w:pPr>
        <w:pStyle w:val="FirstParagraph"/>
      </w:pPr>
      <w:r>
        <w:t xml:space="preserve">Menschen lernen unter Stress nur das, was sie zuvor</w:t>
      </w:r>
      <w:r>
        <w:t xml:space="preserve"> </w:t>
      </w:r>
      <w:r>
        <w:rPr>
          <w:b/>
          <w:bCs/>
        </w:rPr>
        <w:t xml:space="preserve">trainiert</w:t>
      </w:r>
      <w:r>
        <w:t xml:space="preserve"> </w:t>
      </w:r>
      <w:r>
        <w:t xml:space="preserve">haben. Krisentraining hat daher auch eine emotionale Funktion:</w:t>
      </w:r>
    </w:p>
    <w:p>
      <w:pPr>
        <w:pStyle w:val="BodyText"/>
      </w:pPr>
      <w:r>
        <w:t xml:space="preserve">Es reduziert Angst, fördert Teamkohäsion und schafft Vertrauen in die eigenen Fähigkeiten.</w:t>
      </w:r>
    </w:p>
    <w:p>
      <w:pPr>
        <w:pStyle w:val="BodyText"/>
      </w:pPr>
      <w:r>
        <w:t xml:space="preserve">Ein Team, das regelmäßig übt, erlebt weniger Panik, wenn der Ernstfall eintritt. Resilienztraining ist somit zugleich</w:t>
      </w:r>
      <w:r>
        <w:t xml:space="preserve"> </w:t>
      </w:r>
      <w:r>
        <w:rPr>
          <w:b/>
          <w:bCs/>
        </w:rPr>
        <w:t xml:space="preserve">technische Probe und Kulturarbeit</w:t>
      </w:r>
      <w:r>
        <w:t xml:space="preserve">.</w:t>
      </w:r>
    </w:p>
    <w:bookmarkEnd w:id="84"/>
    <w:bookmarkStart w:id="85" w:name="von-der-übung-zur-lernorganisation"/>
    <w:p>
      <w:pPr>
        <w:pStyle w:val="Heading2"/>
      </w:pPr>
      <w:r>
        <w:t xml:space="preserve">6.5 Von der Übung zur Lernorganisation</w:t>
      </w:r>
    </w:p>
    <w:p>
      <w:pPr>
        <w:pStyle w:val="FirstParagraph"/>
      </w:pPr>
      <w:r>
        <w:t xml:space="preserve">Der eigentliche Mehrwert entsteht nicht während der Übung, sondern</w:t>
      </w:r>
      <w:r>
        <w:t xml:space="preserve"> </w:t>
      </w:r>
      <w:r>
        <w:rPr>
          <w:b/>
          <w:bCs/>
        </w:rPr>
        <w:t xml:space="preserve">danach</w:t>
      </w:r>
      <w:r>
        <w:t xml:space="preserve"> </w:t>
      </w:r>
      <w:r>
        <w:t xml:space="preserve">– im strukturierten Lernen aus Fehlern. Organisationen, die aus jedem Incident Erkenntnisse ziehen und diese institutionalisiert umsetzen, entwickeln sich zu</w:t>
      </w:r>
      <w:r>
        <w:t xml:space="preserve"> </w:t>
      </w:r>
      <w:r>
        <w:rPr>
          <w:i/>
          <w:iCs/>
        </w:rPr>
        <w:t xml:space="preserve">Learning Organizations</w:t>
      </w:r>
      <w:r>
        <w:t xml:space="preserve"> </w:t>
      </w:r>
      <w:r>
        <w:t xml:space="preserve">(nach Peter Senge).</w:t>
      </w:r>
    </w:p>
    <w:p>
      <w:pPr>
        <w:pStyle w:val="BodyText"/>
      </w:pPr>
      <w:r>
        <w:t xml:space="preserve">Damit schließt sich der Resilienzzyklus:</w:t>
      </w:r>
    </w:p>
    <w:p>
      <w:pPr>
        <w:pStyle w:val="BodyText"/>
      </w:pPr>
      <w:r>
        <w:rPr>
          <w:i/>
          <w:iCs/>
        </w:rPr>
        <w:t xml:space="preserve">Detection → Response → Recovery → Adapt.</w:t>
      </w:r>
      <w:r>
        <w:t xml:space="preserve"> </w:t>
      </w:r>
      <w:r>
        <w:t xml:space="preserve">Der Schritt „Adapt“ ist im Kern nichts anderes als institutionalisiertes Lernen.</w:t>
      </w:r>
    </w:p>
    <w:p>
      <w:pPr>
        <w:pStyle w:val="BodyText"/>
      </w:pPr>
      <w:r>
        <w:rPr>
          <w:b/>
          <w:bCs/>
        </w:rPr>
        <w:t xml:space="preserve">Kernaussage:</w:t>
      </w:r>
    </w:p>
    <w:p>
      <w:pPr>
        <w:pStyle w:val="BodyText"/>
      </w:pPr>
      <w:r>
        <w:t xml:space="preserve">Resilienz entsteht durch Wiederholung, Reflexion und Anpassung. Eine Organisation, die regelmäßig übt und ehrlich aus Fehlern lernt, wird mit jedem Incident stärker – nicht schwächer</w:t>
      </w:r>
    </w:p>
    <w:bookmarkEnd w:id="85"/>
    <w:bookmarkEnd w:id="86"/>
    <w:bookmarkStart w:id="95" w:name="X8e266241c5a3b8c698c4e4c9727e39020c1cc85"/>
    <w:p>
      <w:pPr>
        <w:pStyle w:val="Heading1"/>
      </w:pPr>
      <w:r>
        <w:t xml:space="preserve">Kapitel 7 – Governance, Reifegrad und Messbarkeit organisationaler Resilienz</w:t>
      </w:r>
    </w:p>
    <w:p>
      <w:pPr>
        <w:pStyle w:val="FirstParagraph"/>
      </w:pPr>
      <w:r>
        <w:t xml:space="preserve">Resilienz ist kein Zufall, sondern Ergebnis von</w:t>
      </w:r>
      <w:r>
        <w:t xml:space="preserve"> </w:t>
      </w:r>
      <w:r>
        <w:rPr>
          <w:b/>
          <w:bCs/>
        </w:rPr>
        <w:t xml:space="preserve">strukturiertem Management</w:t>
      </w:r>
      <w:r>
        <w:t xml:space="preserve">. Damit sie dauerhaft wirkt, muss sie in die</w:t>
      </w:r>
      <w:r>
        <w:t xml:space="preserve"> </w:t>
      </w:r>
      <w:r>
        <w:rPr>
          <w:b/>
          <w:bCs/>
        </w:rPr>
        <w:t xml:space="preserve">Governance-Architektur</w:t>
      </w:r>
      <w:r>
        <w:t xml:space="preserve"> </w:t>
      </w:r>
      <w:r>
        <w:t xml:space="preserve">einer Organisation eingebettet sein – also in Prozesse, Rollen, Verantwortlichkeiten und Berichterstattung. Nur was gemessen, überprüft und verbessert wird, kann wachsen.</w:t>
      </w:r>
    </w:p>
    <w:p>
      <w:pPr>
        <w:pStyle w:val="BodyText"/>
      </w:pPr>
      <w:r>
        <w:t xml:space="preserve">Governance macht aus spontaner Reaktion</w:t>
      </w:r>
      <w:r>
        <w:t xml:space="preserve"> </w:t>
      </w:r>
      <w:r>
        <w:rPr>
          <w:b/>
          <w:bCs/>
        </w:rPr>
        <w:t xml:space="preserve">nachhaltige Fähigkeit</w:t>
      </w:r>
      <w:r>
        <w:t xml:space="preserve">.</w:t>
      </w:r>
    </w:p>
    <w:bookmarkStart w:id="87" w:name="resilienz-in-managementsystemen"/>
    <w:p>
      <w:pPr>
        <w:pStyle w:val="Heading2"/>
      </w:pPr>
      <w:r>
        <w:t xml:space="preserve">7.1 Resilienz in Managementsystemen</w:t>
      </w:r>
    </w:p>
    <w:p>
      <w:pPr>
        <w:pStyle w:val="FirstParagraph"/>
      </w:pPr>
      <w:r>
        <w:t xml:space="preserve">Resilienz ist kein isoliertes System, sondern eine</w:t>
      </w:r>
      <w:r>
        <w:t xml:space="preserve"> </w:t>
      </w:r>
      <w:r>
        <w:rPr>
          <w:b/>
          <w:bCs/>
        </w:rPr>
        <w:t xml:space="preserve">Querschnittsfunktion</w:t>
      </w:r>
      <w:r>
        <w:t xml:space="preserve"> </w:t>
      </w:r>
      <w:r>
        <w:t xml:space="preserve">über bestehende Managementsysteme hinweg: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Managementsystem</w:t>
            </w:r>
          </w:p>
        </w:tc>
        <w:tc>
          <w:tcPr/>
          <w:p>
            <w:pPr>
              <w:pStyle w:val="Compact"/>
            </w:pPr>
            <w:r>
              <w:t xml:space="preserve">Bezug zur Resilienz</w:t>
            </w:r>
          </w:p>
        </w:tc>
      </w:tr>
      <w:tr>
        <w:tc>
          <w:tcPr/>
          <w:p>
            <w:pPr>
              <w:pStyle w:val="Compact"/>
            </w:pPr>
            <w:r>
              <w:t xml:space="preserve">ISMS (ISO/IEC 27001)</w:t>
            </w:r>
          </w:p>
        </w:tc>
        <w:tc>
          <w:tcPr/>
          <w:p>
            <w:pPr>
              <w:pStyle w:val="Compact"/>
            </w:pPr>
            <w:r>
              <w:t xml:space="preserve">Schafft Struktur für Informationssicherheit und Incident Management</w:t>
            </w:r>
          </w:p>
        </w:tc>
      </w:tr>
      <w:tr>
        <w:tc>
          <w:tcPr/>
          <w:p>
            <w:pPr>
              <w:pStyle w:val="Compact"/>
            </w:pPr>
            <w:r>
              <w:t xml:space="preserve">BCMS (ISO 22301)</w:t>
            </w:r>
          </w:p>
        </w:tc>
        <w:tc>
          <w:tcPr/>
          <w:p>
            <w:pPr>
              <w:pStyle w:val="Compact"/>
            </w:pPr>
            <w:r>
              <w:t xml:space="preserve">Fokussiert auf Kontinuität kritischer Geschäftsprozesse</w:t>
            </w:r>
          </w:p>
        </w:tc>
      </w:tr>
      <w:tr>
        <w:tc>
          <w:tcPr/>
          <w:p>
            <w:pPr>
              <w:pStyle w:val="Compact"/>
            </w:pPr>
            <w:r>
              <w:t xml:space="preserve">Risk Management (ISO 31000)</w:t>
            </w:r>
          </w:p>
        </w:tc>
        <w:tc>
          <w:tcPr/>
          <w:p>
            <w:pPr>
              <w:pStyle w:val="Compact"/>
            </w:pPr>
            <w:r>
              <w:t xml:space="preserve">Identifiziert und bewertet Bedrohungen</w:t>
            </w:r>
          </w:p>
        </w:tc>
      </w:tr>
      <w:tr>
        <w:tc>
          <w:tcPr/>
          <w:p>
            <w:pPr>
              <w:pStyle w:val="Compact"/>
            </w:pPr>
            <w:r>
              <w:t xml:space="preserve">Crisis Management (ISO 22320)</w:t>
            </w:r>
          </w:p>
        </w:tc>
        <w:tc>
          <w:tcPr/>
          <w:p>
            <w:pPr>
              <w:pStyle w:val="Compact"/>
            </w:pPr>
            <w:r>
              <w:t xml:space="preserve">Beschreibt Entscheidungs- und Kommunikationsstrukturen im Ereignisfall</w:t>
            </w:r>
          </w:p>
        </w:tc>
      </w:tr>
      <w:tr>
        <w:tc>
          <w:tcPr/>
          <w:p>
            <w:pPr>
              <w:pStyle w:val="Compact"/>
            </w:pPr>
            <w:r>
              <w:t xml:space="preserve">Resilience Management (ISO 22316)</w:t>
            </w:r>
          </w:p>
        </w:tc>
        <w:tc>
          <w:tcPr/>
          <w:p>
            <w:pPr>
              <w:pStyle w:val="Compact"/>
            </w:pPr>
            <w:r>
              <w:t xml:space="preserve">Verbindet die genannten Systeme zu einer adaptiven Gesamtstruktur</w:t>
            </w:r>
          </w:p>
        </w:tc>
      </w:tr>
    </w:tbl>
    <w:p>
      <w:pPr>
        <w:pStyle w:val="BodyText"/>
      </w:pPr>
      <w:r>
        <w:t xml:space="preserve">Diese Integration sorgt dafür, dass Resilienz</w:t>
      </w:r>
      <w:r>
        <w:t xml:space="preserve"> </w:t>
      </w:r>
      <w:r>
        <w:rPr>
          <w:b/>
          <w:bCs/>
        </w:rPr>
        <w:t xml:space="preserve">nicht als zusätzliches System</w:t>
      </w:r>
      <w:r>
        <w:t xml:space="preserve">, sondern als</w:t>
      </w:r>
      <w:r>
        <w:t xml:space="preserve"> </w:t>
      </w:r>
      <w:r>
        <w:rPr>
          <w:i/>
          <w:iCs/>
        </w:rPr>
        <w:t xml:space="preserve">übergreifendes Steuerungsprinzip</w:t>
      </w:r>
      <w:r>
        <w:t xml:space="preserve"> </w:t>
      </w:r>
      <w:r>
        <w:t xml:space="preserve">verstanden wird.</w:t>
      </w:r>
    </w:p>
    <w:bookmarkEnd w:id="87"/>
    <w:bookmarkStart w:id="88" w:name="governance-prinzipien-der-resilienz"/>
    <w:p>
      <w:pPr>
        <w:pStyle w:val="Heading2"/>
      </w:pPr>
      <w:r>
        <w:t xml:space="preserve">7.2 Governance-Prinzipien der Resilienz</w:t>
      </w:r>
    </w:p>
    <w:p>
      <w:pPr>
        <w:pStyle w:val="FirstParagraph"/>
      </w:pPr>
      <w:r>
        <w:t xml:space="preserve">Eine belastbare Resilienz-Governance beruht auf fünf Kernprinzipien:</w:t>
      </w:r>
    </w:p>
    <w:p>
      <w:pPr>
        <w:numPr>
          <w:ilvl w:val="0"/>
          <w:numId w:val="1013"/>
        </w:numPr>
      </w:pPr>
      <w:r>
        <w:rPr>
          <w:b/>
          <w:bCs/>
        </w:rPr>
        <w:t xml:space="preserve">Verantwortung</w:t>
      </w:r>
      <w:r>
        <w:t xml:space="preserve"> </w:t>
      </w:r>
      <w:r>
        <w:t xml:space="preserve">– klare Zuweisung von Rollen und Eskalationsrechten</w:t>
      </w:r>
    </w:p>
    <w:p>
      <w:pPr>
        <w:numPr>
          <w:ilvl w:val="0"/>
          <w:numId w:val="1013"/>
        </w:numPr>
      </w:pPr>
      <w:r>
        <w:rPr>
          <w:b/>
          <w:bCs/>
        </w:rPr>
        <w:t xml:space="preserve">Transparenz</w:t>
      </w:r>
      <w:r>
        <w:t xml:space="preserve"> </w:t>
      </w:r>
      <w:r>
        <w:t xml:space="preserve">– nachvollziehbare Entscheidungs- und Kommunikationswege</w:t>
      </w:r>
    </w:p>
    <w:p>
      <w:pPr>
        <w:numPr>
          <w:ilvl w:val="0"/>
          <w:numId w:val="1013"/>
        </w:numPr>
      </w:pPr>
      <w:r>
        <w:rPr>
          <w:b/>
          <w:bCs/>
        </w:rPr>
        <w:t xml:space="preserve">Partizipation</w:t>
      </w:r>
      <w:r>
        <w:t xml:space="preserve"> </w:t>
      </w:r>
      <w:r>
        <w:t xml:space="preserve">– Einbindung aller Ebenen (Top-down und Bottom-up)</w:t>
      </w:r>
    </w:p>
    <w:p>
      <w:pPr>
        <w:numPr>
          <w:ilvl w:val="0"/>
          <w:numId w:val="1013"/>
        </w:numPr>
      </w:pPr>
      <w:r>
        <w:rPr>
          <w:b/>
          <w:bCs/>
        </w:rPr>
        <w:t xml:space="preserve">Kontinuität</w:t>
      </w:r>
      <w:r>
        <w:t xml:space="preserve"> </w:t>
      </w:r>
      <w:r>
        <w:t xml:space="preserve">– Regelmäßige Überprüfung und Aktualisierung</w:t>
      </w:r>
    </w:p>
    <w:p>
      <w:pPr>
        <w:numPr>
          <w:ilvl w:val="0"/>
          <w:numId w:val="1013"/>
        </w:numPr>
      </w:pPr>
      <w:r>
        <w:rPr>
          <w:b/>
          <w:bCs/>
        </w:rPr>
        <w:t xml:space="preserve">Lernfähigkeit</w:t>
      </w:r>
      <w:r>
        <w:t xml:space="preserve"> </w:t>
      </w:r>
      <w:r>
        <w:t xml:space="preserve">– Feedback-Mechanismen aus Incidents und Übungen</w:t>
      </w:r>
    </w:p>
    <w:p>
      <w:pPr>
        <w:pStyle w:val="FirstParagraph"/>
      </w:pPr>
      <w:r>
        <w:t xml:space="preserve">Diese Prinzipien spiegeln sich sowohl in</w:t>
      </w:r>
      <w:r>
        <w:t xml:space="preserve"> </w:t>
      </w:r>
      <w:r>
        <w:rPr>
          <w:b/>
          <w:bCs/>
        </w:rPr>
        <w:t xml:space="preserve">ISO 22316 (Organizational Resilience)</w:t>
      </w:r>
      <w:r>
        <w:t xml:space="preserve"> </w:t>
      </w:r>
      <w:r>
        <w:t xml:space="preserve">als auch im</w:t>
      </w:r>
      <w:r>
        <w:t xml:space="preserve"> </w:t>
      </w:r>
      <w:r>
        <w:rPr>
          <w:b/>
          <w:bCs/>
        </w:rPr>
        <w:t xml:space="preserve">BSI-Standard 200-4</w:t>
      </w:r>
      <w:r>
        <w:t xml:space="preserve"> </w:t>
      </w:r>
      <w:r>
        <w:t xml:space="preserve">wider, der Resilienz als Erweiterung von BCM versteht.</w:t>
      </w:r>
    </w:p>
    <w:bookmarkEnd w:id="88"/>
    <w:bookmarkStart w:id="91" w:name="reifegradmodelle-maturity-models"/>
    <w:p>
      <w:pPr>
        <w:pStyle w:val="Heading2"/>
      </w:pPr>
      <w:r>
        <w:t xml:space="preserve">7.3 Reifegradmodelle (Maturity Models)</w:t>
      </w:r>
    </w:p>
    <w:p>
      <w:pPr>
        <w:pStyle w:val="FirstParagraph"/>
      </w:pPr>
      <w:r>
        <w:t xml:space="preserve">Um den Stand organisationaler Resilienz zu bewerten, werden</w:t>
      </w:r>
      <w:r>
        <w:t xml:space="preserve"> </w:t>
      </w:r>
      <w:r>
        <w:rPr>
          <w:b/>
          <w:bCs/>
        </w:rPr>
        <w:t xml:space="preserve">Reifegradmodelle</w:t>
      </w:r>
      <w:r>
        <w:t xml:space="preserve"> </w:t>
      </w:r>
      <w:r>
        <w:t xml:space="preserve">eingesetzt.</w:t>
      </w:r>
    </w:p>
    <w:p>
      <w:pPr>
        <w:pStyle w:val="BodyText"/>
      </w:pPr>
      <w:r>
        <w:t xml:space="preserve">Sie ermöglichen eine objektive Standortbestimmung und Priorisierung von Verbesserungen.</w:t>
      </w:r>
    </w:p>
    <w:p>
      <w:pPr>
        <w:pStyle w:val="BodyText"/>
      </w:pPr>
      <w:r>
        <w:t xml:space="preserve">Beispielhafte Skala (nach BSI-200-4 und ISO 22316):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Reifegrad</w:t>
            </w:r>
          </w:p>
        </w:tc>
        <w:tc>
          <w:tcPr/>
          <w:p>
            <w:pPr>
              <w:pStyle w:val="Compact"/>
            </w:pPr>
            <w:r>
              <w:t xml:space="preserve">Beschreibung</w:t>
            </w:r>
          </w:p>
        </w:tc>
      </w:tr>
      <w:tr>
        <w:tc>
          <w:tcPr/>
          <w:p>
            <w:pPr>
              <w:pStyle w:val="Compact"/>
            </w:pPr>
            <w:r>
              <w:rPr>
                <w:b/>
                <w:bCs/>
              </w:rPr>
              <w:t xml:space="preserve">Level 1 – Ad hoc</w:t>
            </w:r>
          </w:p>
        </w:tc>
        <w:tc>
          <w:tcPr/>
          <w:p>
            <w:pPr>
              <w:pStyle w:val="Compact"/>
            </w:pPr>
            <w:r>
              <w:t xml:space="preserve">Keine systematische Resilienzpraxis, reaktive Reaktionen</w:t>
            </w:r>
          </w:p>
        </w:tc>
      </w:tr>
      <w:tr>
        <w:tc>
          <w:tcPr/>
          <w:p>
            <w:pPr>
              <w:pStyle w:val="Compact"/>
            </w:pPr>
            <w:r>
              <w:rPr>
                <w:b/>
                <w:bCs/>
              </w:rPr>
              <w:t xml:space="preserve">Level 2 – Initialisiert</w:t>
            </w:r>
          </w:p>
        </w:tc>
        <w:tc>
          <w:tcPr/>
          <w:p>
            <w:pPr>
              <w:pStyle w:val="Compact"/>
            </w:pPr>
            <w:r>
              <w:t xml:space="preserve">Erste Prozesse und Verantwortlichkeiten definiert</w:t>
            </w:r>
          </w:p>
        </w:tc>
      </w:tr>
      <w:tr>
        <w:tc>
          <w:tcPr/>
          <w:p>
            <w:pPr>
              <w:pStyle w:val="Compact"/>
            </w:pPr>
            <w:r>
              <w:rPr>
                <w:b/>
                <w:bCs/>
              </w:rPr>
              <w:t xml:space="preserve">Level 3 – Etabliert</w:t>
            </w:r>
          </w:p>
        </w:tc>
        <w:tc>
          <w:tcPr/>
          <w:p>
            <w:pPr>
              <w:pStyle w:val="Compact"/>
            </w:pPr>
            <w:r>
              <w:t xml:space="preserve">Verfahren sind dokumentiert, regelmäßig geübt</w:t>
            </w:r>
          </w:p>
        </w:tc>
      </w:tr>
      <w:tr>
        <w:tc>
          <w:tcPr/>
          <w:p>
            <w:pPr>
              <w:pStyle w:val="Compact"/>
            </w:pPr>
            <w:r>
              <w:rPr>
                <w:b/>
                <w:bCs/>
              </w:rPr>
              <w:t xml:space="preserve">Level 4 – Gemanagt</w:t>
            </w:r>
          </w:p>
        </w:tc>
        <w:tc>
          <w:tcPr/>
          <w:p>
            <w:pPr>
              <w:pStyle w:val="Compact"/>
            </w:pPr>
            <w:r>
              <w:t xml:space="preserve">Resilienz ist messbar, integriert und auditierbar</w:t>
            </w:r>
          </w:p>
        </w:tc>
      </w:tr>
      <w:tr>
        <w:tc>
          <w:tcPr/>
          <w:p>
            <w:pPr>
              <w:pStyle w:val="Compact"/>
            </w:pPr>
            <w:r>
              <w:rPr>
                <w:b/>
                <w:bCs/>
              </w:rPr>
              <w:t xml:space="preserve">Level 5 – Optimiert</w:t>
            </w:r>
          </w:p>
        </w:tc>
        <w:tc>
          <w:tcPr/>
          <w:p>
            <w:pPr>
              <w:pStyle w:val="Compact"/>
            </w:pPr>
            <w:r>
              <w:t xml:space="preserve">Kontinuierliche Verbesserung und organisationsweite Lernkultur</w:t>
            </w:r>
          </w:p>
        </w:tc>
      </w:tr>
    </w:tbl>
    <w:p>
      <w:pPr>
        <w:pStyle w:val="BodyText"/>
      </w:pPr>
      <w:r>
        <w:t xml:space="preserve">Der Reifegrad zeigt,</w:t>
      </w:r>
      <w:r>
        <w:t xml:space="preserve"> </w:t>
      </w:r>
      <w:r>
        <w:rPr>
          <w:b/>
          <w:bCs/>
        </w:rPr>
        <w:t xml:space="preserve">wo die Organisation steht</w:t>
      </w:r>
      <w:r>
        <w:t xml:space="preserve"> </w:t>
      </w:r>
      <w:r>
        <w:t xml:space="preserve">– und wohin sie sich entwickeln kann. Er dient zugleich als Kommunikationsinstrument gegenüber Management, Audit und Aufsicht.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usr/local/lib/python3.13/dist-packages/quarto_cli/share/formats/docx/note.png" id="9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w:t>
            </w:r>
          </w:p>
        </w:tc>
      </w:tr>
      <w:tr>
        <w:trPr>
          <w:cantSplit/>
        </w:trPr>
        <w:tc>
          <w:tcPr>
            <w:tcMar>
              <w:top w:w="108" w:type="dxa"/>
              <w:bottom w:w="108" w:type="dxa"/>
            </w:tcMar>
          </w:tcPr>
          <w:p>
            <w:pPr>
              <w:pStyle w:val="BodyText"/>
            </w:pPr>
            <w:pPr>
              <w:spacing w:before="16" w:after="16"/>
            </w:pPr>
            <w:r>
              <w:t xml:space="preserve">Die finale Fassung des BSI-Standards 200-4 (Mai 2023) unterscheidet drei Stufen: Reaktiv-BCMS, Aufbau-BCMS und Standard-BCMS</w:t>
            </w:r>
            <w:r>
              <w:t xml:space="preserve"> </w:t>
            </w:r>
            <w:r>
              <w:t xml:space="preserve">(BSI-Standard 200-4 2023)</w:t>
            </w:r>
            <w:r>
              <w:t xml:space="preserve">. Die hier gezeigte fünfstufige Skala ist als allgemeines Reifegradmodell zu verstehen, nicht als Stufenmodell des Standards. Siehe</w:t>
            </w:r>
            <w:r>
              <w:t xml:space="preserve"> </w:t>
            </w:r>
            <w:hyperlink r:id="rId23">
              <w:r>
                <w:rPr>
                  <w:rStyle w:val="Hyperlink"/>
                </w:rPr>
                <w:t xml:space="preserve">Quellen, Hinweis 3</w:t>
              </w:r>
            </w:hyperlink>
            <w:r>
              <w:t xml:space="preserve">.</w:t>
            </w:r>
          </w:p>
          <w:p/>
        </w:tc>
      </w:tr>
    </w:tbl>
    <w:bookmarkEnd w:id="91"/>
    <w:bookmarkStart w:id="92" w:name="metriken-und-kennzahlen"/>
    <w:p>
      <w:pPr>
        <w:pStyle w:val="Heading2"/>
      </w:pPr>
      <w:r>
        <w:t xml:space="preserve">7.4 Metriken und Kennzahlen</w:t>
      </w:r>
    </w:p>
    <w:p>
      <w:pPr>
        <w:pStyle w:val="FirstParagraph"/>
      </w:pPr>
      <w:r>
        <w:t xml:space="preserve">Resilienz ist schwer greifbar, aber durch Metriken</w:t>
      </w:r>
      <w:r>
        <w:t xml:space="preserve"> </w:t>
      </w:r>
      <w:r>
        <w:rPr>
          <w:b/>
          <w:bCs/>
        </w:rPr>
        <w:t xml:space="preserve">indirekt messbar</w:t>
      </w:r>
      <w:r>
        <w:t xml:space="preserve">. Neben den technischen Kennzahlen (z. B. Time-to-Recover) kommen zunehmend</w:t>
      </w:r>
      <w:r>
        <w:t xml:space="preserve"> </w:t>
      </w:r>
      <w:r>
        <w:rPr>
          <w:b/>
          <w:bCs/>
        </w:rPr>
        <w:t xml:space="preserve">organisatorische Indikatoren</w:t>
      </w:r>
      <w:r>
        <w:t xml:space="preserve"> </w:t>
      </w:r>
      <w:r>
        <w:t xml:space="preserve">zum Einsatz:</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Kennzahl</w:t>
            </w:r>
          </w:p>
        </w:tc>
        <w:tc>
          <w:tcPr/>
          <w:p>
            <w:pPr>
              <w:pStyle w:val="Compact"/>
            </w:pPr>
            <w:r>
              <w:t xml:space="preserve">Aussage</w:t>
            </w:r>
          </w:p>
        </w:tc>
      </w:tr>
      <w:tr>
        <w:tc>
          <w:tcPr/>
          <w:p>
            <w:pPr>
              <w:pStyle w:val="Compact"/>
            </w:pPr>
            <w:r>
              <w:rPr>
                <w:b/>
                <w:bCs/>
              </w:rPr>
              <w:t xml:space="preserve">Übungshäufigkeit / Jahr</w:t>
            </w:r>
          </w:p>
        </w:tc>
        <w:tc>
          <w:tcPr/>
          <w:p>
            <w:pPr>
              <w:pStyle w:val="Compact"/>
            </w:pPr>
            <w:r>
              <w:t xml:space="preserve">Wie regelmäßig wird trainiert?</w:t>
            </w:r>
          </w:p>
        </w:tc>
      </w:tr>
      <w:tr>
        <w:tc>
          <w:tcPr/>
          <w:p>
            <w:pPr>
              <w:pStyle w:val="Compact"/>
            </w:pPr>
            <w:r>
              <w:rPr>
                <w:b/>
                <w:bCs/>
              </w:rPr>
              <w:t xml:space="preserve">Implementierungsgrad Lessons Learned (%)</w:t>
            </w:r>
          </w:p>
        </w:tc>
        <w:tc>
          <w:tcPr/>
          <w:p>
            <w:pPr>
              <w:pStyle w:val="Compact"/>
            </w:pPr>
            <w:r>
              <w:t xml:space="preserve">Wie viele Verbesserungsvorschläge werden umgesetzt?</w:t>
            </w:r>
          </w:p>
        </w:tc>
      </w:tr>
      <w:tr>
        <w:tc>
          <w:tcPr/>
          <w:p>
            <w:pPr>
              <w:pStyle w:val="Compact"/>
            </w:pPr>
            <w:r>
              <w:rPr>
                <w:b/>
                <w:bCs/>
              </w:rPr>
              <w:t xml:space="preserve">Reaktionszeit Management-Entscheidung (min)</w:t>
            </w:r>
          </w:p>
        </w:tc>
        <w:tc>
          <w:tcPr/>
          <w:p>
            <w:pPr>
              <w:pStyle w:val="Compact"/>
            </w:pPr>
            <w:r>
              <w:t xml:space="preserve">Wie schnell wird eine Freigabe erteilt?</w:t>
            </w:r>
          </w:p>
        </w:tc>
      </w:tr>
      <w:tr>
        <w:tc>
          <w:tcPr/>
          <w:p>
            <w:pPr>
              <w:pStyle w:val="Compact"/>
            </w:pPr>
            <w:r>
              <w:rPr>
                <w:b/>
                <w:bCs/>
              </w:rPr>
              <w:t xml:space="preserve">Kommunikationslatenz</w:t>
            </w:r>
          </w:p>
        </w:tc>
        <w:tc>
          <w:tcPr/>
          <w:p>
            <w:pPr>
              <w:pStyle w:val="Compact"/>
            </w:pPr>
            <w:r>
              <w:t xml:space="preserve">Zeit zwischen Ereigniserkennung und Erstinformation</w:t>
            </w:r>
          </w:p>
        </w:tc>
      </w:tr>
      <w:tr>
        <w:tc>
          <w:tcPr/>
          <w:p>
            <w:pPr>
              <w:pStyle w:val="Compact"/>
            </w:pPr>
            <w:r>
              <w:rPr>
                <w:b/>
                <w:bCs/>
              </w:rPr>
              <w:t xml:space="preserve">Resilience Audit Score</w:t>
            </w:r>
          </w:p>
        </w:tc>
        <w:tc>
          <w:tcPr/>
          <w:p>
            <w:pPr>
              <w:pStyle w:val="Compact"/>
            </w:pPr>
            <w:r>
              <w:t xml:space="preserve">Bewertungswert aus interner oder externer Prüfung</w:t>
            </w:r>
          </w:p>
        </w:tc>
      </w:tr>
    </w:tbl>
    <w:p>
      <w:pPr>
        <w:pStyle w:val="BodyText"/>
      </w:pPr>
      <w:r>
        <w:t xml:space="preserve">Solche Kennzahlen sind</w:t>
      </w:r>
      <w:r>
        <w:t xml:space="preserve"> </w:t>
      </w:r>
      <w:r>
        <w:rPr>
          <w:b/>
          <w:bCs/>
        </w:rPr>
        <w:t xml:space="preserve">nicht Selbstzweck</w:t>
      </w:r>
      <w:r>
        <w:t xml:space="preserve">, sondern dienen der Steuerung und Rechenschaft.</w:t>
      </w:r>
    </w:p>
    <w:p>
      <w:pPr>
        <w:pStyle w:val="BodyText"/>
      </w:pPr>
      <w:r>
        <w:t xml:space="preserve">Sie ermöglichen evidenzbasiertes Resilienzmanagement.</w:t>
      </w:r>
    </w:p>
    <w:bookmarkEnd w:id="92"/>
    <w:bookmarkStart w:id="93" w:name="audits-und-nachweise"/>
    <w:p>
      <w:pPr>
        <w:pStyle w:val="Heading2"/>
      </w:pPr>
      <w:r>
        <w:t xml:space="preserve">7.5 Audits und Nachweise</w:t>
      </w:r>
    </w:p>
    <w:p>
      <w:pPr>
        <w:pStyle w:val="FirstParagraph"/>
      </w:pPr>
      <w:r>
        <w:t xml:space="preserve">Viele Standards – etwa</w:t>
      </w:r>
      <w:r>
        <w:t xml:space="preserve"> </w:t>
      </w:r>
      <w:r>
        <w:rPr>
          <w:b/>
          <w:bCs/>
        </w:rPr>
        <w:t xml:space="preserve">ISO 22301, ISO/IEC 27035 und BSI-200-4</w:t>
      </w:r>
      <w:r>
        <w:t xml:space="preserve"> </w:t>
      </w:r>
      <w:r>
        <w:t xml:space="preserve">– fordern Nachweise über die Wirksamkeit der Resilienzmaßnahmen. Diese Nachweise umfassen u. a.:</w:t>
      </w:r>
    </w:p>
    <w:p>
      <w:pPr>
        <w:numPr>
          <w:ilvl w:val="0"/>
          <w:numId w:val="1014"/>
        </w:numPr>
      </w:pPr>
      <w:r>
        <w:t xml:space="preserve">Protokolle von Übungen und Incidents</w:t>
      </w:r>
    </w:p>
    <w:p>
      <w:pPr>
        <w:numPr>
          <w:ilvl w:val="0"/>
          <w:numId w:val="1014"/>
        </w:numPr>
      </w:pPr>
      <w:r>
        <w:t xml:space="preserve">Nachverfolgung von Lessons Learned</w:t>
      </w:r>
    </w:p>
    <w:p>
      <w:pPr>
        <w:numPr>
          <w:ilvl w:val="0"/>
          <w:numId w:val="1014"/>
        </w:numPr>
      </w:pPr>
      <w:r>
        <w:t xml:space="preserve">Governance-Reports und Management Reviews</w:t>
      </w:r>
    </w:p>
    <w:p>
      <w:pPr>
        <w:numPr>
          <w:ilvl w:val="0"/>
          <w:numId w:val="1014"/>
        </w:numPr>
      </w:pPr>
      <w:r>
        <w:t xml:space="preserve">Nachweise über Schulungen und Verantwortlichkeiten</w:t>
      </w:r>
    </w:p>
    <w:p>
      <w:pPr>
        <w:pStyle w:val="FirstParagraph"/>
      </w:pPr>
      <w:r>
        <w:t xml:space="preserve">Damit wird Resilienz</w:t>
      </w:r>
      <w:r>
        <w:t xml:space="preserve"> </w:t>
      </w:r>
      <w:r>
        <w:rPr>
          <w:b/>
          <w:bCs/>
        </w:rPr>
        <w:t xml:space="preserve">prüfbar und auditfähig</w:t>
      </w:r>
      <w:r>
        <w:t xml:space="preserve">.</w:t>
      </w:r>
    </w:p>
    <w:p>
      <w:pPr>
        <w:pStyle w:val="BodyText"/>
      </w:pPr>
      <w:r>
        <w:t xml:space="preserve">Für Cyber-Security-Organisationen ist das zugleich Teil der</w:t>
      </w:r>
      <w:r>
        <w:t xml:space="preserve"> </w:t>
      </w:r>
      <w:r>
        <w:rPr>
          <w:b/>
          <w:bCs/>
        </w:rPr>
        <w:t xml:space="preserve">Compliance-Pflicht</w:t>
      </w:r>
      <w:r>
        <w:t xml:space="preserve"> </w:t>
      </w:r>
      <w:r>
        <w:t xml:space="preserve">(z. B. NIS-2-Umsetzungsgesetz, § 30 BSIG).</w:t>
      </w:r>
    </w:p>
    <w:bookmarkEnd w:id="93"/>
    <w:bookmarkStart w:id="94" w:name="X36df6a112ff596e996b8971b90e3e4c3b048297"/>
    <w:p>
      <w:pPr>
        <w:pStyle w:val="Heading2"/>
      </w:pPr>
      <w:r>
        <w:t xml:space="preserve">7.6 Fazit: Steuerung von Resilienz als Führungsaufgabe</w:t>
      </w:r>
    </w:p>
    <w:p>
      <w:pPr>
        <w:pStyle w:val="FirstParagraph"/>
      </w:pPr>
      <w:r>
        <w:t xml:space="preserve">Governance verankert Resilienz im Führungssystem. Management schafft nicht Resilienz – es</w:t>
      </w:r>
      <w:r>
        <w:t xml:space="preserve"> </w:t>
      </w:r>
      <w:r>
        <w:rPr>
          <w:b/>
          <w:bCs/>
        </w:rPr>
        <w:t xml:space="preserve">ermöglicht</w:t>
      </w:r>
      <w:r>
        <w:t xml:space="preserve"> </w:t>
      </w:r>
      <w:r>
        <w:t xml:space="preserve">sie durch Struktur, Priorisierung und Ressourcen.</w:t>
      </w:r>
    </w:p>
    <w:p>
      <w:pPr>
        <w:pStyle w:val="BodyText"/>
      </w:pPr>
      <w:r>
        <w:t xml:space="preserve">„Resilienz ist keine Projektaufgabe, sondern Führungsverhalten.“</w:t>
      </w:r>
    </w:p>
    <w:p>
      <w:pPr>
        <w:pStyle w:val="BodyText"/>
      </w:pPr>
      <w:r>
        <w:t xml:space="preserve">Nur wenn Resilienz gemessen, auditiert und gesteuert wird, entsteht aus Einzelmaßnahmen eine dauerhafte Fähigkeit. So wird aus der Fähigkeit zur Reaktion die</w:t>
      </w:r>
      <w:r>
        <w:t xml:space="preserve"> </w:t>
      </w:r>
      <w:r>
        <w:rPr>
          <w:b/>
          <w:bCs/>
        </w:rPr>
        <w:t xml:space="preserve">Kultur der Anpassung</w:t>
      </w:r>
      <w:r>
        <w:t xml:space="preserve">.</w:t>
      </w:r>
    </w:p>
    <w:bookmarkEnd w:id="94"/>
    <w:bookmarkEnd w:id="95"/>
    <w:bookmarkStart w:id="107" w:name="Xe9984344fc3013af4ea4dc116e02d3d934513d9"/>
    <w:p>
      <w:pPr>
        <w:pStyle w:val="Heading1"/>
      </w:pPr>
      <w:r>
        <w:t xml:space="preserve">Kapitel 8 – Fallbeispiel: Ransomware im Unternehmen</w:t>
      </w:r>
    </w:p>
    <w:bookmarkStart w:id="96" w:name="szenariobeschreibung"/>
    <w:p>
      <w:pPr>
        <w:pStyle w:val="Heading2"/>
      </w:pPr>
      <w:r>
        <w:t xml:space="preserve">8.1 Szenariobeschreibung</w:t>
      </w:r>
    </w:p>
    <w:p>
      <w:pPr>
        <w:pStyle w:val="FirstParagraph"/>
      </w:pPr>
      <w:r>
        <w:t xml:space="preserve">Montagmorgen, 08:15 Uhr: Mehrere Mitarbeitende melden, dass Dateien auf Netzlaufwerken nicht mehr geöffnet werden können.</w:t>
      </w:r>
    </w:p>
    <w:p>
      <w:pPr>
        <w:pStyle w:val="BodyText"/>
      </w:pPr>
      <w:r>
        <w:t xml:space="preserve">Auf den Bildschirmen erscheint eine Meldung mit Lösegeldforderung in Bitcoin. Der VPN-Zugang ist noch aktiv, Mails funktionieren, aber der Fileserver ist unzugänglich.</w:t>
      </w:r>
    </w:p>
    <w:p>
      <w:pPr>
        <w:pStyle w:val="BodyText"/>
      </w:pPr>
      <w:r>
        <w:t xml:space="preserve">Die IT erkennt: Es handelt sich um einen</w:t>
      </w:r>
      <w:r>
        <w:t xml:space="preserve"> </w:t>
      </w:r>
      <w:r>
        <w:rPr>
          <w:b/>
          <w:bCs/>
        </w:rPr>
        <w:t xml:space="preserve">Ransomware-Angriff</w:t>
      </w:r>
      <w:r>
        <w:t xml:space="preserve">.</w:t>
      </w:r>
    </w:p>
    <w:p>
      <w:pPr>
        <w:pStyle w:val="BodyText"/>
      </w:pPr>
      <w:r>
        <w:t xml:space="preserve">Das Beispiel orientiert sich an realen Fällen aus der ENISA Threat Landscape (2024) und verdeutlicht, wie schnell technische Störungen zu organisatorischen Krisen eskalieren.</w:t>
      </w:r>
    </w:p>
    <w:bookmarkEnd w:id="96"/>
    <w:bookmarkStart w:id="97" w:name="ausgangsfragen-für-die-gruppenübung"/>
    <w:p>
      <w:pPr>
        <w:pStyle w:val="Heading2"/>
      </w:pPr>
      <w:r>
        <w:t xml:space="preserve">8.2 Ausgangsfragen für die Gruppenübung</w:t>
      </w:r>
    </w:p>
    <w:p>
      <w:pPr>
        <w:numPr>
          <w:ilvl w:val="0"/>
          <w:numId w:val="1015"/>
        </w:numPr>
      </w:pPr>
      <w:r>
        <w:t xml:space="preserve">Wer übernimmt die</w:t>
      </w:r>
      <w:r>
        <w:t xml:space="preserve"> </w:t>
      </w:r>
      <w:r>
        <w:rPr>
          <w:b/>
          <w:bCs/>
        </w:rPr>
        <w:t xml:space="preserve">Incident-Leitung</w:t>
      </w:r>
      <w:r>
        <w:t xml:space="preserve"> </w:t>
      </w:r>
      <w:r>
        <w:t xml:space="preserve">(Incident Commander)?</w:t>
      </w:r>
    </w:p>
    <w:p>
      <w:pPr>
        <w:numPr>
          <w:ilvl w:val="0"/>
          <w:numId w:val="1015"/>
        </w:numPr>
      </w:pPr>
      <w:r>
        <w:t xml:space="preserve">Welche Systeme oder Personen müssen</w:t>
      </w:r>
      <w:r>
        <w:t xml:space="preserve"> </w:t>
      </w:r>
      <w:r>
        <w:rPr>
          <w:b/>
          <w:bCs/>
        </w:rPr>
        <w:t xml:space="preserve">sofort informiert</w:t>
      </w:r>
      <w:r>
        <w:t xml:space="preserve"> </w:t>
      </w:r>
      <w:r>
        <w:t xml:space="preserve">werden?</w:t>
      </w:r>
    </w:p>
    <w:p>
      <w:pPr>
        <w:numPr>
          <w:ilvl w:val="0"/>
          <w:numId w:val="1015"/>
        </w:numPr>
      </w:pPr>
      <w:r>
        <w:t xml:space="preserve">Welche</w:t>
      </w:r>
      <w:r>
        <w:t xml:space="preserve"> </w:t>
      </w:r>
      <w:r>
        <w:rPr>
          <w:b/>
          <w:bCs/>
        </w:rPr>
        <w:t xml:space="preserve">Entscheidungen</w:t>
      </w:r>
      <w:r>
        <w:t xml:space="preserve"> </w:t>
      </w:r>
      <w:r>
        <w:t xml:space="preserve">sind in den ersten 30 Minuten kritisch?</w:t>
      </w:r>
    </w:p>
    <w:p>
      <w:pPr>
        <w:numPr>
          <w:ilvl w:val="0"/>
          <w:numId w:val="1015"/>
        </w:numPr>
      </w:pPr>
      <w:r>
        <w:t xml:space="preserve">Wie läuft die</w:t>
      </w:r>
      <w:r>
        <w:t xml:space="preserve"> </w:t>
      </w:r>
      <w:r>
        <w:rPr>
          <w:b/>
          <w:bCs/>
        </w:rPr>
        <w:t xml:space="preserve">interne und externe Kommunikation</w:t>
      </w:r>
      <w:r>
        <w:t xml:space="preserve">?</w:t>
      </w:r>
    </w:p>
    <w:p>
      <w:pPr>
        <w:numPr>
          <w:ilvl w:val="0"/>
          <w:numId w:val="1015"/>
        </w:numPr>
      </w:pPr>
      <w:r>
        <w:t xml:space="preserve">Welche Priorität hat</w:t>
      </w:r>
      <w:r>
        <w:t xml:space="preserve"> </w:t>
      </w:r>
      <w:r>
        <w:rPr>
          <w:b/>
          <w:bCs/>
        </w:rPr>
        <w:t xml:space="preserve">Recovery</w:t>
      </w:r>
      <w:r>
        <w:t xml:space="preserve"> </w:t>
      </w:r>
      <w:r>
        <w:t xml:space="preserve">im Verhältnis zu</w:t>
      </w:r>
      <w:r>
        <w:t xml:space="preserve"> </w:t>
      </w:r>
      <w:r>
        <w:rPr>
          <w:b/>
          <w:bCs/>
        </w:rPr>
        <w:t xml:space="preserve">Forensik</w:t>
      </w:r>
      <w:r>
        <w:t xml:space="preserve">?</w:t>
      </w:r>
    </w:p>
    <w:p>
      <w:pPr>
        <w:numPr>
          <w:ilvl w:val="0"/>
          <w:numId w:val="1015"/>
        </w:numPr>
      </w:pPr>
      <w:r>
        <w:t xml:space="preserve">Wann erfolgt die</w:t>
      </w:r>
      <w:r>
        <w:t xml:space="preserve"> </w:t>
      </w:r>
      <w:r>
        <w:rPr>
          <w:b/>
          <w:bCs/>
        </w:rPr>
        <w:t xml:space="preserve">Meldung an Aufsichtsbehörden</w:t>
      </w:r>
      <w:r>
        <w:t xml:space="preserve"> </w:t>
      </w:r>
      <w:r>
        <w:t xml:space="preserve">(DSGVO Art. 33 / NIS-2)?</w:t>
      </w:r>
    </w:p>
    <w:p>
      <w:pPr>
        <w:pStyle w:val="FirstParagraph"/>
      </w:pPr>
      <w:r>
        <w:t xml:space="preserve">Ziel dieser Übung ist es, zu erkennen, dass Resilienz nicht nur technische Robustheit, sondern vor allem</w:t>
      </w:r>
      <w:r>
        <w:t xml:space="preserve"> </w:t>
      </w:r>
      <w:r>
        <w:rPr>
          <w:b/>
          <w:bCs/>
        </w:rPr>
        <w:t xml:space="preserve">Entscheidungsrobustheit</w:t>
      </w:r>
      <w:r>
        <w:t xml:space="preserve"> </w:t>
      </w:r>
      <w:r>
        <w:t xml:space="preserve">bedeutet.</w:t>
      </w:r>
    </w:p>
    <w:bookmarkEnd w:id="97"/>
    <w:bookmarkStart w:id="98" w:name="X5e852f3e5db6252e05543986b4e668ec180a5f4"/>
    <w:p>
      <w:pPr>
        <w:pStyle w:val="Heading2"/>
      </w:pPr>
      <w:r>
        <w:t xml:space="preserve">8.3 Typischer Verlauf eines Ransomware-Incidents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Beschreibung</w:t>
            </w:r>
          </w:p>
        </w:tc>
        <w:tc>
          <w:tcPr/>
          <w:p>
            <w:pPr>
              <w:pStyle w:val="Compact"/>
            </w:pPr>
            <w:r>
              <w:t xml:space="preserve">Häufige Fehler</w:t>
            </w:r>
          </w:p>
        </w:tc>
      </w:tr>
      <w:tr>
        <w:tc>
          <w:tcPr/>
          <w:p>
            <w:pPr>
              <w:pStyle w:val="Compact"/>
            </w:pPr>
            <w:r>
              <w:t xml:space="preserve">Detection</w:t>
            </w:r>
          </w:p>
        </w:tc>
        <w:tc>
          <w:tcPr/>
          <w:p>
            <w:pPr>
              <w:pStyle w:val="Compact"/>
            </w:pPr>
            <w:r>
              <w:t xml:space="preserve">Erste Hinweise, z. B. unzugängliche Daten</w:t>
            </w:r>
          </w:p>
        </w:tc>
        <w:tc>
          <w:tcPr/>
          <w:p>
            <w:pPr>
              <w:pStyle w:val="Compact"/>
            </w:pPr>
            <w:r>
              <w:t xml:space="preserve">Unterschätzung der Lage, verspätete Eskalation</w:t>
            </w:r>
          </w:p>
        </w:tc>
      </w:tr>
      <w:tr>
        <w:tc>
          <w:tcPr/>
          <w:p>
            <w:pPr>
              <w:pStyle w:val="Compact"/>
            </w:pPr>
            <w:r>
              <w:t xml:space="preserve">Response</w:t>
            </w:r>
          </w:p>
        </w:tc>
        <w:tc>
          <w:tcPr/>
          <w:p>
            <w:pPr>
              <w:pStyle w:val="Compact"/>
            </w:pPr>
            <w:r>
              <w:t xml:space="preserve">Eindämmung (z. B. Netzwerksegmentierung)</w:t>
            </w:r>
          </w:p>
        </w:tc>
        <w:tc>
          <w:tcPr/>
          <w:p>
            <w:pPr>
              <w:pStyle w:val="Compact"/>
            </w:pPr>
            <w:r>
              <w:t xml:space="preserve">Fehlende Koordination, doppelte Maßnahmen</w:t>
            </w:r>
          </w:p>
        </w:tc>
      </w:tr>
      <w:tr>
        <w:tc>
          <w:tcPr/>
          <w:p>
            <w:pPr>
              <w:pStyle w:val="Compact"/>
            </w:pPr>
            <w:r>
              <w:t xml:space="preserve">Communication</w:t>
            </w:r>
          </w:p>
        </w:tc>
        <w:tc>
          <w:tcPr/>
          <w:p>
            <w:pPr>
              <w:pStyle w:val="Compact"/>
            </w:pPr>
            <w:r>
              <w:t xml:space="preserve">Interne / externe Information</w:t>
            </w:r>
          </w:p>
        </w:tc>
        <w:tc>
          <w:tcPr/>
          <w:p>
            <w:pPr>
              <w:pStyle w:val="Compact"/>
            </w:pPr>
            <w:r>
              <w:t xml:space="preserve">Intransparenz, widersprüchliche Aussagen</w:t>
            </w:r>
          </w:p>
        </w:tc>
      </w:tr>
      <w:tr>
        <w:tc>
          <w:tcPr/>
          <w:p>
            <w:pPr>
              <w:pStyle w:val="Compact"/>
            </w:pPr>
            <w:r>
              <w:t xml:space="preserve">Recovery</w:t>
            </w:r>
          </w:p>
        </w:tc>
        <w:tc>
          <w:tcPr/>
          <w:p>
            <w:pPr>
              <w:pStyle w:val="Compact"/>
            </w:pPr>
            <w:r>
              <w:t xml:space="preserve">Wiederherstellung aus Backups</w:t>
            </w:r>
          </w:p>
        </w:tc>
        <w:tc>
          <w:tcPr/>
          <w:p>
            <w:pPr>
              <w:pStyle w:val="Compact"/>
            </w:pPr>
            <w:r>
              <w:t xml:space="preserve">Keine Priorisierung, ungetestete Backups</w:t>
            </w:r>
          </w:p>
        </w:tc>
      </w:tr>
      <w:tr>
        <w:tc>
          <w:tcPr/>
          <w:p>
            <w:pPr>
              <w:pStyle w:val="Compact"/>
            </w:pPr>
            <w:r>
              <w:t xml:space="preserve">Adapt / Lernen</w:t>
            </w:r>
          </w:p>
        </w:tc>
        <w:tc>
          <w:tcPr/>
          <w:p>
            <w:pPr>
              <w:pStyle w:val="Compact"/>
            </w:pPr>
            <w:r>
              <w:t xml:space="preserve">Ursachenanalyse, Lessons Learned</w:t>
            </w:r>
          </w:p>
        </w:tc>
        <w:tc>
          <w:tcPr/>
          <w:p>
            <w:pPr>
              <w:pStyle w:val="Compact"/>
            </w:pPr>
            <w:r>
              <w:t xml:space="preserve">Keine systematische Nachbereitung</w:t>
            </w:r>
          </w:p>
        </w:tc>
      </w:tr>
    </w:tbl>
    <w:p>
      <w:pPr>
        <w:pStyle w:val="BodyText"/>
      </w:pPr>
      <w:r>
        <w:t xml:space="preserve">Diese Matrix eignet sich hervorragend für die anschließende</w:t>
      </w:r>
      <w:r>
        <w:t xml:space="preserve"> </w:t>
      </w:r>
      <w:r>
        <w:rPr>
          <w:b/>
          <w:bCs/>
        </w:rPr>
        <w:t xml:space="preserve">Reflexion im Plenum</w:t>
      </w:r>
      <w:r>
        <w:t xml:space="preserve">.</w:t>
      </w:r>
    </w:p>
    <w:bookmarkEnd w:id="98"/>
    <w:bookmarkStart w:id="104" w:name="organisatorische-herausforderungen"/>
    <w:p>
      <w:pPr>
        <w:pStyle w:val="Heading2"/>
      </w:pPr>
      <w:r>
        <w:t xml:space="preserve">8.4 Organisatorische Herausforderungen</w:t>
      </w:r>
    </w:p>
    <w:p>
      <w:pPr>
        <w:numPr>
          <w:ilvl w:val="0"/>
          <w:numId w:val="1016"/>
        </w:numPr>
      </w:pPr>
      <w:r>
        <w:rPr>
          <w:b/>
          <w:bCs/>
        </w:rPr>
        <w:t xml:space="preserve">Eskalationsfähigkeit:</w:t>
      </w:r>
      <w:r>
        <w:t xml:space="preserve"> </w:t>
      </w:r>
      <w:r>
        <w:t xml:space="preserve">Wer darf Systeme abschalten oder Netzwerksegmente isolieren?</w:t>
      </w:r>
    </w:p>
    <w:p>
      <w:pPr>
        <w:numPr>
          <w:ilvl w:val="0"/>
          <w:numId w:val="1016"/>
        </w:numPr>
      </w:pPr>
      <w:r>
        <w:rPr>
          <w:b/>
          <w:bCs/>
        </w:rPr>
        <w:t xml:space="preserve">Kommunikationsführung:</w:t>
      </w:r>
      <w:r>
        <w:t xml:space="preserve"> </w:t>
      </w:r>
      <w:r>
        <w:t xml:space="preserve">Wie werden Mitarbeitende informiert, ohne Panik zu erzeugen?</w:t>
      </w:r>
    </w:p>
    <w:p>
      <w:pPr>
        <w:numPr>
          <w:ilvl w:val="0"/>
          <w:numId w:val="1016"/>
        </w:numPr>
      </w:pPr>
      <w:r>
        <w:rPr>
          <w:b/>
          <w:bCs/>
        </w:rPr>
        <w:t xml:space="preserve">Entscheidungslogik:</w:t>
      </w:r>
      <w:r>
        <w:t xml:space="preserve"> </w:t>
      </w:r>
      <w:r>
        <w:t xml:space="preserve">Wann ist die Geschäftsführung einzubeziehen?</w:t>
      </w:r>
    </w:p>
    <w:p>
      <w:pPr>
        <w:numPr>
          <w:ilvl w:val="0"/>
          <w:numId w:val="1016"/>
        </w:numPr>
      </w:pPr>
      <w:r>
        <w:rPr>
          <w:b/>
          <w:bCs/>
        </w:rPr>
        <w:t xml:space="preserve">Priorisierung:</w:t>
      </w:r>
      <w:r>
        <w:t xml:space="preserve"> </w:t>
      </w:r>
      <w:r>
        <w:t xml:space="preserve">Welche Systeme müssen zuerst wiederhergestellt werden?</w:t>
      </w:r>
    </w:p>
    <w:p>
      <w:pPr>
        <w:numPr>
          <w:ilvl w:val="0"/>
          <w:numId w:val="1016"/>
        </w:numPr>
      </w:pPr>
      <w:r>
        <w:rPr>
          <w:b/>
          <w:bCs/>
        </w:rPr>
        <w:t xml:space="preserve">Datenschutz und Recht:</w:t>
      </w:r>
      <w:r>
        <w:t xml:space="preserve"> </w:t>
      </w:r>
      <w:r>
        <w:t xml:space="preserve">Wann ist eine Meldepflicht ausgelöst?</w:t>
      </w:r>
    </w:p>
    <w:p>
      <w:pPr>
        <w:pStyle w:val="FirstParagraph"/>
      </w:pPr>
      <w:r>
        <w:t xml:space="preserve">Solche Fragen zeigen, dass organisationale Resilienz weit über IT-Kenntnisse hinausgeht: Sie betrifft Führung, Verantwortung und Vertrauen.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usr/local/lib/python3.13/dist-packages/quarto_cli/share/formats/docx/tip.png" id="100"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Rhein-Pfalz-Kreis 2022</w:t>
            </w:r>
          </w:p>
        </w:tc>
      </w:tr>
      <w:tr>
        <w:trPr>
          <w:cantSplit/>
        </w:trPr>
        <w:tc>
          <w:tcPr>
            <w:tcMar>
              <w:top w:w="108" w:type="dxa"/>
              <w:bottom w:w="108" w:type="dxa"/>
            </w:tcMar>
          </w:tcPr>
          <w:p>
            <w:pPr>
              <w:pStyle w:val="BodyText"/>
            </w:pPr>
            <w:pPr>
              <w:spacing w:before="16"/>
            </w:pPr>
            <w:r>
              <w:t xml:space="preserve">Ende Oktober 2022 traf ein Ransomware-Angriff die Kreisverwaltung des Rhein-Pfalz-Kreises in Ludwigshafen. Ein Beschäftigter zog in der Nacht den Stecker; nach Angaben des Landrats verhinderte das weiteren Datenverlust. Die Rechner waren offline, die Verwaltung weder per E-Mail noch über die Durchwahlen erreichbar. Gearbeitet wurde im Notbetrieb mit Laptop, Drucker und Excel-Listen; eine zentrale Rufnummer, ein Kontaktformular und Personal vor Ort in den Gemeinden ersetzten die üblichen Kanäle. Der Kreis zahlte kein Lösegeld; ab dem 11. November tauchten rund 20.000 Dateien im Darknet auf, darunter personenbezogene Daten von Bürgerinnen und Bürgern. Rund 2.550 Betroffene erhielten Warnschreiben mit Verhaltenshinweisen. Das Land Rheinland-Pfalz bot Unterstützung in drei Stufen an – Beratung, Hilfe im Vorfall, Krisenmanagement danach – und kündigte ein mobiles Reaktionsteam an.</w:t>
            </w:r>
          </w:p>
          <w:p>
            <w:pPr>
              <w:pStyle w:val="BodyText"/>
            </w:pPr>
            <w:r>
              <w:t xml:space="preserve">Der Fall beantwortet die Fragen dieses Abschnitts mit realen Entscheidungen: Wer darf abschalten? Wann wird zur Datenveröffentlichung kommuniziert? Wer meldet und informiert die Betroffenen? Jede Phase des Incident-Prozesses brauchte eine Rolle – auch der Notbetrieb.</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4027170" cy="3068842"/>
            <wp:effectExtent b="0" l="0" r="0" t="0"/>
            <wp:docPr descr="Rhein-Pfalz-Kreis 2022: Ablauf und Notbetrieb" title="" id="102" name="Picture"/>
            <a:graphic>
              <a:graphicData uri="http://schemas.openxmlformats.org/drawingml/2006/picture">
                <pic:pic>
                  <pic:nvPicPr>
                    <pic:cNvPr descr="../Präsentationen/Termin-05/assets/rpk-2022-verlauf.png" id="103" name="Picture"/>
                    <pic:cNvPicPr>
                      <a:picLocks noChangeArrowheads="1" noChangeAspect="1"/>
                    </pic:cNvPicPr>
                  </pic:nvPicPr>
                  <pic:blipFill>
                    <a:blip r:embed="rId101"/>
                    <a:stretch>
                      <a:fillRect/>
                    </a:stretch>
                  </pic:blipFill>
                  <pic:spPr bwMode="auto">
                    <a:xfrm>
                      <a:off x="0" y="0"/>
                      <a:ext cx="4027170" cy="3068842"/>
                    </a:xfrm>
                    <a:prstGeom prst="rect">
                      <a:avLst/>
                    </a:prstGeom>
                    <a:noFill/>
                    <a:ln w="9525">
                      <a:noFill/>
                      <a:headEnd/>
                      <a:tailEnd/>
                    </a:ln>
                  </pic:spPr>
                </pic:pic>
              </a:graphicData>
            </a:graphic>
          </wp:inline>
        </w:drawing>
      </w:r>
    </w:p>
    <w:p>
      <w:pPr>
        <w:pStyle w:val="ImageCaption"/>
      </w:pPr>
      <w:r>
        <w:t xml:space="preserve">Rhein-Pfalz-Kreis 2022: Ablauf und Notbetrieb</w:t>
      </w:r>
    </w:p>
    <w:bookmarkEnd w:id="104"/>
    <w:bookmarkStart w:id="105" w:name="typische-lessons-learned"/>
    <w:p>
      <w:pPr>
        <w:pStyle w:val="Heading2"/>
      </w:pPr>
      <w:r>
        <w:t xml:space="preserve">8.5 Typische Lessons Learned</w:t>
      </w:r>
    </w:p>
    <w:p>
      <w:pPr>
        <w:numPr>
          <w:ilvl w:val="0"/>
          <w:numId w:val="1017"/>
        </w:numPr>
      </w:pPr>
      <w:r>
        <w:rPr>
          <w:b/>
          <w:bCs/>
        </w:rPr>
        <w:t xml:space="preserve">Playbooks sind Gold wert</w:t>
      </w:r>
      <w:r>
        <w:t xml:space="preserve">, wenn sie aktuell und trainiert sind.</w:t>
      </w:r>
    </w:p>
    <w:p>
      <w:pPr>
        <w:numPr>
          <w:ilvl w:val="0"/>
          <w:numId w:val="1017"/>
        </w:numPr>
      </w:pPr>
      <w:r>
        <w:rPr>
          <w:b/>
          <w:bCs/>
        </w:rPr>
        <w:t xml:space="preserve">Backups müssen getestet</w:t>
      </w:r>
      <w:r>
        <w:t xml:space="preserve"> </w:t>
      </w:r>
      <w:r>
        <w:t xml:space="preserve">werden – ein Backup ist nur so gut wie der letzte Restore.</w:t>
      </w:r>
    </w:p>
    <w:p>
      <w:pPr>
        <w:numPr>
          <w:ilvl w:val="0"/>
          <w:numId w:val="1017"/>
        </w:numPr>
      </w:pPr>
      <w:r>
        <w:rPr>
          <w:b/>
          <w:bCs/>
        </w:rPr>
        <w:t xml:space="preserve">Kommunikation entscheidet</w:t>
      </w:r>
      <w:r>
        <w:t xml:space="preserve"> </w:t>
      </w:r>
      <w:r>
        <w:t xml:space="preserve">über Vertrauen nach innen und außen.</w:t>
      </w:r>
    </w:p>
    <w:p>
      <w:pPr>
        <w:numPr>
          <w:ilvl w:val="0"/>
          <w:numId w:val="1017"/>
        </w:numPr>
      </w:pPr>
      <w:r>
        <w:rPr>
          <w:b/>
          <w:bCs/>
        </w:rPr>
        <w:t xml:space="preserve">Forensik und Wiederanlauf</w:t>
      </w:r>
      <w:r>
        <w:t xml:space="preserve"> </w:t>
      </w:r>
      <w:r>
        <w:t xml:space="preserve">müssen abgestimmt sein (keine Datenverluste durch Übereifer).</w:t>
      </w:r>
    </w:p>
    <w:p>
      <w:pPr>
        <w:numPr>
          <w:ilvl w:val="0"/>
          <w:numId w:val="1017"/>
        </w:numPr>
      </w:pPr>
      <w:r>
        <w:rPr>
          <w:b/>
          <w:bCs/>
        </w:rPr>
        <w:t xml:space="preserve">Incident Reviews</w:t>
      </w:r>
      <w:r>
        <w:t xml:space="preserve"> </w:t>
      </w:r>
      <w:r>
        <w:t xml:space="preserve">sind keine Schuldzuweisung, sondern Lerngelegenheiten.</w:t>
      </w:r>
    </w:p>
    <w:p>
      <w:pPr>
        <w:pStyle w:val="FirstParagraph"/>
      </w:pPr>
      <w:r>
        <w:t xml:space="preserve">Diese Erkenntnisse verdeutlichen, dass jede Krise – richtig reflektiert – eine</w:t>
      </w:r>
      <w:r>
        <w:t xml:space="preserve"> </w:t>
      </w:r>
      <w:r>
        <w:rPr>
          <w:b/>
          <w:bCs/>
        </w:rPr>
        <w:t xml:space="preserve">Investition in zukünftige Resilienz</w:t>
      </w:r>
      <w:r>
        <w:t xml:space="preserve"> </w:t>
      </w:r>
      <w:r>
        <w:t xml:space="preserve">ist.</w:t>
      </w:r>
    </w:p>
    <w:bookmarkEnd w:id="105"/>
    <w:bookmarkStart w:id="106" w:name="X8d33cbc48d07bae38f25054076479ba39c75db1"/>
    <w:p>
      <w:pPr>
        <w:pStyle w:val="Heading2"/>
      </w:pPr>
      <w:r>
        <w:t xml:space="preserve">8.6 Reflexion: Was macht eine Organisation wirklich resilient?</w:t>
      </w:r>
    </w:p>
    <w:p>
      <w:pPr>
        <w:pStyle w:val="FirstParagraph"/>
      </w:pPr>
      <w:r>
        <w:t xml:space="preserve">Am Ende der Gruppenarbeit steht die Meta-Frage:</w:t>
      </w:r>
    </w:p>
    <w:p>
      <w:pPr>
        <w:pStyle w:val="BodyText"/>
      </w:pPr>
      <w:r>
        <w:rPr>
          <w:i/>
          <w:iCs/>
        </w:rPr>
        <w:t xml:space="preserve">„Was hat in unserer Reaktion funktioniert – und was nicht?“</w:t>
      </w:r>
    </w:p>
    <w:p>
      <w:pPr>
        <w:pStyle w:val="BodyText"/>
      </w:pPr>
      <w:r>
        <w:t xml:space="preserve">Durch diese Reflexion wird die Übung selbst Teil des Resilienzzyklus (</w:t>
      </w:r>
      <w:r>
        <w:rPr>
          <w:i/>
          <w:iCs/>
        </w:rPr>
        <w:t xml:space="preserve">Adapt</w:t>
      </w:r>
      <w:r>
        <w:t xml:space="preserve">). Die Studierenden lernen, wie Theorie (Rollen, Kommunikation, Prozesse) im praktischen Krisenszenario</w:t>
      </w:r>
      <w:r>
        <w:t xml:space="preserve"> </w:t>
      </w:r>
      <w:r>
        <w:rPr>
          <w:b/>
          <w:bCs/>
        </w:rPr>
        <w:t xml:space="preserve">konkret wirksam oder hinderlich</w:t>
      </w:r>
      <w:r>
        <w:t xml:space="preserve"> </w:t>
      </w:r>
      <w:r>
        <w:t xml:space="preserve">wird.</w:t>
      </w:r>
    </w:p>
    <w:p>
      <w:pPr>
        <w:pStyle w:val="BodyText"/>
      </w:pPr>
      <w:r>
        <w:rPr>
          <w:b/>
          <w:bCs/>
        </w:rPr>
        <w:t xml:space="preserve">Kernaussage:</w:t>
      </w:r>
    </w:p>
    <w:p>
      <w:pPr>
        <w:pStyle w:val="BodyText"/>
      </w:pPr>
      <w:r>
        <w:rPr>
          <w:i/>
          <w:iCs/>
        </w:rPr>
        <w:t xml:space="preserve">Resilienz zeigt sich nicht im Regelbetrieb, sondern in der Krise.</w:t>
      </w:r>
      <w:r>
        <w:t xml:space="preserve"> </w:t>
      </w:r>
      <w:r>
        <w:t xml:space="preserve">Eine Organisation, die schnell, koordiniert und lernfähig reagiert, beweist ihre Widerstandsfähigkeit durch Handeln, nicht durch Dokumentation.</w:t>
      </w:r>
    </w:p>
    <w:bookmarkEnd w:id="106"/>
    <w:bookmarkEnd w:id="107"/>
    <w:bookmarkStart w:id="121" w:name="X86f9bd433afc6d31b8821f428402d854478f032"/>
    <w:p>
      <w:pPr>
        <w:pStyle w:val="Heading1"/>
      </w:pPr>
      <w:r>
        <w:t xml:space="preserve">Kapitel 9 – Lernen, Kultur und psychologische Sicherheit in resilienten Organisationen</w:t>
      </w:r>
    </w:p>
    <w:p>
      <w:pPr>
        <w:pStyle w:val="FirstParagraph"/>
      </w:pPr>
      <w:r>
        <w:t xml:space="preserve">Technik und Prozesse sind planbar – menschliches Verhalten ist es nicht. Deshalb entscheidet letztlich</w:t>
      </w:r>
      <w:r>
        <w:t xml:space="preserve"> </w:t>
      </w:r>
      <w:r>
        <w:rPr>
          <w:b/>
          <w:bCs/>
        </w:rPr>
        <w:t xml:space="preserve">die Organisationskultur</w:t>
      </w:r>
      <w:r>
        <w:t xml:space="preserve"> </w:t>
      </w:r>
      <w:r>
        <w:t xml:space="preserve">darüber, ob Resilienz in der Praxis funktioniert. Eine Organisation, die aus Fehlern lernt statt sie zu vertuschen, entwickelt nachhaltige Anpassungsfähigkeit und Vertrauen.</w:t>
      </w:r>
    </w:p>
    <w:p>
      <w:pPr>
        <w:pStyle w:val="BodyText"/>
      </w:pPr>
      <w:r>
        <w:t xml:space="preserve">Resilienz ist damit auch eine</w:t>
      </w:r>
      <w:r>
        <w:t xml:space="preserve"> </w:t>
      </w:r>
      <w:r>
        <w:rPr>
          <w:b/>
          <w:bCs/>
        </w:rPr>
        <w:t xml:space="preserve">Frage der Haltung</w:t>
      </w:r>
      <w:r>
        <w:t xml:space="preserve">.</w:t>
      </w:r>
    </w:p>
    <w:bookmarkStart w:id="108" w:name="von-der-fehlervermeidung-zur-lernkultur"/>
    <w:p>
      <w:pPr>
        <w:pStyle w:val="Heading2"/>
      </w:pPr>
      <w:r>
        <w:t xml:space="preserve">9.1 Von der Fehlervermeidung zur Lernkultur</w:t>
      </w:r>
    </w:p>
    <w:p>
      <w:pPr>
        <w:pStyle w:val="FirstParagraph"/>
      </w:pPr>
      <w:r>
        <w:t xml:space="preserve">Traditionell herrscht in vielen Unternehmen eine</w:t>
      </w:r>
      <w:r>
        <w:t xml:space="preserve"> </w:t>
      </w:r>
      <w:r>
        <w:rPr>
          <w:b/>
          <w:bCs/>
        </w:rPr>
        <w:t xml:space="preserve">Null-Fehler-Kultur</w:t>
      </w:r>
      <w:r>
        <w:t xml:space="preserve">: Fehler gelten als Schwäche, Abweichungen als Mangel. In der Resilienzperspektive gilt jedoch das Gegenteil:</w:t>
      </w:r>
    </w:p>
    <w:p>
      <w:pPr>
        <w:pStyle w:val="BodyText"/>
      </w:pPr>
      <w:r>
        <w:t xml:space="preserve">„Ein Fehler, aus dem nichts gelernt wird, ist der wahre Fehler.“</w:t>
      </w:r>
    </w:p>
    <w:p>
      <w:pPr>
        <w:pStyle w:val="BodyText"/>
      </w:pPr>
      <w:r>
        <w:t xml:space="preserve">Organisationale Resilienz verlangt deshalb eine</w:t>
      </w:r>
      <w:r>
        <w:t xml:space="preserve"> </w:t>
      </w:r>
      <w:r>
        <w:rPr>
          <w:b/>
          <w:bCs/>
        </w:rPr>
        <w:t xml:space="preserve">Lernkultur</w:t>
      </w:r>
      <w:r>
        <w:t xml:space="preserve">, die Fehler systematisch analysiert, ohne Schuldzuweisungen. Statt „Who caused it?“ lautet die Frage „What can we improve?“</w:t>
      </w:r>
    </w:p>
    <w:p>
      <w:pPr>
        <w:pStyle w:val="BodyText"/>
      </w:pPr>
      <w:r>
        <w:t xml:space="preserve">Diese Denkweise entspricht dem Prinzip des</w:t>
      </w:r>
      <w:r>
        <w:t xml:space="preserve"> </w:t>
      </w:r>
      <w:r>
        <w:rPr>
          <w:i/>
          <w:iCs/>
        </w:rPr>
        <w:t xml:space="preserve">Continuous Improvement</w:t>
      </w:r>
      <w:r>
        <w:t xml:space="preserve"> </w:t>
      </w:r>
      <w:r>
        <w:t xml:space="preserve">aus dem PDCA-Zyklus und dem „Adapt“-Schritt des Resilienzzyklus.</w:t>
      </w:r>
    </w:p>
    <w:bookmarkEnd w:id="108"/>
    <w:bookmarkStart w:id="109" w:name="psychologische-sicherheit-als-fundament"/>
    <w:p>
      <w:pPr>
        <w:pStyle w:val="Heading2"/>
      </w:pPr>
      <w:r>
        <w:t xml:space="preserve">9.2 Psychologische Sicherheit als Fundament</w:t>
      </w:r>
    </w:p>
    <w:p>
      <w:pPr>
        <w:pStyle w:val="FirstParagraph"/>
      </w:pPr>
      <w:r>
        <w:t xml:space="preserve">Der Begriff</w:t>
      </w:r>
      <w:r>
        <w:t xml:space="preserve"> </w:t>
      </w:r>
      <w:r>
        <w:rPr>
          <w:b/>
          <w:bCs/>
        </w:rPr>
        <w:t xml:space="preserve">Psychological Safety</w:t>
      </w:r>
      <w:r>
        <w:t xml:space="preserve"> </w:t>
      </w:r>
      <w:r>
        <w:t xml:space="preserve">(Amy C. Edmondson, Harvard Business School, 1999) beschreibt ein Arbeitsklima, in dem Menschen offen sprechen können, ohne Angst vor persönlichen Konsequenzen.</w:t>
      </w:r>
    </w:p>
    <w:p>
      <w:pPr>
        <w:pStyle w:val="BodyText"/>
      </w:pPr>
      <w:r>
        <w:t xml:space="preserve">In resilienten Organisationen ist psychologische Sicherheit zentral: Sie ermöglicht das Melden von Schwachstellen, das Eingestehen von Unsicherheiten und das Teilen von Verbesserungsvorschlägen.</w:t>
      </w:r>
    </w:p>
    <w:p>
      <w:pPr>
        <w:pStyle w:val="BodyText"/>
      </w:pPr>
      <w:r>
        <w:t xml:space="preserve">Typische Merkmale psychologisch sicherer Teams:</w:t>
      </w:r>
    </w:p>
    <w:p>
      <w:pPr>
        <w:numPr>
          <w:ilvl w:val="0"/>
          <w:numId w:val="1018"/>
        </w:numPr>
      </w:pPr>
      <w:r>
        <w:t xml:space="preserve">Offene Kommunikation ohne Angst vor Blamage</w:t>
      </w:r>
    </w:p>
    <w:p>
      <w:pPr>
        <w:numPr>
          <w:ilvl w:val="0"/>
          <w:numId w:val="1018"/>
        </w:numPr>
      </w:pPr>
      <w:r>
        <w:t xml:space="preserve">Gegenseitiger Respekt, auch in Stresssituationen</w:t>
      </w:r>
    </w:p>
    <w:p>
      <w:pPr>
        <w:numPr>
          <w:ilvl w:val="0"/>
          <w:numId w:val="1018"/>
        </w:numPr>
      </w:pPr>
      <w:r>
        <w:t xml:space="preserve">Aktives Zuhören und wertschätzendes Feedback</w:t>
      </w:r>
    </w:p>
    <w:p>
      <w:pPr>
        <w:numPr>
          <w:ilvl w:val="0"/>
          <w:numId w:val="1018"/>
        </w:numPr>
      </w:pPr>
      <w:r>
        <w:t xml:space="preserve">Fehlermeldungen werden als Beitrag, nicht als Kritik verstanden</w:t>
      </w:r>
    </w:p>
    <w:p>
      <w:pPr>
        <w:pStyle w:val="FirstParagraph"/>
      </w:pPr>
      <w:r>
        <w:t xml:space="preserve">Ohne psychologische Sicherheit bleibt jede Resilienzinitiative oberflächlich.</w:t>
      </w:r>
    </w:p>
    <w:bookmarkEnd w:id="109"/>
    <w:bookmarkStart w:id="118" w:name="Xd9a005b56939549adc3b8c90f6e97ec132d0c59"/>
    <w:p>
      <w:pPr>
        <w:pStyle w:val="Heading2"/>
      </w:pPr>
      <w:r>
        <w:t xml:space="preserve">9.3 Blame-free Post-Mortems und After-Action Reviews</w:t>
      </w:r>
    </w:p>
    <w:p>
      <w:pPr>
        <w:pStyle w:val="FirstParagraph"/>
      </w:pPr>
      <w:r>
        <w:t xml:space="preserve">Nach jedem Incident oder jeder Übung sollten strukturierte Reflexionssitzungen stattfinden.</w:t>
      </w:r>
    </w:p>
    <w:p>
      <w:pPr>
        <w:pStyle w:val="BodyText"/>
      </w:pPr>
      <w:r>
        <w:t xml:space="preserve">Bewährt hat sich das Konzept der</w:t>
      </w:r>
      <w:r>
        <w:t xml:space="preserve"> </w:t>
      </w:r>
      <w:r>
        <w:rPr>
          <w:b/>
          <w:bCs/>
        </w:rPr>
        <w:t xml:space="preserve">blame-free Post-Mortems</w:t>
      </w:r>
      <w:r>
        <w:t xml:space="preserve">, ursprünglich aus der Luftfahrt und heute Standard im DevOps- und Cyberbereich.</w:t>
      </w:r>
    </w:p>
    <w:p>
      <w:pPr>
        <w:pStyle w:val="BodyText"/>
      </w:pPr>
      <w:r>
        <w:t xml:space="preserve">Typische Leitfragen:</w:t>
      </w:r>
    </w:p>
    <w:p>
      <w:pPr>
        <w:numPr>
          <w:ilvl w:val="0"/>
          <w:numId w:val="1019"/>
        </w:numPr>
      </w:pPr>
      <w:r>
        <w:t xml:space="preserve">Was ist passiert – objektiv und ohne Schuldzuweisung?</w:t>
      </w:r>
    </w:p>
    <w:p>
      <w:pPr>
        <w:numPr>
          <w:ilvl w:val="0"/>
          <w:numId w:val="1019"/>
        </w:numPr>
      </w:pPr>
      <w:r>
        <w:t xml:space="preserve">Warum ist es passiert – welche Faktoren haben beigetragen?</w:t>
      </w:r>
    </w:p>
    <w:p>
      <w:pPr>
        <w:numPr>
          <w:ilvl w:val="0"/>
          <w:numId w:val="1019"/>
        </w:numPr>
      </w:pPr>
      <w:r>
        <w:t xml:space="preserve">Wie haben wir reagiert – was hat geholfen, was behindert?</w:t>
      </w:r>
    </w:p>
    <w:p>
      <w:pPr>
        <w:numPr>
          <w:ilvl w:val="0"/>
          <w:numId w:val="1019"/>
        </w:numPr>
      </w:pPr>
      <w:r>
        <w:t xml:space="preserve">Was lernen wir daraus – und wie setzen wir das um?</w:t>
      </w:r>
    </w:p>
    <w:p>
      <w:pPr>
        <w:pStyle w:val="FirstParagraph"/>
      </w:pPr>
      <w:r>
        <w:t xml:space="preserve">Diese Besprechungen sind kein Ritual, sondern ein</w:t>
      </w:r>
      <w:r>
        <w:t xml:space="preserve"> </w:t>
      </w:r>
      <w:r>
        <w:rPr>
          <w:b/>
          <w:bCs/>
        </w:rPr>
        <w:t xml:space="preserve">organisationaler Lernprozess</w:t>
      </w:r>
      <w:r>
        <w:t xml:space="preserve">. Wichtig ist, dass Ergebnisse dokumentiert, priorisiert und tatsächlich umgesetzt werden – sonst wird aus Lernen schnell Symbolpolitik.</w:t>
      </w:r>
    </w:p>
    <w:p>
      <w:pPr>
        <w:pStyle w:val="CaptionedFigure"/>
      </w:pPr>
      <w:r>
        <w:drawing>
          <wp:inline>
            <wp:extent cx="3451860" cy="2630436"/>
            <wp:effectExtent b="0" l="0" r="0" t="0"/>
            <wp:docPr descr="Zwei Fragen nach einem Vorfall" title="" id="111" name="Picture"/>
            <a:graphic>
              <a:graphicData uri="http://schemas.openxmlformats.org/drawingml/2006/picture">
                <pic:pic>
                  <pic:nvPicPr>
                    <pic:cNvPr descr="../Präsentationen/Termin-05/assets/schuld-oder-lernen.png" id="112" name="Picture"/>
                    <pic:cNvPicPr>
                      <a:picLocks noChangeArrowheads="1" noChangeAspect="1"/>
                    </pic:cNvPicPr>
                  </pic:nvPicPr>
                  <pic:blipFill>
                    <a:blip r:embed="rId110"/>
                    <a:stretch>
                      <a:fillRect/>
                    </a:stretch>
                  </pic:blipFill>
                  <pic:spPr bwMode="auto">
                    <a:xfrm>
                      <a:off x="0" y="0"/>
                      <a:ext cx="3451860" cy="2630436"/>
                    </a:xfrm>
                    <a:prstGeom prst="rect">
                      <a:avLst/>
                    </a:prstGeom>
                    <a:noFill/>
                    <a:ln w="9525">
                      <a:noFill/>
                      <a:headEnd/>
                      <a:tailEnd/>
                    </a:ln>
                  </pic:spPr>
                </pic:pic>
              </a:graphicData>
            </a:graphic>
          </wp:inline>
        </w:drawing>
      </w:r>
    </w:p>
    <w:p>
      <w:pPr>
        <w:pStyle w:val="ImageCaption"/>
      </w:pPr>
      <w:r>
        <w:t xml:space="preserve">Zwei Fragen nach einem Vorfall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usr/local/lib/python3.13/dist-packages/quarto_cli/share/formats/docx/tip.png" id="114"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Cloudflare 2019</w:t>
            </w:r>
          </w:p>
        </w:tc>
      </w:tr>
      <w:tr>
        <w:trPr>
          <w:cantSplit/>
        </w:trPr>
        <w:tc>
          <w:tcPr>
            <w:tcMar>
              <w:top w:w="108" w:type="dxa"/>
              <w:bottom w:w="108" w:type="dxa"/>
            </w:tcMar>
          </w:tcPr>
          <w:p>
            <w:pPr>
              <w:pStyle w:val="BodyText"/>
            </w:pPr>
            <w:pPr>
              <w:spacing w:before="16"/>
            </w:pPr>
            <w:r>
              <w:t xml:space="preserve">Am 2. Juli 2019 um 13:42 UTC rollte Cloudflare eine neue Regel seiner Web Application Firewall weltweit auf einmal aus. Ein darin enthaltener regulärer Ausdruck lastete die Prozessoren voll aus; Besucher erhielten Fehlerseiten, der Verkehr brach um bis zu 82 Prozent ein. Weil auch interne Werkzeuge über das eigene Netz liefen, brauchte das Team einen selten genutzten Notzugang, um die Firewall global abzuschalten. Nach 27 Minuten war der Verkehr wieder normal. Zehn Tage später veröffentlichte Cloudflare ein ausführliches Post-Mortem mit Zeitleiste.</w:t>
            </w:r>
          </w:p>
          <w:p>
            <w:pPr>
              <w:pStyle w:val="BodyText"/>
            </w:pPr>
            <w:r>
              <w:t xml:space="preserve">Der Bericht benennt keine Person, sondern Lücken im Prozess: Die Tests prüften die Wirkung der Regel, nicht ihre Laufzeit; Firewall-Regeln umgingen den gestuften Rollout; ein Schutz gegen übermäßige Rechenlast war versehentlich entfernt worden. Die Maßnahmen setzen an diesen Stellen an – gestufter Rollout mit Notfallpfad, Laufzeitprüfung im Test, Notzugang unabhängig vom eigenen Netz. Das ist ein blame-free Post-Mortem in der Praxis.</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4027170" cy="2995386"/>
            <wp:effectExtent b="0" l="0" r="0" t="0"/>
            <wp:docPr descr="Cloudflare 2019: 27 Minuten Ausfall durch eine Firewall-Regel" title="" id="116" name="Picture"/>
            <a:graphic>
              <a:graphicData uri="http://schemas.openxmlformats.org/drawingml/2006/picture">
                <pic:pic>
                  <pic:nvPicPr>
                    <pic:cNvPr descr="../Präsentationen/Termin-05/assets/cloudflare-2019-zeitleiste.png" id="117" name="Picture"/>
                    <pic:cNvPicPr>
                      <a:picLocks noChangeArrowheads="1" noChangeAspect="1"/>
                    </pic:cNvPicPr>
                  </pic:nvPicPr>
                  <pic:blipFill>
                    <a:blip r:embed="rId115"/>
                    <a:stretch>
                      <a:fillRect/>
                    </a:stretch>
                  </pic:blipFill>
                  <pic:spPr bwMode="auto">
                    <a:xfrm>
                      <a:off x="0" y="0"/>
                      <a:ext cx="4027170" cy="2995386"/>
                    </a:xfrm>
                    <a:prstGeom prst="rect">
                      <a:avLst/>
                    </a:prstGeom>
                    <a:noFill/>
                    <a:ln w="9525">
                      <a:noFill/>
                      <a:headEnd/>
                      <a:tailEnd/>
                    </a:ln>
                  </pic:spPr>
                </pic:pic>
              </a:graphicData>
            </a:graphic>
          </wp:inline>
        </w:drawing>
      </w:r>
    </w:p>
    <w:p>
      <w:pPr>
        <w:pStyle w:val="ImageCaption"/>
      </w:pPr>
      <w:r>
        <w:t xml:space="preserve">Cloudflare 2019: 27 Minuten Ausfall durch eine Firewall-Regel</w:t>
      </w:r>
    </w:p>
    <w:bookmarkEnd w:id="118"/>
    <w:bookmarkStart w:id="119" w:name="führung-als-kulturträger"/>
    <w:p>
      <w:pPr>
        <w:pStyle w:val="Heading2"/>
      </w:pPr>
      <w:r>
        <w:t xml:space="preserve">9.4 Führung als Kulturträger</w:t>
      </w:r>
    </w:p>
    <w:p>
      <w:pPr>
        <w:pStyle w:val="FirstParagraph"/>
      </w:pPr>
      <w:r>
        <w:t xml:space="preserve">Kultur entsteht nicht durch Leitbilder, sondern durch Verhalten. Führungskräfte prägen Resilienz durch das,</w:t>
      </w:r>
      <w:r>
        <w:t xml:space="preserve"> </w:t>
      </w:r>
      <w:r>
        <w:rPr>
          <w:b/>
          <w:bCs/>
        </w:rPr>
        <w:t xml:space="preserve">was sie in Krisen tun – und was sie zulassen.</w:t>
      </w:r>
    </w:p>
    <w:p>
      <w:pPr>
        <w:pStyle w:val="BodyText"/>
      </w:pPr>
      <w:r>
        <w:t xml:space="preserve">Offene Fehlerkommunikation von oben schafft Vertrauen unten.</w:t>
      </w:r>
    </w:p>
    <w:p>
      <w:pPr>
        <w:pStyle w:val="BodyText"/>
      </w:pPr>
      <w:r>
        <w:t xml:space="preserve">Führung in resilienten Organisationen bedeutet:</w:t>
      </w:r>
    </w:p>
    <w:p>
      <w:pPr>
        <w:numPr>
          <w:ilvl w:val="0"/>
          <w:numId w:val="1020"/>
        </w:numPr>
      </w:pPr>
      <w:r>
        <w:t xml:space="preserve">Informationsfluss fördern, nicht kontrollieren</w:t>
      </w:r>
    </w:p>
    <w:p>
      <w:pPr>
        <w:numPr>
          <w:ilvl w:val="0"/>
          <w:numId w:val="1020"/>
        </w:numPr>
      </w:pPr>
      <w:r>
        <w:t xml:space="preserve">Lernräume schaffen, nicht Schuldige suchen</w:t>
      </w:r>
    </w:p>
    <w:p>
      <w:pPr>
        <w:numPr>
          <w:ilvl w:val="0"/>
          <w:numId w:val="1020"/>
        </w:numPr>
      </w:pPr>
      <w:r>
        <w:t xml:space="preserve">Fehler öffentlich reflektieren, um Nachahmung zu fördern</w:t>
      </w:r>
    </w:p>
    <w:p>
      <w:pPr>
        <w:numPr>
          <w:ilvl w:val="0"/>
          <w:numId w:val="1020"/>
        </w:numPr>
      </w:pPr>
      <w:r>
        <w:t xml:space="preserve">Positives Feedback bei transparenter Kommunikation geben</w:t>
      </w:r>
    </w:p>
    <w:p>
      <w:pPr>
        <w:pStyle w:val="FirstParagraph"/>
      </w:pPr>
      <w:r>
        <w:t xml:space="preserve">Resiliente Führung ist damit ein Balanceakt zwischen</w:t>
      </w:r>
      <w:r>
        <w:t xml:space="preserve"> </w:t>
      </w:r>
      <w:r>
        <w:rPr>
          <w:b/>
          <w:bCs/>
        </w:rPr>
        <w:t xml:space="preserve">Kontrolle und Vertrauen</w:t>
      </w:r>
      <w:r>
        <w:t xml:space="preserve">.</w:t>
      </w:r>
    </w:p>
    <w:bookmarkEnd w:id="119"/>
    <w:bookmarkStart w:id="120" w:name="vom-lernen-zur-evolution"/>
    <w:p>
      <w:pPr>
        <w:pStyle w:val="Heading2"/>
      </w:pPr>
      <w:r>
        <w:t xml:space="preserve">9.5 Vom Lernen zur Evolution</w:t>
      </w:r>
    </w:p>
    <w:p>
      <w:pPr>
        <w:pStyle w:val="FirstParagraph"/>
      </w:pPr>
      <w:r>
        <w:t xml:space="preserve">Resilienz ist kein Zielzustand, sondern eine Entwicklungsrichtung. Organisationen, die regelmäßig reflektieren, adaptieren und neu justieren, verwandeln sich in</w:t>
      </w:r>
      <w:r>
        <w:t xml:space="preserve"> </w:t>
      </w:r>
      <w:r>
        <w:rPr>
          <w:b/>
          <w:bCs/>
        </w:rPr>
        <w:t xml:space="preserve">adaptive Systeme</w:t>
      </w:r>
      <w:r>
        <w:t xml:space="preserve">, die mit Unsicherheit leben können. Das ist die höchste Stufe des Reifegrads: Nicht nur</w:t>
      </w:r>
      <w:r>
        <w:t xml:space="preserve"> </w:t>
      </w:r>
      <w:r>
        <w:rPr>
          <w:i/>
          <w:iCs/>
        </w:rPr>
        <w:t xml:space="preserve">robust</w:t>
      </w:r>
      <w:r>
        <w:t xml:space="preserve">, sondern</w:t>
      </w:r>
      <w:r>
        <w:t xml:space="preserve"> </w:t>
      </w:r>
      <w:r>
        <w:rPr>
          <w:i/>
          <w:iCs/>
        </w:rPr>
        <w:t xml:space="preserve">lernend</w:t>
      </w:r>
      <w:r>
        <w:t xml:space="preserve"> </w:t>
      </w:r>
      <w:r>
        <w:t xml:space="preserve">zu sein.</w:t>
      </w:r>
    </w:p>
    <w:p>
      <w:pPr>
        <w:pStyle w:val="BodyText"/>
      </w:pPr>
      <w:r>
        <w:t xml:space="preserve">„Eine resiliente Organisation ist nicht unverwundbar – sie ist lernfähig genug, Verwundbarkeit zu überstehen.“</w:t>
      </w:r>
    </w:p>
    <w:p>
      <w:pPr>
        <w:pStyle w:val="BodyText"/>
      </w:pPr>
      <w:r>
        <w:rPr>
          <w:b/>
          <w:bCs/>
        </w:rPr>
        <w:t xml:space="preserve">Kernaussage:</w:t>
      </w:r>
    </w:p>
    <w:p>
      <w:pPr>
        <w:pStyle w:val="BodyText"/>
      </w:pPr>
      <w:r>
        <w:t xml:space="preserve">Kultur ist der Katalysator der Resilienz. Wo Menschen ohne Angst kommunizieren und Fehler als Lernquelle sehen, wird Resilienz Teil der DNA einer Organisation.</w:t>
      </w:r>
    </w:p>
    <w:bookmarkEnd w:id="120"/>
    <w:bookmarkEnd w:id="121"/>
    <w:bookmarkStart w:id="126" w:name="Xbb5d992ad252b3cdb4f67df60970e597f2cf3b4"/>
    <w:p>
      <w:pPr>
        <w:pStyle w:val="Heading1"/>
      </w:pPr>
      <w:r>
        <w:t xml:space="preserve">Kapitel 10 – Zusammenfassung und Ausblick: Von der Reaktion zur Steuerung organisationaler Resilienz</w:t>
      </w:r>
    </w:p>
    <w:p>
      <w:pPr>
        <w:pStyle w:val="FirstParagraph"/>
      </w:pPr>
      <w:r>
        <w:t xml:space="preserve">Organisationale Resilienz ist weit mehr als Krisenmanagement. Sie beschreibt die Fähigkeit einer Organisation, unter Stress</w:t>
      </w:r>
      <w:r>
        <w:t xml:space="preserve"> </w:t>
      </w:r>
      <w:r>
        <w:rPr>
          <w:b/>
          <w:bCs/>
        </w:rPr>
        <w:t xml:space="preserve">koordiniert zu handeln, zu lernen und sich weiterzuentwickeln</w:t>
      </w:r>
      <w:r>
        <w:t xml:space="preserve">.</w:t>
      </w:r>
    </w:p>
    <w:p>
      <w:pPr>
        <w:pStyle w:val="BodyText"/>
      </w:pPr>
      <w:r>
        <w:t xml:space="preserve">Damit ist sie der zentrale Unterschied zwischen</w:t>
      </w:r>
      <w:r>
        <w:t xml:space="preserve"> </w:t>
      </w:r>
      <w:r>
        <w:rPr>
          <w:b/>
          <w:bCs/>
        </w:rPr>
        <w:t xml:space="preserve">reaktiver Schadensbegrenzung</w:t>
      </w:r>
      <w:r>
        <w:t xml:space="preserve"> </w:t>
      </w:r>
      <w:r>
        <w:t xml:space="preserve">und</w:t>
      </w:r>
      <w:r>
        <w:t xml:space="preserve"> </w:t>
      </w:r>
      <w:r>
        <w:rPr>
          <w:b/>
          <w:bCs/>
        </w:rPr>
        <w:t xml:space="preserve">strategischer Anpassungsfähigkeit</w:t>
      </w:r>
      <w:r>
        <w:t xml:space="preserve">.</w:t>
      </w:r>
    </w:p>
    <w:bookmarkStart w:id="122" w:name="kernerkenntnisse-der-sitzung"/>
    <w:p>
      <w:pPr>
        <w:pStyle w:val="Heading2"/>
      </w:pPr>
      <w:r>
        <w:t xml:space="preserve">10.1 Kernerkenntnisse der Sitzung</w:t>
      </w:r>
    </w:p>
    <w:p>
      <w:pPr>
        <w:numPr>
          <w:ilvl w:val="0"/>
          <w:numId w:val="1021"/>
        </w:numPr>
      </w:pPr>
      <w:r>
        <w:rPr>
          <w:b/>
          <w:bCs/>
        </w:rPr>
        <w:t xml:space="preserve">Resilienz ist Verhalten, nicht Dokumentation.</w:t>
      </w:r>
    </w:p>
    <w:p>
      <w:pPr>
        <w:numPr>
          <w:ilvl w:val="0"/>
          <w:numId w:val="1000"/>
        </w:numPr>
      </w:pPr>
      <w:r>
        <w:t xml:space="preserve">Strukturen, Prozesse und Playbooks sind wichtig, aber entscheidend ist,</w:t>
      </w:r>
      <w:r>
        <w:t xml:space="preserve"> </w:t>
      </w:r>
      <w:r>
        <w:rPr>
          <w:i/>
          <w:iCs/>
        </w:rPr>
        <w:t xml:space="preserve">wie</w:t>
      </w:r>
      <w:r>
        <w:t xml:space="preserve"> </w:t>
      </w:r>
      <w:r>
        <w:t xml:space="preserve">Menschen sie unter Druck umsetzen.</w:t>
      </w:r>
    </w:p>
    <w:p>
      <w:pPr>
        <w:numPr>
          <w:ilvl w:val="0"/>
          <w:numId w:val="1021"/>
        </w:numPr>
      </w:pPr>
      <w:r>
        <w:rPr>
          <w:b/>
          <w:bCs/>
        </w:rPr>
        <w:t xml:space="preserve">Kommunikation ist der Dreh- und Angelpunkt.</w:t>
      </w:r>
    </w:p>
    <w:p>
      <w:pPr>
        <w:numPr>
          <w:ilvl w:val="0"/>
          <w:numId w:val="1000"/>
        </w:numPr>
      </w:pPr>
      <w:r>
        <w:t xml:space="preserve">Klare Sprache, definierte Kanäle und gegenseitiges Verständnis sind der Klebstoff, der Organisationen im Ereignisfall zusammenhält.</w:t>
      </w:r>
    </w:p>
    <w:p>
      <w:pPr>
        <w:numPr>
          <w:ilvl w:val="0"/>
          <w:numId w:val="1021"/>
        </w:numPr>
      </w:pPr>
      <w:r>
        <w:rPr>
          <w:b/>
          <w:bCs/>
        </w:rPr>
        <w:t xml:space="preserve">Rollen schaffen Ordnung im Chaos.</w:t>
      </w:r>
    </w:p>
    <w:p>
      <w:pPr>
        <w:numPr>
          <w:ilvl w:val="0"/>
          <w:numId w:val="1000"/>
        </w:numPr>
      </w:pPr>
      <w:r>
        <w:t xml:space="preserve">Wenn Verantwortlichkeiten und Eskalationspfade klar sind, kann auch in komplexen Lagen schnell und sicher entschieden werden.</w:t>
      </w:r>
    </w:p>
    <w:p>
      <w:pPr>
        <w:numPr>
          <w:ilvl w:val="0"/>
          <w:numId w:val="1021"/>
        </w:numPr>
      </w:pPr>
      <w:r>
        <w:rPr>
          <w:b/>
          <w:bCs/>
        </w:rPr>
        <w:t xml:space="preserve">Übung macht Resilienz.</w:t>
      </w:r>
    </w:p>
    <w:p>
      <w:pPr>
        <w:numPr>
          <w:ilvl w:val="0"/>
          <w:numId w:val="1000"/>
        </w:numPr>
      </w:pPr>
      <w:r>
        <w:t xml:space="preserve">Tabletop-Trainings und Simulationen sind das Labor für reale Handlungsfähigkeit.</w:t>
      </w:r>
    </w:p>
    <w:p>
      <w:pPr>
        <w:numPr>
          <w:ilvl w:val="0"/>
          <w:numId w:val="1000"/>
        </w:numPr>
      </w:pPr>
      <w:r>
        <w:t xml:space="preserve">Nur wer trainiert, reagiert im Ernstfall strukturiert.</w:t>
      </w:r>
    </w:p>
    <w:p>
      <w:pPr>
        <w:numPr>
          <w:ilvl w:val="0"/>
          <w:numId w:val="1021"/>
        </w:numPr>
      </w:pPr>
      <w:r>
        <w:rPr>
          <w:b/>
          <w:bCs/>
        </w:rPr>
        <w:t xml:space="preserve">Kultur entscheidet über Nachhaltigkeit.</w:t>
      </w:r>
    </w:p>
    <w:p>
      <w:pPr>
        <w:numPr>
          <w:ilvl w:val="0"/>
          <w:numId w:val="1000"/>
        </w:numPr>
      </w:pPr>
      <w:r>
        <w:t xml:space="preserve">Psychologische Sicherheit, offene Fehlerkommunikation und Lernprozesse sind die kulturellen Grundlagen dauerhafter Anpassungsfähigkeit.</w:t>
      </w:r>
    </w:p>
    <w:p>
      <w:pPr>
        <w:numPr>
          <w:ilvl w:val="0"/>
          <w:numId w:val="1021"/>
        </w:numPr>
      </w:pPr>
      <w:r>
        <w:rPr>
          <w:b/>
          <w:bCs/>
        </w:rPr>
        <w:t xml:space="preserve">Governance verankert Resilienz.</w:t>
      </w:r>
    </w:p>
    <w:p>
      <w:pPr>
        <w:numPr>
          <w:ilvl w:val="0"/>
          <w:numId w:val="1000"/>
        </w:numPr>
      </w:pPr>
      <w:r>
        <w:t xml:space="preserve">Erst durch Managementsysteme, Audits und Reifegradbewertung wird Resilienz von einer Initiative zu einer messbaren Fähigkeit.</w:t>
      </w:r>
    </w:p>
    <w:bookmarkEnd w:id="122"/>
    <w:bookmarkStart w:id="123" w:name="von-der-reaktion-zur-steuerung"/>
    <w:p>
      <w:pPr>
        <w:pStyle w:val="Heading2"/>
      </w:pPr>
      <w:r>
        <w:t xml:space="preserve">10.2 Von der Reaktion zur Steuerung</w:t>
      </w:r>
    </w:p>
    <w:p>
      <w:pPr>
        <w:pStyle w:val="FirstParagraph"/>
      </w:pPr>
      <w:r>
        <w:t xml:space="preserve">Im Reifeprozess resilienter Organisationen lässt sich ein klarer Übergang erkennen: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Fokus</w:t>
            </w:r>
          </w:p>
        </w:tc>
        <w:tc>
          <w:tcPr/>
          <w:p>
            <w:pPr>
              <w:pStyle w:val="Compact"/>
            </w:pPr>
            <w:r>
              <w:t xml:space="preserve">Beispiel</w:t>
            </w:r>
          </w:p>
        </w:tc>
      </w:tr>
      <w:tr>
        <w:tc>
          <w:tcPr/>
          <w:p>
            <w:pPr>
              <w:pStyle w:val="Compact"/>
            </w:pPr>
            <w:r>
              <w:rPr>
                <w:b/>
                <w:bCs/>
              </w:rPr>
              <w:t xml:space="preserve">Reaktion</w:t>
            </w:r>
          </w:p>
        </w:tc>
        <w:tc>
          <w:tcPr/>
          <w:p>
            <w:pPr>
              <w:pStyle w:val="Compact"/>
            </w:pPr>
            <w:r>
              <w:t xml:space="preserve">Ad-hoc-Antwort auf Störungen</w:t>
            </w:r>
          </w:p>
        </w:tc>
        <w:tc>
          <w:tcPr/>
          <w:p>
            <w:pPr>
              <w:pStyle w:val="Compact"/>
            </w:pPr>
            <w:r>
              <w:t xml:space="preserve">Incident Handling, Krisenteams</w:t>
            </w:r>
          </w:p>
        </w:tc>
      </w:tr>
      <w:tr>
        <w:tc>
          <w:tcPr/>
          <w:p>
            <w:pPr>
              <w:pStyle w:val="Compact"/>
            </w:pPr>
            <w:r>
              <w:rPr>
                <w:b/>
                <w:bCs/>
              </w:rPr>
              <w:t xml:space="preserve">Koordination</w:t>
            </w:r>
          </w:p>
        </w:tc>
        <w:tc>
          <w:tcPr/>
          <w:p>
            <w:pPr>
              <w:pStyle w:val="Compact"/>
            </w:pPr>
            <w:r>
              <w:t xml:space="preserve">Standardisierte Verfahren</w:t>
            </w:r>
          </w:p>
        </w:tc>
        <w:tc>
          <w:tcPr/>
          <w:p>
            <w:pPr>
              <w:pStyle w:val="Compact"/>
            </w:pPr>
            <w:r>
              <w:t xml:space="preserve">Playbooks, Kommunikationsprotokolle</w:t>
            </w:r>
          </w:p>
        </w:tc>
      </w:tr>
      <w:tr>
        <w:tc>
          <w:tcPr/>
          <w:p>
            <w:pPr>
              <w:pStyle w:val="Compact"/>
            </w:pPr>
            <w:r>
              <w:rPr>
                <w:b/>
                <w:bCs/>
              </w:rPr>
              <w:t xml:space="preserve">Lernen</w:t>
            </w:r>
          </w:p>
        </w:tc>
        <w:tc>
          <w:tcPr/>
          <w:p>
            <w:pPr>
              <w:pStyle w:val="Compact"/>
            </w:pPr>
            <w:r>
              <w:t xml:space="preserve">Feedback und Verbesserung</w:t>
            </w:r>
          </w:p>
        </w:tc>
        <w:tc>
          <w:tcPr/>
          <w:p>
            <w:pPr>
              <w:pStyle w:val="Compact"/>
            </w:pPr>
            <w:r>
              <w:t xml:space="preserve">After-Action Reviews</w:t>
            </w:r>
          </w:p>
        </w:tc>
      </w:tr>
      <w:tr>
        <w:tc>
          <w:tcPr/>
          <w:p>
            <w:pPr>
              <w:pStyle w:val="Compact"/>
            </w:pPr>
            <w:r>
              <w:rPr>
                <w:b/>
                <w:bCs/>
              </w:rPr>
              <w:t xml:space="preserve">Steuerung</w:t>
            </w:r>
          </w:p>
        </w:tc>
        <w:tc>
          <w:tcPr/>
          <w:p>
            <w:pPr>
              <w:pStyle w:val="Compact"/>
            </w:pPr>
            <w:r>
              <w:t xml:space="preserve">Integration in Governance</w:t>
            </w:r>
          </w:p>
        </w:tc>
        <w:tc>
          <w:tcPr/>
          <w:p>
            <w:pPr>
              <w:pStyle w:val="Compact"/>
            </w:pPr>
            <w:r>
              <w:t xml:space="preserve">KPIs, Audits, Management Reviews</w:t>
            </w:r>
          </w:p>
        </w:tc>
      </w:tr>
    </w:tbl>
    <w:p>
      <w:pPr>
        <w:pStyle w:val="BodyText"/>
      </w:pPr>
      <w:r>
        <w:t xml:space="preserve">Resilienz entwickelt sich damit von einer</w:t>
      </w:r>
      <w:r>
        <w:t xml:space="preserve"> </w:t>
      </w:r>
      <w:r>
        <w:rPr>
          <w:i/>
          <w:iCs/>
        </w:rPr>
        <w:t xml:space="preserve">Einsatzfähigkeit</w:t>
      </w:r>
      <w:r>
        <w:t xml:space="preserve"> </w:t>
      </w:r>
      <w:r>
        <w:t xml:space="preserve">zu einer</w:t>
      </w:r>
      <w:r>
        <w:t xml:space="preserve"> </w:t>
      </w:r>
      <w:r>
        <w:rPr>
          <w:i/>
          <w:iCs/>
        </w:rPr>
        <w:t xml:space="preserve">Führungsdisziplin</w:t>
      </w:r>
      <w:r>
        <w:t xml:space="preserve">.</w:t>
      </w:r>
    </w:p>
    <w:bookmarkEnd w:id="123"/>
    <w:bookmarkStart w:id="124" w:name="der-blick-nach-vorn"/>
    <w:p>
      <w:pPr>
        <w:pStyle w:val="Heading2"/>
      </w:pPr>
      <w:r>
        <w:t xml:space="preserve">10.3 Der Blick nach vorn</w:t>
      </w:r>
    </w:p>
    <w:p>
      <w:pPr>
        <w:pStyle w:val="FirstParagraph"/>
      </w:pPr>
      <w:r>
        <w:t xml:space="preserve">Die nächste Sitzung widmet sich der Frage:</w:t>
      </w:r>
    </w:p>
    <w:p>
      <w:pPr>
        <w:pStyle w:val="BodyText"/>
      </w:pPr>
      <w:r>
        <w:rPr>
          <w:i/>
          <w:iCs/>
        </w:rPr>
        <w:t xml:space="preserve">„Wie lässt sich Resilienz messen, steuern und nachweisen?“</w:t>
      </w:r>
    </w:p>
    <w:p>
      <w:pPr>
        <w:pStyle w:val="BodyText"/>
      </w:pPr>
      <w:r>
        <w:t xml:space="preserve">Damit rückt die</w:t>
      </w:r>
      <w:r>
        <w:t xml:space="preserve"> </w:t>
      </w:r>
      <w:r>
        <w:rPr>
          <w:b/>
          <w:bCs/>
        </w:rPr>
        <w:t xml:space="preserve">Quantifizierung und Operationalisierung</w:t>
      </w:r>
      <w:r>
        <w:t xml:space="preserve"> </w:t>
      </w:r>
      <w:r>
        <w:t xml:space="preserve">in den Mittelpunkt:</w:t>
      </w:r>
    </w:p>
    <w:p>
      <w:pPr>
        <w:numPr>
          <w:ilvl w:val="0"/>
          <w:numId w:val="1022"/>
        </w:numPr>
      </w:pPr>
      <w:r>
        <w:t xml:space="preserve">Welche Kennzahlen bilden Resilienz sinnvoll ab?</w:t>
      </w:r>
    </w:p>
    <w:p>
      <w:pPr>
        <w:numPr>
          <w:ilvl w:val="0"/>
          <w:numId w:val="1022"/>
        </w:numPr>
      </w:pPr>
      <w:r>
        <w:t xml:space="preserve">Wie misst man organisatorische Reaktionsgeschwindigkeit und Lernfähigkeit?</w:t>
      </w:r>
    </w:p>
    <w:p>
      <w:pPr>
        <w:numPr>
          <w:ilvl w:val="0"/>
          <w:numId w:val="1022"/>
        </w:numPr>
      </w:pPr>
      <w:r>
        <w:t xml:space="preserve">Welche Instrumente (Dashboards, Audits, Maturity Models) unterstützen die Steuerung?</w:t>
      </w:r>
    </w:p>
    <w:p>
      <w:pPr>
        <w:pStyle w:val="FirstParagraph"/>
      </w:pPr>
      <w:r>
        <w:t xml:space="preserve">Diese Brücke führt von der gelebten Praxis zur messbaren Managementfähigkeit – und schließt damit den Bogen von der</w:t>
      </w:r>
      <w:r>
        <w:t xml:space="preserve"> </w:t>
      </w:r>
      <w:r>
        <w:rPr>
          <w:i/>
          <w:iCs/>
        </w:rPr>
        <w:t xml:space="preserve">reaktiven</w:t>
      </w:r>
      <w:r>
        <w:t xml:space="preserve"> </w:t>
      </w:r>
      <w:r>
        <w:t xml:space="preserve">zur</w:t>
      </w:r>
      <w:r>
        <w:t xml:space="preserve"> </w:t>
      </w:r>
      <w:r>
        <w:rPr>
          <w:i/>
          <w:iCs/>
        </w:rPr>
        <w:t xml:space="preserve">proaktiven Resilienz</w:t>
      </w:r>
      <w:r>
        <w:t xml:space="preserve">.</w:t>
      </w:r>
    </w:p>
    <w:bookmarkEnd w:id="124"/>
    <w:bookmarkStart w:id="125" w:name="fazit"/>
    <w:p>
      <w:pPr>
        <w:pStyle w:val="Heading2"/>
      </w:pPr>
      <w:r>
        <w:t xml:space="preserve">10.4 Fazit</w:t>
      </w:r>
    </w:p>
    <w:p>
      <w:pPr>
        <w:pStyle w:val="FirstParagraph"/>
      </w:pPr>
      <w:r>
        <w:t xml:space="preserve">„Technik stabilisiert Systeme – Organisation stabilisiert Verhalten – Kultur stabilisiert Vertrauen.“</w:t>
      </w:r>
    </w:p>
    <w:p>
      <w:pPr>
        <w:pStyle w:val="BodyText"/>
      </w:pPr>
      <w:r>
        <w:t xml:space="preserve">Das Zusammenspiel dieser drei Ebenen definiert die</w:t>
      </w:r>
      <w:r>
        <w:t xml:space="preserve"> </w:t>
      </w:r>
      <w:r>
        <w:rPr>
          <w:b/>
          <w:bCs/>
        </w:rPr>
        <w:t xml:space="preserve">Gesamtresilienz</w:t>
      </w:r>
      <w:r>
        <w:t xml:space="preserve"> </w:t>
      </w:r>
      <w:r>
        <w:t xml:space="preserve">einer Organisation. Sobald sie ineinandergreifen, entsteht die Fähigkeit, auch unter widrigen Bedingungen handlungsfähig zu bleiben – das eigentliche Ziel jedes Resilienzmanagements.</w:t>
      </w:r>
    </w:p>
    <w:bookmarkEnd w:id="125"/>
    <w:bookmarkEnd w:id="126"/>
    <w:bookmarkStart w:id="133" w:name="bibliography"/>
    <w:p>
      <w:pPr>
        <w:pStyle w:val="Heading1"/>
      </w:pPr>
      <w:r>
        <w:t xml:space="preserve">Literatur</w:t>
      </w:r>
    </w:p>
    <w:bookmarkStart w:id="132" w:name="refs"/>
    <w:bookmarkStart w:id="127" w:name="ref-bsi2004"/>
    <w:p>
      <w:pPr>
        <w:pStyle w:val="Bibliography"/>
      </w:pPr>
      <w:r>
        <w:t xml:space="preserve">BSI-Standard 200-4: Business Continuity Management (2023).</w:t>
      </w:r>
    </w:p>
    <w:bookmarkEnd w:id="127"/>
    <w:bookmarkStart w:id="128" w:name="ref-iso22316"/>
    <w:p>
      <w:pPr>
        <w:pStyle w:val="Bibliography"/>
      </w:pPr>
      <w:r>
        <w:t xml:space="preserve">ISO 22316:2017 Security and Resilience – Organizational Resilience – Principles and Attributes (2017).</w:t>
      </w:r>
    </w:p>
    <w:bookmarkEnd w:id="128"/>
    <w:bookmarkStart w:id="129" w:name="ref-iso27035"/>
    <w:p>
      <w:pPr>
        <w:pStyle w:val="Bibliography"/>
      </w:pPr>
      <w:r>
        <w:t xml:space="preserve">ISO/IEC 27035-1: Information Technology – Information Security Incident Management – Part 1: Principles and Process (2023).</w:t>
      </w:r>
    </w:p>
    <w:bookmarkEnd w:id="129"/>
    <w:bookmarkStart w:id="131" w:name="ref-nist80061r3"/>
    <w:p>
      <w:pPr>
        <w:pStyle w:val="Bibliography"/>
      </w:pPr>
      <w:r>
        <w:t xml:space="preserve">Nelson, Alex, Sanjay Rekhi, Murugiah Souppaya, und Karen Scarfone. 2025.</w:t>
      </w:r>
      <w:r>
        <w:t xml:space="preserve"> </w:t>
      </w:r>
      <w:r>
        <w:rPr>
          <w:i/>
          <w:iCs/>
        </w:rPr>
        <w:t xml:space="preserve">Incident Response Recommendations and Considerations for Cybersecurity Risk Management: A CSF 2.0 Community Profile</w:t>
      </w:r>
      <w:r>
        <w:t xml:space="preserve">. NIST Special Publication 800-61 Rev. 3. National Institute of Standards; Technology.</w:t>
      </w:r>
      <w:r>
        <w:t xml:space="preserve"> </w:t>
      </w:r>
      <w:hyperlink r:id="rId130">
        <w:r>
          <w:rPr>
            <w:rStyle w:val="Hyperlink"/>
          </w:rPr>
          <w:t xml:space="preserve">https://doi.org/10.6028/NIST.SP.800-61r3</w:t>
        </w:r>
      </w:hyperlink>
      <w:r>
        <w:t xml:space="preserve">.</w:t>
      </w:r>
    </w:p>
    <w:bookmarkEnd w:id="131"/>
    <w:bookmarkEnd w:id="132"/>
    <w:bookmarkEnd w:id="133"/>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65" Target="media/rId65.png" /><Relationship Type="http://schemas.openxmlformats.org/officeDocument/2006/relationships/image" Id="rId115" Target="media/rId115.png" /><Relationship Type="http://schemas.openxmlformats.org/officeDocument/2006/relationships/image" Id="rId46" Target="media/rId46.png" /><Relationship Type="http://schemas.openxmlformats.org/officeDocument/2006/relationships/image" Id="rId78" Target="media/rId78.png" /><Relationship Type="http://schemas.openxmlformats.org/officeDocument/2006/relationships/image" Id="rId35" Target="media/rId35.png" /><Relationship Type="http://schemas.openxmlformats.org/officeDocument/2006/relationships/image" Id="rId101" Target="media/rId101.png" /><Relationship Type="http://schemas.openxmlformats.org/officeDocument/2006/relationships/image" Id="rId110" Target="media/rId110.png" /><Relationship Type="http://schemas.openxmlformats.org/officeDocument/2006/relationships/image" Id="rId73" Target="media/rId73.png" /><Relationship Type="http://schemas.openxmlformats.org/officeDocument/2006/relationships/image" Id="rId28" Target="media/rId28.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hyperlink" Id="rId34" Target="../quellen.html" TargetMode="External" /><Relationship Type="http://schemas.openxmlformats.org/officeDocument/2006/relationships/hyperlink" Id="rId23" Target="../quellen.html#hinweise-zur-aktualit&#228;t" TargetMode="External" /><Relationship Type="http://schemas.openxmlformats.org/officeDocument/2006/relationships/hyperlink" Id="rId130" Target="https://doi.org/10.6028/NIST.SP.800-61r3" TargetMode="External" /></Relationships>
</file>

<file path=word/_rels/footnotes.xml.rels><?xml version="1.0" encoding="UTF-8"?><Relationships xmlns="http://schemas.openxmlformats.org/package/2006/relationships"><Relationship Type="http://schemas.openxmlformats.org/officeDocument/2006/relationships/hyperlink" Id="rId34" Target="../quellen.html" TargetMode="External" /><Relationship Type="http://schemas.openxmlformats.org/officeDocument/2006/relationships/hyperlink" Id="rId23" Target="../quellen.html#hinweise-zur-aktualit&#228;t" TargetMode="External" /><Relationship Type="http://schemas.openxmlformats.org/officeDocument/2006/relationships/hyperlink" Id="rId130" Target="https://doi.org/10.6028/NIST.SP.800-61r3"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Resilienz als Organisationsfähigkeit</dc:title>
  <dc:creator>Prof. Dr. Dirk Loomans</dc:creator>
  <dc:language>de</dc:language>
  <cp:keywords/>
  <dcterms:created xsi:type="dcterms:W3CDTF">2026-10-29T12:45:33Z</dcterms:created>
  <dcterms:modified xsi:type="dcterms:W3CDTF">2026-10-29T12:45:33Z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subtitle">
    <vt:lpwstr>Vorlesungsskript · Sitzung 5 · Grundlagen der Resilienz</vt:lpwstr>
  </property>
  <property fmtid="{D5CDD505-2E9C-101B-9397-08002B2CF9AE}" pid="14" name="toc-title">
    <vt:lpwstr>Inhaltsverzeichnis</vt:lpwstr>
  </property>
</Properties>
</file>