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B4E" w:rsidRPr="002D795B" w:rsidRDefault="00A93037" w:rsidP="0041152A">
      <w:pPr>
        <w:pStyle w:val="Title"/>
      </w:pPr>
      <w:r w:rsidRPr="002D795B">
        <w:t xml:space="preserve">Diagnostic performance of left ventricular </w:t>
      </w:r>
      <w:r w:rsidRPr="0041152A">
        <w:t>mechanical</w:t>
      </w:r>
      <w:r w:rsidRPr="002D795B">
        <w:t xml:space="preserve"> </w:t>
      </w:r>
      <w:proofErr w:type="spellStart"/>
      <w:r w:rsidRPr="002D795B">
        <w:t>dyssynchrony</w:t>
      </w:r>
      <w:proofErr w:type="spellEnd"/>
      <w:r w:rsidRPr="002D795B">
        <w:t xml:space="preserve"> indices using CMR feature tracking</w:t>
      </w:r>
    </w:p>
    <w:p w:rsidR="00332B4E" w:rsidRPr="002D795B" w:rsidRDefault="00A93037" w:rsidP="0041152A">
      <w:pPr>
        <w:pStyle w:val="Author"/>
      </w:pPr>
      <w:r w:rsidRPr="002D795B">
        <w:t xml:space="preserve">Daniel E. Loewenstein MD, Björn </w:t>
      </w:r>
      <w:proofErr w:type="spellStart"/>
      <w:r w:rsidRPr="002D795B">
        <w:t>Wieslander</w:t>
      </w:r>
      <w:proofErr w:type="spellEnd"/>
      <w:r w:rsidRPr="002D795B">
        <w:t xml:space="preserve"> MD PhD, Einar Heiberg PhD, </w:t>
      </w:r>
      <w:r w:rsidR="00323328" w:rsidRPr="002D795B">
        <w:br/>
      </w:r>
      <w:r w:rsidRPr="002D795B">
        <w:t xml:space="preserve">Jimmy </w:t>
      </w:r>
      <w:proofErr w:type="spellStart"/>
      <w:r w:rsidRPr="002D795B">
        <w:t>Axelsson</w:t>
      </w:r>
      <w:proofErr w:type="spellEnd"/>
      <w:r w:rsidRPr="002D795B">
        <w:t xml:space="preserve"> MD, Igor Klem MD, Robin Nijveldt MD PhD, Erik B. Schelbert MSc MD, Peder Sörensson MD PhD, Andreas Sigfridsson PhD, David G. Strauss MD PhD, </w:t>
      </w:r>
      <w:r w:rsidR="00155D57">
        <w:br/>
      </w:r>
      <w:r w:rsidRPr="002D795B">
        <w:t xml:space="preserve">Brett D. Atwater MD, Martin </w:t>
      </w:r>
      <w:proofErr w:type="spellStart"/>
      <w:r w:rsidRPr="0041152A">
        <w:t>Ugander</w:t>
      </w:r>
      <w:proofErr w:type="spellEnd"/>
      <w:r w:rsidRPr="002D795B">
        <w:t xml:space="preserve"> MD PhD</w:t>
      </w:r>
    </w:p>
    <w:p w:rsidR="00332B4E" w:rsidRPr="002D795B" w:rsidRDefault="00A93037" w:rsidP="0041152A">
      <w:pPr>
        <w:pStyle w:val="Date"/>
      </w:pPr>
      <w:r w:rsidRPr="002D795B">
        <w:t>2019-11-05</w:t>
      </w:r>
    </w:p>
    <w:p w:rsidR="002D795B" w:rsidRDefault="002D795B" w:rsidP="0041152A">
      <w:pPr>
        <w:spacing w:line="480" w:lineRule="auto"/>
        <w:rPr>
          <w:rFonts w:asciiTheme="majorHAnsi" w:eastAsiaTheme="majorEastAsia" w:hAnsiTheme="majorHAnsi" w:cstheme="majorBidi"/>
          <w:b/>
          <w:bCs/>
          <w:color w:val="345A8A" w:themeColor="accent1" w:themeShade="B5"/>
          <w:sz w:val="32"/>
          <w:szCs w:val="32"/>
        </w:rPr>
      </w:pPr>
      <w:bookmarkStart w:id="0" w:name="abstract"/>
      <w:r>
        <w:br w:type="page"/>
      </w:r>
    </w:p>
    <w:p w:rsidR="00332B4E" w:rsidRPr="0041152A" w:rsidRDefault="00A93037" w:rsidP="0041152A">
      <w:pPr>
        <w:pStyle w:val="Heading1"/>
      </w:pPr>
      <w:r w:rsidRPr="0041152A">
        <w:lastRenderedPageBreak/>
        <w:t>Abstract</w:t>
      </w:r>
      <w:bookmarkEnd w:id="0"/>
    </w:p>
    <w:p w:rsidR="0041152A" w:rsidRPr="0041152A" w:rsidRDefault="00A93037" w:rsidP="0041152A">
      <w:pPr>
        <w:pStyle w:val="FirstParagraph"/>
      </w:pPr>
      <w:r w:rsidRPr="0041152A">
        <w:t xml:space="preserve">Background: Cardiac imaging-based indices of left ventricular (LV) mechanical </w:t>
      </w:r>
      <w:proofErr w:type="spellStart"/>
      <w:r w:rsidRPr="0041152A">
        <w:t>dyssynchrony</w:t>
      </w:r>
      <w:proofErr w:type="spellEnd"/>
      <w:r w:rsidRPr="0041152A">
        <w:t xml:space="preserve"> have failed at accurately predicting response to cardiac resynchronization therapy (CRT). The aim of the study was to evaluate the diagnostic performance of mechanical </w:t>
      </w:r>
      <w:proofErr w:type="spellStart"/>
      <w:r w:rsidRPr="0041152A">
        <w:t>dyssynchrony</w:t>
      </w:r>
      <w:proofErr w:type="spellEnd"/>
      <w:r w:rsidRPr="0041152A">
        <w:t xml:space="preserve"> indices in a study population of patients with severely reduced ejection fraction and no LV myocardial scar assessed by cardiovascular magnetic resonance (CMR), and either left bundle branch block (LBBB) or normal QRS duration.</w:t>
      </w:r>
      <w:r w:rsidR="001F4FA4" w:rsidRPr="0041152A">
        <w:t xml:space="preserve"> </w:t>
      </w:r>
      <w:r w:rsidRPr="0041152A">
        <w:t xml:space="preserve">Methods: We retrospectively identified 80 patients from three centers, with LV ejection fraction </w:t>
      </w:r>
      <m:oMath>
        <m:r>
          <m:rPr>
            <m:nor/>
          </m:rPr>
          <m:t>≤35</m:t>
        </m:r>
      </m:oMath>
      <w:r w:rsidRPr="0041152A">
        <w:t>%, no scar by CMR late gadolinium enhancement, and either normal electrocardiographic QRS duration (</w:t>
      </w:r>
      <m:oMath>
        <m:r>
          <m:rPr>
            <m:nor/>
          </m:rPr>
          <m:t>&lt;120</m:t>
        </m:r>
      </m:oMath>
      <w:r w:rsidRPr="0041152A">
        <w:t xml:space="preserve">ms) and normal frontal plane electrical axis (-30 to +90 degrees) (control, n=36) or LBBB by Strauss’ criteria (LBBB, n=44). CMR feature tracking was used to derive circumferential strain in a midventricular short-axis cine image. Using circumferential strain, mechanical </w:t>
      </w:r>
      <w:proofErr w:type="spellStart"/>
      <w:r w:rsidRPr="0041152A">
        <w:t>dyssynchrony</w:t>
      </w:r>
      <w:proofErr w:type="spellEnd"/>
      <w:r w:rsidRPr="0041152A">
        <w:t xml:space="preserve"> was quantified as the circumferential uniformity ratio estimate (CURE) and the systolic stretch index (SSI), respectively.</w:t>
      </w:r>
      <w:r w:rsidR="0041152A" w:rsidRPr="0041152A">
        <w:t xml:space="preserve"> </w:t>
      </w:r>
      <w:r w:rsidRPr="0041152A">
        <w:t xml:space="preserve">Results: Both CURE and SSI resulted in measures of mechanical </w:t>
      </w:r>
      <w:proofErr w:type="spellStart"/>
      <w:r w:rsidRPr="0041152A">
        <w:t>dyssynchrony</w:t>
      </w:r>
      <w:proofErr w:type="spellEnd"/>
      <w:r w:rsidRPr="0041152A">
        <w:t xml:space="preserve"> that were more severe (lower CURE, higher SSI) in LBBB compared to controls (CURE 0.63 [0.54, 0.75] vs 0.79 [0.69, 0.86], p&lt;0.001; SSI 9.4 [7.4, 12.7] vs 2.2 [1.2, 3.6], p&lt;0.001). SSI outperformed CURE in the ability to discriminate between LBBB and controls (area under receiver operating characteristics curve [95% confidence interval] 0.98 [95% CI: 0.95, 1.00] vs 0.77 [95% CI: 0.65, 0.87]; p&lt;0.001; sensitivity 93 [95% CI: 84, 100] vs 75 [95% CI: 61, 86] %, p=0.02; specificity 97 [95% CI: 92, 100] vs 67 [95% CI: 50, 81] %, p=0.003.</w:t>
      </w:r>
      <w:r w:rsidR="0041152A" w:rsidRPr="0041152A">
        <w:t xml:space="preserve"> </w:t>
      </w:r>
      <w:r w:rsidRPr="0041152A">
        <w:t xml:space="preserve">Conclusions: The ability to discriminate between LBBB and normal QRS duration among patients with severely reduced ejection fraction and no scar was fair for CURE and excellent for SSI. When developing and evaluating indices aimed at accurately identifying mechanical </w:t>
      </w:r>
      <w:proofErr w:type="spellStart"/>
      <w:r w:rsidRPr="0041152A">
        <w:t>dyssynchrony</w:t>
      </w:r>
      <w:proofErr w:type="spellEnd"/>
      <w:r w:rsidRPr="0041152A">
        <w:t xml:space="preserve"> amenable to </w:t>
      </w:r>
      <w:r w:rsidRPr="0041152A">
        <w:lastRenderedPageBreak/>
        <w:t>CRT, it is important to also evaluate the performance of a proposed index in control subjects with normal QRS duration, severely reduced ejection fraction, and the absence of myocardial scar.</w:t>
      </w:r>
    </w:p>
    <w:p w:rsidR="00332B4E" w:rsidRPr="0041152A" w:rsidRDefault="0041152A" w:rsidP="0041152A">
      <w:pPr>
        <w:pStyle w:val="BodyText"/>
      </w:pPr>
      <w:r>
        <w:br w:type="page"/>
      </w:r>
    </w:p>
    <w:p w:rsidR="00332B4E" w:rsidRPr="0041152A" w:rsidRDefault="00A93037" w:rsidP="0041152A">
      <w:pPr>
        <w:pStyle w:val="Heading1"/>
      </w:pPr>
      <w:bookmarkStart w:id="1" w:name="background"/>
      <w:r w:rsidRPr="0041152A">
        <w:lastRenderedPageBreak/>
        <w:t>Background</w:t>
      </w:r>
      <w:bookmarkEnd w:id="1"/>
    </w:p>
    <w:p w:rsidR="00332B4E" w:rsidRPr="0041152A" w:rsidRDefault="00A93037" w:rsidP="0041152A">
      <w:pPr>
        <w:pStyle w:val="FirstParagraph"/>
      </w:pPr>
      <w:r w:rsidRPr="0041152A">
        <w:t xml:space="preserve">Cardiac resynchronization therapy (CRT), also referred to as biventricular pacing has proven to be a treatment capable of inducing reverse remodeling, improving symptoms, and reducing mortality in well-selected heart failure (HF) patients (1). However, a nonresponse rate of 30-40% is still observed (2), indicating a need for further refinement of current criteria for selecting patients to undergo CRT. Left ventricular (LV) </w:t>
      </w:r>
      <w:proofErr w:type="spellStart"/>
      <w:r w:rsidRPr="0041152A">
        <w:t>dyssynchrony</w:t>
      </w:r>
      <w:proofErr w:type="spellEnd"/>
      <w:r w:rsidRPr="0041152A">
        <w:t xml:space="preserve"> is a discoordination of </w:t>
      </w:r>
      <w:proofErr w:type="spellStart"/>
      <w:r w:rsidRPr="0041152A">
        <w:t>intraventriular</w:t>
      </w:r>
      <w:proofErr w:type="spellEnd"/>
      <w:r w:rsidRPr="0041152A">
        <w:t xml:space="preserve"> regional mechanical LV activation. Mechanical </w:t>
      </w:r>
      <w:proofErr w:type="spellStart"/>
      <w:r w:rsidRPr="0041152A">
        <w:t>dyssynchrony</w:t>
      </w:r>
      <w:proofErr w:type="spellEnd"/>
      <w:r w:rsidRPr="0041152A">
        <w:t xml:space="preserve"> has been proposed as one of the principal therapeutic targets of CRT (3). As such, mechanical </w:t>
      </w:r>
      <w:proofErr w:type="spellStart"/>
      <w:r w:rsidRPr="0041152A">
        <w:t>dyssynchrony</w:t>
      </w:r>
      <w:proofErr w:type="spellEnd"/>
      <w:r w:rsidRPr="0041152A">
        <w:t xml:space="preserve"> makes for a potential predictor of CRT response.</w:t>
      </w:r>
    </w:p>
    <w:p w:rsidR="00332B4E" w:rsidRDefault="00A93037">
      <w:pPr>
        <w:pStyle w:val="BodyText"/>
      </w:pPr>
      <w:r>
        <w:t>Cardiovascular magnetic resonance (CMR) feature tracking has been used to characterize mechanical features in patients with left bundle branch block (LBBB) compared to healthy controls (4). Both the COMPANION, REVERSE, and MADIT-CRT trials demonstrated that patients with LBBB derived greater benefit from CRT compared to those without (5–7). Furthermore, positive response and “super-response” to CRT have to an even greater extent been found to be associated with a strict LBBB, as defined by Strauss et al. (8), when compared to LBBB defined by conventional criteria (9,10)</w:t>
      </w:r>
    </w:p>
    <w:p w:rsidR="00332B4E" w:rsidRDefault="00A93037">
      <w:pPr>
        <w:pStyle w:val="BodyText"/>
      </w:pPr>
      <w:r>
        <w:t xml:space="preserve">Abnormalities of regional myocardial mechanics are often caused by focal myocardial fibrosis, also referred to as scar (11). Myocardial scarring has been found to be negatively associated with CRT response (12–15). Indices of mechanical dyssynchrony are often derived from measurements of cardiac deformation, e.g strain. Strain measurements have been found to be greatly affected by the presence of myocardial scar (16–18) or myocardial oedema (17,18). Importantly, the failure of most indices of mechanical dyssynchrony can be attributed to a lack of specificity (19). Consequently, the goal of dyssynchrony analysis should be detection of a </w:t>
      </w:r>
      <w:r>
        <w:lastRenderedPageBreak/>
        <w:t>mechanical dyssynchrony pattern amenable to CRT, and not the detection of mechanical dyssynchrony per se (19). Information about mechanical dyssynchrony characteristics in patients with a high likelihood of CRT response, while at the same time controlling for concomitant pathology, e.g myocardial scar, is of great interest in identifying predictors of CRT response. However, information about this is scarce.</w:t>
      </w:r>
    </w:p>
    <w:p w:rsidR="00332B4E" w:rsidRDefault="00A93037">
      <w:pPr>
        <w:pStyle w:val="BodyText"/>
      </w:pPr>
      <w:r>
        <w:t xml:space="preserve">Therefore, the aim of this study was to investigate mechanical dyssynchrony characteristics of patients with strict LBBB and controls that both had a left ventricular ejection fraction </w:t>
      </w:r>
      <m:oMath>
        <m:r>
          <m:rPr>
            <m:nor/>
          </m:rPr>
          <w:rPr>
            <w:rFonts w:ascii="Cambria Math" w:hAnsi="Cambria Math"/>
          </w:rPr>
          <m:t>≤35%</m:t>
        </m:r>
      </m:oMath>
      <w:r>
        <w:t xml:space="preserve"> and were completely free from myocardial scar assessed by CMR late gadolinium enhancement (LGE).</w:t>
      </w:r>
    </w:p>
    <w:p w:rsidR="00332B4E" w:rsidRPr="0041152A" w:rsidRDefault="00A93037" w:rsidP="0041152A">
      <w:pPr>
        <w:pStyle w:val="Heading1"/>
      </w:pPr>
      <w:bookmarkStart w:id="2" w:name="methods"/>
      <w:r w:rsidRPr="0041152A">
        <w:t>Methods</w:t>
      </w:r>
      <w:bookmarkEnd w:id="2"/>
    </w:p>
    <w:p w:rsidR="00332B4E" w:rsidRPr="0041152A" w:rsidRDefault="00A93037" w:rsidP="0041152A">
      <w:pPr>
        <w:pStyle w:val="FirstParagraph"/>
      </w:pPr>
      <w:r w:rsidRPr="0041152A">
        <w:t>This is an observational case-control study where patients were retrospectively identified by cross-referencing the CMR and electrocardiography (ECG) databases from three centers (Duke University Medical Center, NC, USA; Pittsburgh University Medical Center, PA, USA; and Karolinska University Hospital, Stockholm, Sweden). The study was approved by the respective local human subject research ethics committees, and all subjects either provided written informed consent or there was a retrospective waiver of informed consent provided by the local ethics committee.</w:t>
      </w:r>
    </w:p>
    <w:p w:rsidR="00332B4E" w:rsidRDefault="00A93037">
      <w:pPr>
        <w:pStyle w:val="Heading2"/>
      </w:pPr>
      <w:bookmarkStart w:id="3" w:name="patient-selection"/>
      <w:r>
        <w:t>Patient selection</w:t>
      </w:r>
      <w:bookmarkEnd w:id="3"/>
    </w:p>
    <w:p w:rsidR="00332B4E" w:rsidRPr="0041152A" w:rsidRDefault="00A93037" w:rsidP="0041152A">
      <w:pPr>
        <w:pStyle w:val="FirstParagraph"/>
      </w:pPr>
      <w:r w:rsidRPr="0041152A">
        <w:t xml:space="preserve">Patients considered for inclusion in the present study had to have a LV ejection fraction </w:t>
      </w:r>
      <m:oMath>
        <m:r>
          <m:rPr>
            <m:nor/>
          </m:rPr>
          <m:t>≤35%</m:t>
        </m:r>
      </m:oMath>
      <w:r w:rsidRPr="0041152A">
        <w:t>, no scar by CMR late gadolinium enhancement (LGE), CMR cine images in a LV short-axis stack, and either normal ECG QRS duration (</w:t>
      </w:r>
      <m:oMath>
        <m:r>
          <m:rPr>
            <m:nor/>
          </m:rPr>
          <m:t>&lt;120</m:t>
        </m:r>
      </m:oMath>
      <w:r w:rsidRPr="0041152A">
        <w:t xml:space="preserve"> </w:t>
      </w:r>
      <w:proofErr w:type="spellStart"/>
      <w:r w:rsidRPr="0041152A">
        <w:t>ms</w:t>
      </w:r>
      <w:proofErr w:type="spellEnd"/>
      <w:r w:rsidRPr="0041152A">
        <w:t xml:space="preserve">) and frontal plane electrical axis (-30 to +90 degrees, controls, n=36), or LBBB (n=44) defined by Strauss’ strict ECG criteria, defined as </w:t>
      </w:r>
      <w:r w:rsidRPr="0041152A">
        <w:lastRenderedPageBreak/>
        <w:t xml:space="preserve">a terminal negative deflection in lead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Pr="0041152A">
        <w:t xml:space="preserve"> and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Pr="0041152A">
        <w:t xml:space="preserve"> (QS or rS configuration), a QRS duration </w:t>
      </w:r>
      <m:oMath>
        <m:r>
          <m:rPr>
            <m:nor/>
          </m:rPr>
          <m:t>≥140</m:t>
        </m:r>
        <m:r>
          <m:rPr>
            <m:sty m:val="p"/>
          </m:rPr>
          <w:rPr>
            <w:rFonts w:ascii="Cambria Math" w:hAnsi="Cambria Math"/>
          </w:rPr>
          <m:t> </m:t>
        </m:r>
        <m:r>
          <w:rPr>
            <w:rFonts w:ascii="Cambria Math" w:hAnsi="Cambria Math"/>
          </w:rPr>
          <m:t>ms</m:t>
        </m:r>
      </m:oMath>
      <w:r w:rsidRPr="0041152A">
        <w:t xml:space="preserve"> for men and </w:t>
      </w:r>
      <m:oMath>
        <m:r>
          <m:rPr>
            <m:nor/>
          </m:rPr>
          <m:t>≥</m:t>
        </m:r>
        <m:r>
          <m:rPr>
            <m:sty m:val="p"/>
          </m:rPr>
          <w:rPr>
            <w:rFonts w:ascii="Cambria Math" w:hAnsi="Cambria Math"/>
          </w:rPr>
          <m:t>130 </m:t>
        </m:r>
        <m:r>
          <w:rPr>
            <w:rFonts w:ascii="Cambria Math" w:hAnsi="Cambria Math"/>
          </w:rPr>
          <m:t>ms</m:t>
        </m:r>
      </m:oMath>
      <w:r w:rsidRPr="0041152A">
        <w:t xml:space="preserve"> for women, and the presence of mid-QRS notching or slurring </w:t>
      </w:r>
      <m:oMath>
        <m:r>
          <m:rPr>
            <m:nor/>
          </m:rPr>
          <m:t>≥2</m:t>
        </m:r>
      </m:oMath>
      <w:r w:rsidRPr="0041152A">
        <w:t xml:space="preserve"> of leads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V</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V</m:t>
            </m:r>
          </m:e>
          <m:sub>
            <m:r>
              <m:rPr>
                <m:sty m:val="p"/>
              </m:rPr>
              <w:rPr>
                <w:rFonts w:ascii="Cambria Math" w:hAnsi="Cambria Math"/>
              </w:rPr>
              <m:t>6</m:t>
            </m:r>
          </m:sub>
        </m:sSub>
        <m:r>
          <m:rPr>
            <m:sty m:val="p"/>
          </m:rPr>
          <w:rPr>
            <w:rFonts w:ascii="Cambria Math" w:hAnsi="Cambria Math"/>
          </w:rPr>
          <m:t>, </m:t>
        </m:r>
        <m:r>
          <m:rPr>
            <m:nor/>
          </m:rPr>
          <m:t>I and aVL</m:t>
        </m:r>
      </m:oMath>
      <w:r w:rsidRPr="0041152A">
        <w:t xml:space="preserve"> (8). Reasons for exclusion were a history of congenital heart disease, CMR evidence of myocardial storage disease, atrial fibrillation, prior </w:t>
      </w:r>
      <w:proofErr w:type="gramStart"/>
      <w:r w:rsidRPr="0041152A">
        <w:t>open heart</w:t>
      </w:r>
      <w:proofErr w:type="gramEnd"/>
      <w:r w:rsidRPr="0041152A">
        <w:t xml:space="preserve"> surgery, or LV septal wall flattening, indicative of clinically significant pulmonary hypertension. The following baseline characteristics were collected: age, sex, height, weight, body surface area (BSA), body mass index (BMI), and CMR measures of LV volumes, function and mass. Among the patients who met the inclusion criteria (n=88), patients were excluded due to having takotsubo cardiomyopathy (n=1), atrial fibrillation discovered at time of feature tracking analysis (n=1), CMR cine images of only systolic part of cardiac cycle (n=1), missing or insufficient number of diagnostic quality CMR cine images (n=4), or missing informed consent (n=1). As a result, the final study group included 80 patients.</w:t>
      </w:r>
    </w:p>
    <w:p w:rsidR="00332B4E" w:rsidRDefault="00A93037">
      <w:pPr>
        <w:pStyle w:val="Heading2"/>
      </w:pPr>
      <w:bookmarkStart w:id="4" w:name="cmr-image-acquisition"/>
      <w:r>
        <w:t>CMR image acquisition</w:t>
      </w:r>
      <w:bookmarkEnd w:id="4"/>
    </w:p>
    <w:p w:rsidR="00332B4E" w:rsidRPr="0041152A" w:rsidRDefault="00A93037" w:rsidP="0041152A">
      <w:pPr>
        <w:pStyle w:val="FirstParagraph"/>
      </w:pPr>
      <w:r w:rsidRPr="0041152A">
        <w:t xml:space="preserve">All imaging was performed with clinically available scanners at the respective centers. Scanners included 3T (Siemens </w:t>
      </w:r>
      <w:proofErr w:type="spellStart"/>
      <w:r w:rsidRPr="0041152A">
        <w:t>Verio</w:t>
      </w:r>
      <w:proofErr w:type="spellEnd"/>
      <w:r w:rsidRPr="0041152A">
        <w:t xml:space="preserve">, Erlangen, Germany) and 1.5T systems (Siemens </w:t>
      </w:r>
      <w:proofErr w:type="spellStart"/>
      <w:r w:rsidRPr="0041152A">
        <w:t>Avanto</w:t>
      </w:r>
      <w:proofErr w:type="spellEnd"/>
      <w:r w:rsidRPr="0041152A">
        <w:t xml:space="preserve">, </w:t>
      </w:r>
      <w:proofErr w:type="spellStart"/>
      <w:r w:rsidRPr="0041152A">
        <w:t>Espree</w:t>
      </w:r>
      <w:proofErr w:type="spellEnd"/>
      <w:r w:rsidRPr="0041152A">
        <w:t xml:space="preserve"> or Aera, Erlangen, Germany, or Philips </w:t>
      </w:r>
      <w:proofErr w:type="spellStart"/>
      <w:proofErr w:type="gramStart"/>
      <w:r w:rsidRPr="0041152A">
        <w:t>Intera</w:t>
      </w:r>
      <w:proofErr w:type="spellEnd"/>
      <w:r w:rsidRPr="0041152A">
        <w:t xml:space="preserve"> ,</w:t>
      </w:r>
      <w:proofErr w:type="gramEnd"/>
      <w:r w:rsidRPr="0041152A">
        <w:t xml:space="preserve"> Best, the Netherlands), all using ECG gating and phased-array receiver coils. Typical acquisition parameters for cine images were: repetition time 43.54ms, echo time 1.22ms, flip angle 60 degrees, matrix 190 x 190, slice thickness 6 mm, and temporal resolution 24 frames per cardiac cycle. Clinical reports of cardiac viability assessment were reviewed for mention of any myocardial scar by LGE.</w:t>
      </w:r>
    </w:p>
    <w:p w:rsidR="00332B4E" w:rsidRDefault="00A93037">
      <w:pPr>
        <w:pStyle w:val="Heading2"/>
      </w:pPr>
      <w:bookmarkStart w:id="5" w:name="image-and-strain-analysis"/>
      <w:r>
        <w:t>Image and strain analysis</w:t>
      </w:r>
      <w:bookmarkEnd w:id="5"/>
    </w:p>
    <w:p w:rsidR="00332B4E" w:rsidRPr="0041152A" w:rsidRDefault="00A93037" w:rsidP="0041152A">
      <w:pPr>
        <w:pStyle w:val="FirstParagraph"/>
      </w:pPr>
      <w:r w:rsidRPr="0041152A">
        <w:t xml:space="preserve">Cine CMR images exported in the digital imaging and communications in medicine (DICOM) format were used for offline myocardial strain analysis performed by a single observer (DEL) </w:t>
      </w:r>
      <w:r w:rsidRPr="0041152A">
        <w:lastRenderedPageBreak/>
        <w:t xml:space="preserve">using commercially available software for CMR feature tracking (Segment version 2.2 R6960) </w:t>
      </w:r>
      <w:proofErr w:type="spellStart"/>
      <w:r w:rsidRPr="0041152A">
        <w:t>Medviso</w:t>
      </w:r>
      <w:proofErr w:type="spellEnd"/>
      <w:r w:rsidRPr="0041152A">
        <w:t xml:space="preserve">, Lund, Sweden) (20). All analysis was performed blinded to ECG classification. Endocardial and epicardial borders, excluding papillary muscles and trabeculations, were manually delineated in the end-diastolic reference timeframe. The end-diastolic reference timeframe was set to the timeframe immediately following halting of the counterclockwise (as viewed from the apex) movement and lengthening performed by the LV during diastole. This was due to observation of an </w:t>
      </w:r>
      <w:proofErr w:type="gramStart"/>
      <w:r w:rsidRPr="0041152A">
        <w:t>often delayed</w:t>
      </w:r>
      <w:proofErr w:type="gramEnd"/>
      <w:r w:rsidRPr="0041152A">
        <w:t xml:space="preserve"> closure of the mitral valve, otherwise commonly used as end-diastolic reference. The delineation was performed in a single midventricular short-axis slice. A non-rigid elastic registration strategy is used by the software to measure myocardial strain over time. In short, inter-frame deformation fields are found by warping one image to the next in the cine sequence. The deformations field is found through an iterative process, during which, regularization is performed by the addition of a smoothness penalty. This process uses the entire image, as compared to only tracking the endo- and epicardial borders. The resulting maps describe the difference between consecutive images. The software then automatically propagates the delineated endo- and epicardial borders throughout the cardiac cycle. For regional strain assessment, the area encompassed by the endo- and epicardial borders is segmented in to regions of interest according to the American Heart Association 17-segment model. In short-axis images, the location of regional segments </w:t>
      </w:r>
      <w:r w:rsidR="0041152A" w:rsidRPr="0041152A">
        <w:t>is</w:t>
      </w:r>
      <w:r w:rsidRPr="0041152A">
        <w:t xml:space="preserve"> determined using an angle relative to the right anterior insertion point. Circumferential strain is evaluated from the </w:t>
      </w:r>
      <w:proofErr w:type="spellStart"/>
      <w:r w:rsidRPr="0041152A">
        <w:t>Lagrangian</w:t>
      </w:r>
      <w:proofErr w:type="spellEnd"/>
      <w:r w:rsidRPr="0041152A">
        <w:t xml:space="preserve"> strain tensor between adjacent points. Mechanical </w:t>
      </w:r>
      <w:proofErr w:type="spellStart"/>
      <w:r w:rsidRPr="0041152A">
        <w:t>dyssynchrony</w:t>
      </w:r>
      <w:proofErr w:type="spellEnd"/>
      <w:r w:rsidRPr="0041152A">
        <w:t xml:space="preserve"> was quantified using the circumferential uniformity ratio estimate (CURE) (22) and the systolic stretch index (SSI) (25,26). In short, CURE is derived from </w:t>
      </w:r>
      <w:r w:rsidR="0041152A" w:rsidRPr="0041152A">
        <w:t>Fourier</w:t>
      </w:r>
      <w:r w:rsidRPr="0041152A">
        <w:t xml:space="preserve"> transformation of the spatial distribution of strain from myocardial segments averaged over the number of short axis slices. CURE is then calculated as</w:t>
      </w:r>
    </w:p>
    <w:p w:rsidR="00332B4E" w:rsidRDefault="00A93037">
      <w:pPr>
        <w:pStyle w:val="BodyText"/>
      </w:pPr>
      <m:oMathPara>
        <m:oMathParaPr>
          <m:jc m:val="center"/>
        </m:oMathParaPr>
        <m:oMath>
          <m:r>
            <w:rPr>
              <w:rFonts w:ascii="Cambria Math" w:hAnsi="Cambria Math"/>
            </w:rPr>
            <w:lastRenderedPageBreak/>
            <m:t>CURE=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ad>
                <m:radPr>
                  <m:degHide m:val="1"/>
                  <m:ctrlPr>
                    <w:rPr>
                      <w:rFonts w:ascii="Cambria Math" w:hAnsi="Cambria Math"/>
                    </w:rPr>
                  </m:ctrlPr>
                </m:radPr>
                <m:deg/>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(t)</m:t>
                      </m:r>
                    </m:den>
                  </m:f>
                </m:e>
              </m:rad>
            </m:e>
          </m:nary>
        </m:oMath>
      </m:oMathPara>
    </w:p>
    <w:p w:rsidR="00332B4E" w:rsidRPr="0041152A" w:rsidRDefault="00A93037" w:rsidP="0041152A">
      <w:pPr>
        <w:pStyle w:val="FirstParagraph"/>
      </w:pPr>
      <w:r w:rsidRPr="0041152A">
        <w:t xml:space="preserve">where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oMath>
      <w:r w:rsidRPr="0041152A">
        <w:t xml:space="preserve"> is the zero order, and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41152A">
        <w:t xml:space="preserve"> is the first order term in the fourier transformation, and </w:t>
      </w:r>
      <m:oMath>
        <m:r>
          <w:rPr>
            <w:rFonts w:ascii="Cambria Math" w:hAnsi="Cambria Math"/>
          </w:rPr>
          <m:t>n</m:t>
        </m:r>
      </m:oMath>
      <w:r w:rsidRPr="0041152A">
        <w:t xml:space="preserve"> is the number of timeframes covering the cardiac cycle. CURE ranges between 0 (perfect </w:t>
      </w:r>
      <w:proofErr w:type="spellStart"/>
      <w:r w:rsidRPr="0041152A">
        <w:t>dyssynchrony</w:t>
      </w:r>
      <w:proofErr w:type="spellEnd"/>
      <w:r w:rsidRPr="0041152A">
        <w:t>) and 1 (perfect synchrony). SSI was originally developed through computer simulations (26), and later presented in slightly simplified version (25</w:t>
      </w:r>
      <w:proofErr w:type="gramStart"/>
      <w:r w:rsidRPr="0041152A">
        <w:t>), and</w:t>
      </w:r>
      <w:proofErr w:type="gramEnd"/>
      <w:r w:rsidRPr="0041152A">
        <w:t xml:space="preserve"> is calculated as the sum of LV lateral wall systolic pre-stretch (SPS) and septal rebound stretch (SRS).</w:t>
      </w:r>
    </w:p>
    <w:p w:rsidR="00332B4E" w:rsidRDefault="00A93037">
      <w:pPr>
        <w:pStyle w:val="BodyText"/>
      </w:pPr>
      <m:oMathPara>
        <m:oMathParaPr>
          <m:jc m:val="center"/>
        </m:oMathParaPr>
        <m:oMath>
          <m:r>
            <w:rPr>
              <w:rFonts w:ascii="Cambria Math" w:hAnsi="Cambria Math"/>
            </w:rPr>
            <m:t>SSI=</m:t>
          </m:r>
          <m:f>
            <m:fPr>
              <m:ctrlPr>
                <w:rPr>
                  <w:rFonts w:ascii="Cambria Math" w:hAnsi="Cambria Math"/>
                </w:rPr>
              </m:ctrlPr>
            </m:fPr>
            <m:num>
              <m:r>
                <w:rPr>
                  <w:rFonts w:ascii="Cambria Math" w:hAnsi="Cambria Math"/>
                </w:rPr>
                <m:t>SP</m:t>
              </m:r>
              <m:sSub>
                <m:sSubPr>
                  <m:ctrlPr>
                    <w:rPr>
                      <w:rFonts w:ascii="Cambria Math" w:hAnsi="Cambria Math"/>
                    </w:rPr>
                  </m:ctrlPr>
                </m:sSubPr>
                <m:e>
                  <m:r>
                    <w:rPr>
                      <w:rFonts w:ascii="Cambria Math" w:hAnsi="Cambria Math"/>
                    </w:rPr>
                    <m:t>S</m:t>
                  </m:r>
                </m:e>
                <m:sub>
                  <m:r>
                    <w:rPr>
                      <w:rFonts w:ascii="Cambria Math" w:hAnsi="Cambria Math"/>
                    </w:rPr>
                    <m:t>antlat</m:t>
                  </m:r>
                </m:sub>
              </m:sSub>
              <m:r>
                <w:rPr>
                  <w:rFonts w:ascii="Cambria Math" w:hAnsi="Cambria Math"/>
                </w:rPr>
                <m:t>+SP</m:t>
              </m:r>
              <m:sSub>
                <m:sSubPr>
                  <m:ctrlPr>
                    <w:rPr>
                      <w:rFonts w:ascii="Cambria Math" w:hAnsi="Cambria Math"/>
                    </w:rPr>
                  </m:ctrlPr>
                </m:sSubPr>
                <m:e>
                  <m:r>
                    <w:rPr>
                      <w:rFonts w:ascii="Cambria Math" w:hAnsi="Cambria Math"/>
                    </w:rPr>
                    <m:t>S</m:t>
                  </m:r>
                </m:e>
                <m:sub>
                  <m:r>
                    <w:rPr>
                      <w:rFonts w:ascii="Cambria Math" w:hAnsi="Cambria Math"/>
                    </w:rPr>
                    <m:t>inflat</m:t>
                  </m:r>
                </m:sub>
              </m:sSub>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SR</m:t>
              </m:r>
              <m:sSub>
                <m:sSubPr>
                  <m:ctrlPr>
                    <w:rPr>
                      <w:rFonts w:ascii="Cambria Math" w:hAnsi="Cambria Math"/>
                    </w:rPr>
                  </m:ctrlPr>
                </m:sSubPr>
                <m:e>
                  <m:r>
                    <w:rPr>
                      <w:rFonts w:ascii="Cambria Math" w:hAnsi="Cambria Math"/>
                    </w:rPr>
                    <m:t>S</m:t>
                  </m:r>
                </m:e>
                <m:sub>
                  <m:r>
                    <w:rPr>
                      <w:rFonts w:ascii="Cambria Math" w:hAnsi="Cambria Math"/>
                    </w:rPr>
                    <m:t>antsept</m:t>
                  </m:r>
                </m:sub>
              </m:sSub>
              <m:r>
                <w:rPr>
                  <w:rFonts w:ascii="Cambria Math" w:hAnsi="Cambria Math"/>
                </w:rPr>
                <m:t>+SR</m:t>
              </m:r>
              <m:sSub>
                <m:sSubPr>
                  <m:ctrlPr>
                    <w:rPr>
                      <w:rFonts w:ascii="Cambria Math" w:hAnsi="Cambria Math"/>
                    </w:rPr>
                  </m:ctrlPr>
                </m:sSubPr>
                <m:e>
                  <m:r>
                    <w:rPr>
                      <w:rFonts w:ascii="Cambria Math" w:hAnsi="Cambria Math"/>
                    </w:rPr>
                    <m:t>S</m:t>
                  </m:r>
                </m:e>
                <m:sub>
                  <m:r>
                    <w:rPr>
                      <w:rFonts w:ascii="Cambria Math" w:hAnsi="Cambria Math"/>
                    </w:rPr>
                    <m:t>infsept</m:t>
                  </m:r>
                </m:sub>
              </m:sSub>
            </m:num>
            <m:den>
              <m:r>
                <w:rPr>
                  <w:rFonts w:ascii="Cambria Math" w:hAnsi="Cambria Math"/>
                </w:rPr>
                <m:t>2</m:t>
              </m:r>
            </m:den>
          </m:f>
        </m:oMath>
      </m:oMathPara>
    </w:p>
    <w:p w:rsidR="00332B4E" w:rsidRPr="0041152A" w:rsidRDefault="00A93037" w:rsidP="0041152A">
      <w:pPr>
        <w:pStyle w:val="FirstParagraph"/>
      </w:pPr>
      <w:r w:rsidRPr="0041152A">
        <w:t xml:space="preserve">Systolic pre-stretch is defined as the sum of LV lateral wall stretch before aortic valve opening, averaged over the anterolateral and inferolateral segment. Septal rebound stretch is defined as the sum of septal stretch following early systolic shortening and before aortic valve closure, averaged over the anteroseptal and </w:t>
      </w:r>
      <w:proofErr w:type="spellStart"/>
      <w:r w:rsidRPr="0041152A">
        <w:t>inferoseptal</w:t>
      </w:r>
      <w:proofErr w:type="spellEnd"/>
      <w:r w:rsidRPr="0041152A">
        <w:t xml:space="preserve"> segment.</w:t>
      </w:r>
    </w:p>
    <w:p w:rsidR="00332B4E" w:rsidRDefault="00A93037">
      <w:pPr>
        <w:pStyle w:val="Heading2"/>
      </w:pPr>
      <w:bookmarkStart w:id="6" w:name="statistical-analysis"/>
      <w:r>
        <w:t>Statistical analysis</w:t>
      </w:r>
      <w:bookmarkEnd w:id="6"/>
    </w:p>
    <w:p w:rsidR="00332B4E" w:rsidRPr="0041152A" w:rsidRDefault="00A93037" w:rsidP="0041152A">
      <w:pPr>
        <w:pStyle w:val="FirstParagraph"/>
      </w:pPr>
      <w:r w:rsidRPr="0041152A">
        <w:t xml:space="preserve">Categorical data are reported as number (percentages). Continuous variables are reported as median [first quartile, third quartile]. Stratified </w:t>
      </w:r>
      <w:r w:rsidR="0041152A" w:rsidRPr="0041152A">
        <w:t>bootstrapping</w:t>
      </w:r>
      <w:r w:rsidRPr="0041152A">
        <w:t xml:space="preserve"> with 4000 replicates was used to calculate the nonparametric 95% confidence interval (CI) for the difference in median </w:t>
      </w:r>
      <w:proofErr w:type="spellStart"/>
      <w:r w:rsidRPr="0041152A">
        <w:t>dyssynchrony</w:t>
      </w:r>
      <w:proofErr w:type="spellEnd"/>
      <w:r w:rsidRPr="0041152A">
        <w:t xml:space="preserve">. Univariable logistic regression models with LBBB status as dependent variable were fitted separately for the two </w:t>
      </w:r>
      <w:proofErr w:type="spellStart"/>
      <w:r w:rsidRPr="0041152A">
        <w:t>dyssynchrony</w:t>
      </w:r>
      <w:proofErr w:type="spellEnd"/>
      <w:r w:rsidRPr="0041152A">
        <w:t xml:space="preserve"> indices. Restricted cubic splines with knots placed at the 0.05, 0.5, and 0.95 quantiles were used to test for any apparent violations of log-linearity. The le </w:t>
      </w:r>
      <w:proofErr w:type="spellStart"/>
      <w:r w:rsidRPr="0041152A">
        <w:t>Cessie</w:t>
      </w:r>
      <w:proofErr w:type="spellEnd"/>
      <w:r w:rsidRPr="0041152A">
        <w:t xml:space="preserve">-van </w:t>
      </w:r>
      <w:proofErr w:type="spellStart"/>
      <w:r w:rsidRPr="0041152A">
        <w:t>Houwelingen</w:t>
      </w:r>
      <w:proofErr w:type="spellEnd"/>
      <w:r w:rsidRPr="0041152A">
        <w:t xml:space="preserve"> normal test statistic for the unweighted sum of squared errors was used for test of goodness-of-fit. Specificity, sensitivity, discriminatory performance, and cut-off values were derived from receiver-operating characteristics (ROC) analysis using the </w:t>
      </w:r>
      <w:r w:rsidRPr="0041152A">
        <w:lastRenderedPageBreak/>
        <w:t xml:space="preserve">Youden’s index. Multivariable linear regression models fit separately for each </w:t>
      </w:r>
      <w:proofErr w:type="spellStart"/>
      <w:r w:rsidRPr="0041152A">
        <w:t>dyssynchrony</w:t>
      </w:r>
      <w:proofErr w:type="spellEnd"/>
      <w:r w:rsidRPr="0041152A">
        <w:t xml:space="preserve"> index in LBBB, and controls respectively, were used to test for associations with covariates age, end-diastolic volume index (EDVI), LV mass index (LVMI),</w:t>
      </w:r>
      <w:r w:rsidR="0041152A">
        <w:t xml:space="preserve"> </w:t>
      </w:r>
      <w:r w:rsidRPr="0041152A">
        <w:t xml:space="preserve">and sex, indicating any need for covariate-adjusted, or covariate-specific ROC curves. Nonlinearities were entertained by use of </w:t>
      </w:r>
      <w:r w:rsidR="0041152A" w:rsidRPr="0041152A">
        <w:t>restricted</w:t>
      </w:r>
      <w:r w:rsidRPr="0041152A">
        <w:t xml:space="preserve"> cubic splines, as were interactions between EDVI, and LVMI with sex, respectively. Areas under the paired ROC curves were compared using nonparametric stratified bootstrapping using 4000 replicates. Bootstrapped CIs were calculated using the percentile method. A two-sided </w:t>
      </w:r>
      <m:oMath>
        <m:r>
          <w:rPr>
            <w:rFonts w:ascii="Cambria Math" w:hAnsi="Cambria Math"/>
          </w:rPr>
          <m:t>p</m:t>
        </m:r>
        <m:r>
          <m:rPr>
            <m:sty m:val="p"/>
          </m:rPr>
          <w:rPr>
            <w:rFonts w:ascii="Cambria Math" w:hAnsi="Cambria Math"/>
          </w:rPr>
          <m:t>&lt;0.05</m:t>
        </m:r>
      </m:oMath>
      <w:r w:rsidRPr="0041152A">
        <w:t xml:space="preserve"> was considered statistically significant. Secondary analysis of the linear correlation between </w:t>
      </w:r>
      <w:proofErr w:type="spellStart"/>
      <w:r w:rsidRPr="0041152A">
        <w:t>dyssynchrony</w:t>
      </w:r>
      <w:proofErr w:type="spellEnd"/>
      <w:r w:rsidRPr="0041152A">
        <w:t xml:space="preserve"> indices and QRS duration was exploratory and assed by Pearson’s correlation coefficient. Data processing and statistical analysis were performed in the R statistical programming environment 3.6.1 (27), using package </w:t>
      </w:r>
      <w:proofErr w:type="spellStart"/>
      <w:r w:rsidRPr="0041152A">
        <w:t>dplyr</w:t>
      </w:r>
      <w:proofErr w:type="spellEnd"/>
      <w:r w:rsidRPr="0041152A">
        <w:t xml:space="preserve"> 0.8.3 (28) for data transformation, ggplot2 3.2.1 (29) for graphical visualizations, </w:t>
      </w:r>
      <w:proofErr w:type="spellStart"/>
      <w:r w:rsidRPr="0041152A">
        <w:t>pROC</w:t>
      </w:r>
      <w:proofErr w:type="spellEnd"/>
      <w:r w:rsidRPr="0041152A">
        <w:t xml:space="preserve"> 1.15.3 (30) for ROC analysis, rms 5.1.3.1 for regression modeling, and </w:t>
      </w:r>
      <w:proofErr w:type="spellStart"/>
      <w:r w:rsidRPr="0041152A">
        <w:t>knitr</w:t>
      </w:r>
      <w:proofErr w:type="spellEnd"/>
      <w:r w:rsidRPr="0041152A">
        <w:t xml:space="preserve"> 1.25 (31) for reproducible documentation.</w:t>
      </w:r>
    </w:p>
    <w:p w:rsidR="00332B4E" w:rsidRPr="0041152A" w:rsidRDefault="00A93037" w:rsidP="0041152A">
      <w:pPr>
        <w:pStyle w:val="Heading1"/>
      </w:pPr>
      <w:bookmarkStart w:id="7" w:name="results"/>
      <w:r w:rsidRPr="0041152A">
        <w:t>Results</w:t>
      </w:r>
      <w:bookmarkEnd w:id="7"/>
    </w:p>
    <w:p w:rsidR="00332B4E" w:rsidRDefault="00A93037">
      <w:pPr>
        <w:pStyle w:val="Heading2"/>
      </w:pPr>
      <w:bookmarkStart w:id="8" w:name="patient-characteristics"/>
      <w:r>
        <w:t>Patient characteristics</w:t>
      </w:r>
      <w:bookmarkEnd w:id="8"/>
    </w:p>
    <w:p w:rsidR="00332B4E" w:rsidRPr="0041152A" w:rsidRDefault="00A93037" w:rsidP="0041152A">
      <w:pPr>
        <w:pStyle w:val="FirstParagraph"/>
      </w:pPr>
      <w:r w:rsidRPr="0041152A">
        <w:t>Patients (n=80, 56%</w:t>
      </w:r>
      <w:r w:rsidR="00731116">
        <w:t xml:space="preserve"> female</w:t>
      </w:r>
      <w:r w:rsidRPr="0041152A">
        <w:t>) were included in the study. Patient characteristics are presented in Table 1. Characteristics were similar in the two sample groups except for older age and lower LVMI in LBBB.</w:t>
      </w:r>
    </w:p>
    <w:p w:rsidR="00332B4E" w:rsidRDefault="00A93037">
      <w:pPr>
        <w:pStyle w:val="Heading2"/>
      </w:pPr>
      <w:bookmarkStart w:id="9" w:name="dyssynchrony-measurements"/>
      <w:proofErr w:type="spellStart"/>
      <w:r>
        <w:t>Dyssynchrony</w:t>
      </w:r>
      <w:proofErr w:type="spellEnd"/>
      <w:r>
        <w:t xml:space="preserve"> measurements</w:t>
      </w:r>
      <w:bookmarkEnd w:id="9"/>
    </w:p>
    <w:p w:rsidR="00332B4E" w:rsidRPr="0041152A" w:rsidRDefault="00A93037" w:rsidP="0041152A">
      <w:pPr>
        <w:pStyle w:val="FirstParagraph"/>
      </w:pPr>
      <w:r w:rsidRPr="0041152A">
        <w:t xml:space="preserve">As shown in Figure 2, both CURE and SSI showed group differences between LBBB and controls. Consistent with a greater amount of mechanical </w:t>
      </w:r>
      <w:proofErr w:type="spellStart"/>
      <w:r w:rsidRPr="0041152A">
        <w:t>dyssynchrony</w:t>
      </w:r>
      <w:proofErr w:type="spellEnd"/>
      <w:r w:rsidRPr="0041152A">
        <w:t xml:space="preserve"> in LBBB, CURE was </w:t>
      </w:r>
      <w:r w:rsidRPr="0041152A">
        <w:lastRenderedPageBreak/>
        <w:t>lower in LBBB (median (</w:t>
      </w:r>
      <m:oMath>
        <m:r>
          <w:rPr>
            <w:rFonts w:ascii="Cambria Math" w:hAnsi="Cambria Math"/>
          </w:rPr>
          <m:t>M</m:t>
        </m:r>
      </m:oMath>
      <w:r w:rsidRPr="0041152A">
        <w:t>) = 0.63, interquartile range (</w:t>
      </w:r>
      <m:oMath>
        <m:r>
          <w:rPr>
            <w:rFonts w:ascii="Cambria Math" w:hAnsi="Cambria Math"/>
          </w:rPr>
          <m:t>IQR</m:t>
        </m:r>
      </m:oMath>
      <w:r w:rsidRPr="0041152A">
        <w:t>) = [0.54, 0.75]) compared to controls (</w:t>
      </w:r>
      <m:oMath>
        <m:r>
          <w:rPr>
            <w:rFonts w:ascii="Cambria Math" w:hAnsi="Cambria Math"/>
          </w:rPr>
          <m:t>M</m:t>
        </m:r>
      </m:oMath>
      <w:r w:rsidRPr="0041152A">
        <w:t xml:space="preserve"> = 0.79, </w:t>
      </w:r>
      <m:oMath>
        <m:r>
          <w:rPr>
            <w:rFonts w:ascii="Cambria Math" w:hAnsi="Cambria Math"/>
          </w:rPr>
          <m:t>IQR</m:t>
        </m:r>
      </m:oMath>
      <w:r w:rsidRPr="0041152A">
        <w:t xml:space="preserve"> = [0.69, 0.86]), difference in medians -0.16 [95% CI: -0.23, -0.07], and SSI was higher in LBBB (</w:t>
      </w:r>
      <m:oMath>
        <m:r>
          <w:rPr>
            <w:rFonts w:ascii="Cambria Math" w:hAnsi="Cambria Math"/>
          </w:rPr>
          <m:t>M</m:t>
        </m:r>
      </m:oMath>
      <w:r w:rsidRPr="0041152A">
        <w:t xml:space="preserve"> = 9.4, </w:t>
      </w:r>
      <m:oMath>
        <m:r>
          <w:rPr>
            <w:rFonts w:ascii="Cambria Math" w:hAnsi="Cambria Math"/>
          </w:rPr>
          <m:t>IQR</m:t>
        </m:r>
      </m:oMath>
      <w:r w:rsidRPr="0041152A">
        <w:t xml:space="preserve"> = [7.4, 12.7]) compared to controls (</w:t>
      </w:r>
      <m:oMath>
        <m:r>
          <w:rPr>
            <w:rFonts w:ascii="Cambria Math" w:hAnsi="Cambria Math"/>
          </w:rPr>
          <m:t>M</m:t>
        </m:r>
      </m:oMath>
      <w:r w:rsidRPr="0041152A">
        <w:t xml:space="preserve"> = 2.2, </w:t>
      </w:r>
      <m:oMath>
        <m:r>
          <w:rPr>
            <w:rFonts w:ascii="Cambria Math" w:hAnsi="Cambria Math"/>
          </w:rPr>
          <m:t>IQR</m:t>
        </m:r>
      </m:oMath>
      <w:r w:rsidRPr="0041152A">
        <w:t xml:space="preserve"> = [1.2, 3.6]), difference in medians 7.2 [95% CI: 5.7, 9.6]. The CURE model had an area under ROC curve of 0.77 [95% CI: 0.65-0.87] (Fig 1) and a </w:t>
      </w:r>
      <w:proofErr w:type="spellStart"/>
      <w:r w:rsidRPr="0041152A">
        <w:t>Nagelkerke</w:t>
      </w:r>
      <w:proofErr w:type="spellEnd"/>
      <w:r w:rsidRPr="0041152A">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41152A">
        <w:t xml:space="preserve"> of 0.28. This yielded an odds ratio (OR) of 2.16 [95% CI: 0.31, 0.69] per 0.10 decrease in CURE value. The Wald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41152A">
        <w:t xml:space="preserve"> for CURE was 14.75 (p&lt;0.001). The goodness-of-fit test of le Cessie-van Houwelingen yielded a value of 15.61 (p=0.861) indicating an adequate model fit. The SSI model had an area under ROC curve of 0.98 [95% CI: 0.95-1.00] (Fig 1) and a </w:t>
      </w:r>
      <w:proofErr w:type="spellStart"/>
      <w:r w:rsidRPr="0041152A">
        <w:t>Nagelkerke</w:t>
      </w:r>
      <w:proofErr w:type="spellEnd"/>
      <w:r w:rsidRPr="0041152A">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41152A">
        <w:t xml:space="preserve"> of 0.86. This yielded an OR of 3.4 [95% CI: 1.84, 6.28] per 1 percentage unit increase in SSI value. The Wald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41152A">
        <w:t xml:space="preserve"> for SSI was 13.92 (p&lt;0.001). The goodness-of-fit test of le Cessie-van Houwelingen yielded a value of 4.07 (p=0.635) indicating an adequate model fit. In evaluating the need for covariate-adjusted and/or covariate-specific ROC curves, we used linear regression models to test the association between </w:t>
      </w:r>
      <w:proofErr w:type="spellStart"/>
      <w:r w:rsidRPr="0041152A">
        <w:t>dyssynchrony</w:t>
      </w:r>
      <w:proofErr w:type="spellEnd"/>
      <w:r w:rsidRPr="0041152A">
        <w:t xml:space="preserve"> indices and covariates: age, EDVI, LVMI, and sex, allowing for interactions between LVMI and EDVI, with sex, respectively. Nonlinear effects were entertained by means of restricted cubic splines. We found no evidence in support of an association between </w:t>
      </w:r>
      <w:proofErr w:type="spellStart"/>
      <w:r w:rsidRPr="0041152A">
        <w:t>dyssynchrony</w:t>
      </w:r>
      <w:proofErr w:type="spellEnd"/>
      <w:r w:rsidRPr="0041152A">
        <w:t xml:space="preserve"> indices and covariates in controls, or between CURE and covariates in LBBB. We found evidence in support of an association between SSI and age, keeping other covariates fixed, in LBBB. This suggests that the discriminatory ability of SSI might vary with respect to age. Due to limited sample size we choose to present the pooled ROC curve.</w:t>
      </w:r>
    </w:p>
    <w:p w:rsidR="00332B4E" w:rsidRDefault="00A93037">
      <w:pPr>
        <w:pStyle w:val="BodyText"/>
      </w:pPr>
      <w:r>
        <w:t xml:space="preserve">In secondary analysis we investigated the linear correlation between dyssynchrony indices and QRS duration in LBBB, and control respectively. We found no evidence </w:t>
      </w:r>
      <w:r w:rsidR="00640033">
        <w:t xml:space="preserve">in </w:t>
      </w:r>
      <w:r>
        <w:t xml:space="preserve">support </w:t>
      </w:r>
      <w:r w:rsidR="00640033">
        <w:t xml:space="preserve">of </w:t>
      </w:r>
      <w:r>
        <w:t xml:space="preserve">a correlation between QRS duration and CURE (LBBB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-0.09 [95% CI: -0.38, 0.21], </w:t>
      </w:r>
      <w:r>
        <w:lastRenderedPageBreak/>
        <w:t xml:space="preserve">p=0.552; control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0.04 [95% CI: -0.29, 0.36], p=0.814), or </w:t>
      </w:r>
      <w:r w:rsidR="00640033">
        <w:t xml:space="preserve">between </w:t>
      </w:r>
      <w:r>
        <w:t xml:space="preserve">QRS duration and SSI (LBBB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0.17 [95% CI: -0.13, 0.45], p=0.264; control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-0.16 [95% CI: -0.46, 0.18], p=0.353).</w:t>
      </w:r>
    </w:p>
    <w:p w:rsidR="00332B4E" w:rsidRPr="0041152A" w:rsidRDefault="00A93037" w:rsidP="0041152A">
      <w:pPr>
        <w:pStyle w:val="Heading1"/>
      </w:pPr>
      <w:bookmarkStart w:id="10" w:name="discussion"/>
      <w:r w:rsidRPr="0041152A">
        <w:t>Discussion</w:t>
      </w:r>
      <w:bookmarkEnd w:id="10"/>
    </w:p>
    <w:p w:rsidR="00332B4E" w:rsidRPr="0041152A" w:rsidRDefault="00A93037" w:rsidP="0041152A">
      <w:pPr>
        <w:pStyle w:val="FirstParagraph"/>
      </w:pPr>
      <w:r w:rsidRPr="0041152A">
        <w:t xml:space="preserve">The main finding of the study is that the ability to discriminate between LBBB and normal QRS duration among patients with severely reduced ejection fraction and no scar was fair for CURE and excellent for SSI. This highlights that when developing and evaluating indices aimed at accurately identifying mechanical </w:t>
      </w:r>
      <w:proofErr w:type="spellStart"/>
      <w:r w:rsidRPr="0041152A">
        <w:t>dyssynchrony</w:t>
      </w:r>
      <w:proofErr w:type="spellEnd"/>
      <w:r w:rsidRPr="0041152A">
        <w:t xml:space="preserve"> amenable to CRT, it is important to also evaluate the performance of a proposed index in control subjects with normal QRS duration, severely reduced ejection fraction, and the absence of myocardial scar.</w:t>
      </w:r>
    </w:p>
    <w:p w:rsidR="00332B4E" w:rsidRDefault="00A93037">
      <w:pPr>
        <w:pStyle w:val="BodyText"/>
      </w:pPr>
      <w:r>
        <w:t xml:space="preserve">A few studies have found an increased rate of CRT response by using a </w:t>
      </w:r>
      <w:proofErr w:type="gramStart"/>
      <w:r>
        <w:t>more strict</w:t>
      </w:r>
      <w:proofErr w:type="gramEnd"/>
      <w:r>
        <w:t xml:space="preserve"> definition of LBBB (9,10,32), as proposed by Strauss et al. (8). The novelty of the current study is the evaluation of two dyssynchrony indices for an electromechanical dyssynchrony pattern associated with strict LBBB. By controlling for focal LV myocardial scarring, which is known to affect both the timing and magnitude of strain measurements, differentiation is made against the mechanical dyssynchrony inherent to patients with severely reduced ejection fraction and a normal QRS duration.</w:t>
      </w:r>
    </w:p>
    <w:p w:rsidR="00332B4E" w:rsidRDefault="00A93037">
      <w:pPr>
        <w:pStyle w:val="BodyText"/>
      </w:pPr>
      <w:r>
        <w:t>While both CURE and SSI capture differences in the pattern of discoordination on a group level, we found SSI superior to CURE with regards to the ability to differentiate between LBBB and controls. Our results suggest that the incremental mechanical dyssynchrony component associated with LBBB is better characterized by quantification of the absolute extent of stretch during the opposing directions of movement in the septum and lateral wall.</w:t>
      </w:r>
    </w:p>
    <w:p w:rsidR="00332B4E" w:rsidRDefault="00A93037">
      <w:pPr>
        <w:pStyle w:val="BodyText"/>
      </w:pPr>
      <w:r>
        <w:lastRenderedPageBreak/>
        <w:t>SSI was developed in an attempt to characterize the electromechancial substrate predictive of outcomes following CRT (26). In a study of patients enrolled in the Adaptive CRT trial, it was found that SSI was independently associated with CRT outcome, adjusting for QRS morphology, QRS duration, sex, HF etiology and treatment with angiotensin-converting enzyme inhibitors/angiotensin II receptor blockers (25). However, whether SSI has added prognostic value over strict LBBB morphology is still unknown. SSI can potentially be used to identify non-LBBB patients that are suitable for CRT, while strict LBBB morphology only requires ECG analysis.</w:t>
      </w:r>
    </w:p>
    <w:p w:rsidR="00332B4E" w:rsidRDefault="00A93037">
      <w:pPr>
        <w:pStyle w:val="BodyText"/>
      </w:pPr>
      <w:r>
        <w:t>The association between mechanical dyssynchrony, quantified as the systolic dyssynchrony index, and myocardial scar has been studied in patients with systolic heart failure (33). That study found that 25% of patients with narrow QRS (</w:t>
      </w:r>
      <m:oMath>
        <m:r>
          <m:rPr>
            <m:nor/>
          </m:rPr>
          <w:rPr>
            <w:rFonts w:ascii="Cambria Math" w:hAnsi="Cambria Math"/>
          </w:rPr>
          <m:t>&lt;130</m:t>
        </m:r>
        <m:r>
          <w:rPr>
            <w:rFonts w:ascii="Cambria Math" w:hAnsi="Cambria Math"/>
          </w:rPr>
          <m:t xml:space="preserve"> ms</m:t>
        </m:r>
      </m:oMath>
      <w:r>
        <w:t>) presented with mechanical dyssynchrony, despite no difference in scar burden compared to narrow QRS patients without mechanical dyssynchrony. Those findings suggest that mechanical dyssynchrony in such patients might be secondary to myocardial scar rather than electrical dyssynchrony. There is no generally agreed upon definition of mechanical dyssynchrony, and software vendor dependence of strain measurements limit straightforward comparisons between studies. However, the results of the current study illustrate that patients with severely reduced LVEF and normal QRS duration present with mechancical dyssynchrony to some degree, even in the absence of scar. This would suggest that other factors beyond scar and LBBB contribute to mechanical dyssynchrony. Such factors may include variations in pre-load and/or afterload, and regional wall motion abnormalities due to chronic ischemia or other non-ischemic cardiomyopathies that impair contractile function without causing myocardial scar.</w:t>
      </w:r>
    </w:p>
    <w:p w:rsidR="00332B4E" w:rsidRDefault="00A93037">
      <w:pPr>
        <w:pStyle w:val="BodyText"/>
      </w:pPr>
      <w:r>
        <w:lastRenderedPageBreak/>
        <w:t>While CURE and SSI both displayed group differences between LBBB and controls, the current study found no evidence in support of a linear correlation between either CURE or SSI, and QRS duration within LBBB and control groups, respectively. These hypothesis generating results suggest a need for a multifactorial approach when evaluating, and adds to the notion of the complex relationship between electrical- and mechanical dyssynchrony.</w:t>
      </w:r>
    </w:p>
    <w:p w:rsidR="00332B4E" w:rsidRDefault="00A93037">
      <w:pPr>
        <w:pStyle w:val="BodyText"/>
      </w:pPr>
      <w:r>
        <w:t>The results of the current study further highlight the heterogeneity of mechanical dyssynchrony, and emphasizes that when developing novel mechanical dyssynchrony indices aimed at predicting CRT response, adequate controls should be used as to improve specificity for the electromechanical substrate amenable to CRT.</w:t>
      </w:r>
    </w:p>
    <w:p w:rsidR="00332B4E" w:rsidRPr="0041152A" w:rsidRDefault="00A93037" w:rsidP="0041152A">
      <w:pPr>
        <w:pStyle w:val="Heading1"/>
      </w:pPr>
      <w:bookmarkStart w:id="11" w:name="limitations"/>
      <w:r w:rsidRPr="0041152A">
        <w:t>Limitations</w:t>
      </w:r>
      <w:bookmarkEnd w:id="11"/>
    </w:p>
    <w:p w:rsidR="00332B4E" w:rsidRPr="0041152A" w:rsidRDefault="00A93037" w:rsidP="0041152A">
      <w:pPr>
        <w:pStyle w:val="FirstParagraph"/>
      </w:pPr>
      <w:r w:rsidRPr="0041152A">
        <w:t xml:space="preserve">Identification of time point for aortic valve opening, and aortic valve closure was performed by visual assessment of CMR cine images, the accuracy of which is limited by the temporal resolution of CMR images. However, any variations in accuracy would be equally likely in both patient groups and hence should not have a major effect on the overall results. The software used for strain analysis reports segmental strain measurements according to the AHA-17 model. Hence, CURE calculation was limited to </w:t>
      </w:r>
      <w:r w:rsidR="00327319" w:rsidRPr="0041152A">
        <w:t>Fourier</w:t>
      </w:r>
      <w:r w:rsidRPr="0041152A">
        <w:t xml:space="preserve"> transformation applied to six individual myocardial segments in the short-axis slice. The impact of the spatial resolution of measurement in CURE quantification has not previously been reported. However, it </w:t>
      </w:r>
      <w:proofErr w:type="spellStart"/>
      <w:r w:rsidRPr="0041152A">
        <w:t>can not</w:t>
      </w:r>
      <w:proofErr w:type="spellEnd"/>
      <w:r w:rsidRPr="0041152A">
        <w:t xml:space="preserve"> be excluded that quantification of CURE using higher spatial resolution could potentially influence the results.</w:t>
      </w:r>
    </w:p>
    <w:p w:rsidR="00332B4E" w:rsidRPr="0041152A" w:rsidRDefault="00A93037" w:rsidP="0041152A">
      <w:pPr>
        <w:pStyle w:val="Heading1"/>
      </w:pPr>
      <w:bookmarkStart w:id="12" w:name="conclusion"/>
      <w:r w:rsidRPr="0041152A">
        <w:lastRenderedPageBreak/>
        <w:t>Conclusion</w:t>
      </w:r>
      <w:bookmarkEnd w:id="12"/>
    </w:p>
    <w:p w:rsidR="00332B4E" w:rsidRPr="0041152A" w:rsidRDefault="00A93037" w:rsidP="0041152A">
      <w:pPr>
        <w:pStyle w:val="FirstParagraph"/>
      </w:pPr>
      <w:r w:rsidRPr="0041152A">
        <w:t xml:space="preserve">SSI was superior to CURE with regards to the ability to discriminate between strict LBBB and normal QRS duration among patients with severely reduced ejection fraction and no scar. The amount of </w:t>
      </w:r>
      <w:proofErr w:type="spellStart"/>
      <w:r w:rsidRPr="0041152A">
        <w:t>dyssynchrony</w:t>
      </w:r>
      <w:proofErr w:type="spellEnd"/>
      <w:r w:rsidRPr="0041152A">
        <w:t xml:space="preserve"> in patients with no scar, severely reduced ejection fraction, yet no expectation of having </w:t>
      </w:r>
      <w:proofErr w:type="spellStart"/>
      <w:r w:rsidRPr="0041152A">
        <w:t>dyssynchrony</w:t>
      </w:r>
      <w:proofErr w:type="spellEnd"/>
      <w:r w:rsidRPr="0041152A">
        <w:t xml:space="preserve"> needs to be </w:t>
      </w:r>
      <w:proofErr w:type="gramStart"/>
      <w:r w:rsidRPr="0041152A">
        <w:t>taken into account</w:t>
      </w:r>
      <w:proofErr w:type="gramEnd"/>
      <w:r w:rsidRPr="0041152A">
        <w:t xml:space="preserve"> when developing and evaluating indices aimed at accurately identifying mechanical </w:t>
      </w:r>
      <w:proofErr w:type="spellStart"/>
      <w:r w:rsidRPr="0041152A">
        <w:t>dyssynchrony</w:t>
      </w:r>
      <w:proofErr w:type="spellEnd"/>
      <w:r w:rsidRPr="0041152A">
        <w:t xml:space="preserve"> amenable to CRT. We suggest that control subjects with normal QRS duration, severely reduced ejection fraction, and the absence of myocardial scar, be included when developing and evaluating mechanical </w:t>
      </w:r>
      <w:proofErr w:type="spellStart"/>
      <w:r w:rsidRPr="0041152A">
        <w:t>dyssynchrony</w:t>
      </w:r>
      <w:proofErr w:type="spellEnd"/>
      <w:r w:rsidRPr="0041152A">
        <w:t xml:space="preserve"> indices aimed at predicting CRT response.</w:t>
      </w:r>
    </w:p>
    <w:p w:rsidR="00332B4E" w:rsidRDefault="00A93037">
      <w:r>
        <w:br w:type="page"/>
      </w:r>
    </w:p>
    <w:p w:rsidR="00332B4E" w:rsidRPr="0041152A" w:rsidRDefault="00A93037" w:rsidP="0041152A">
      <w:pPr>
        <w:pStyle w:val="Heading1"/>
      </w:pPr>
      <w:bookmarkStart w:id="13" w:name="references"/>
      <w:r w:rsidRPr="0041152A">
        <w:lastRenderedPageBreak/>
        <w:t>References</w:t>
      </w:r>
      <w:bookmarkEnd w:id="13"/>
    </w:p>
    <w:p w:rsidR="00332B4E" w:rsidRDefault="00A93037">
      <w:pPr>
        <w:pStyle w:val="Bibliography"/>
      </w:pPr>
      <w:bookmarkStart w:id="14" w:name="ref-ojo_cardiac_2017"/>
      <w:bookmarkStart w:id="15" w:name="refs"/>
      <w:r>
        <w:t xml:space="preserve">1. Ojo A, Tariq S, Harikrishnan P, Iwai S, Jacobson JT. Cardiac Resynchronization Therapy for Heart Failure. Interv Cardiol Clin. 2017 Jul;6(3):417–26. </w:t>
      </w:r>
    </w:p>
    <w:p w:rsidR="00332B4E" w:rsidRDefault="00A93037">
      <w:pPr>
        <w:pStyle w:val="Bibliography"/>
      </w:pPr>
      <w:bookmarkStart w:id="16" w:name="ref-zhang_incidence_2015"/>
      <w:bookmarkEnd w:id="14"/>
      <w:r>
        <w:t xml:space="preserve">2. Zhang Q, Zhou Y, Yu CM. Incidence, definition, diagnosis, and management of the cardiac resynchronization therapy nonresponder. Curr Opin Cardiol. 2015;30(1):40–9. </w:t>
      </w:r>
    </w:p>
    <w:p w:rsidR="00332B4E" w:rsidRDefault="00A93037">
      <w:pPr>
        <w:pStyle w:val="Bibliography"/>
      </w:pPr>
      <w:bookmarkStart w:id="17" w:name="ref-leclercq_retiming_2002"/>
      <w:bookmarkEnd w:id="16"/>
      <w:r>
        <w:t xml:space="preserve">3. Leclercq C, Kass DA. Retiming the failing heart: Principles and current clinical status of cardiac resynchronization. Journal of the American College of Cardiology. 2002 Jan 16;39(2):194–201. </w:t>
      </w:r>
    </w:p>
    <w:p w:rsidR="00332B4E" w:rsidRDefault="00A93037">
      <w:pPr>
        <w:pStyle w:val="Bibliography"/>
      </w:pPr>
      <w:bookmarkStart w:id="18" w:name="Xfb024ef718167a9adf254c14f9cc8d73484410d"/>
      <w:bookmarkEnd w:id="17"/>
      <w:r>
        <w:t xml:space="preserve">4. Revah G, Wu V, Huntjens PR, Piekarski E, Chyou JY, Axel L. Cardiovascular magnetic resonance features of mechanical dyssynchrony in patients with left bundle branch block. Int J Cardiovasc Imaging. 2016 Sep;32(9):1427–38. </w:t>
      </w:r>
    </w:p>
    <w:p w:rsidR="00332B4E" w:rsidRDefault="00A93037">
      <w:pPr>
        <w:pStyle w:val="Bibliography"/>
      </w:pPr>
      <w:bookmarkStart w:id="19" w:name="ref-zareba_effectiveness_2011"/>
      <w:bookmarkEnd w:id="18"/>
      <w:r>
        <w:t xml:space="preserve">5. Zareba W, Klein H, Cygankiewicz I, Hall WJ, McNitt S, Brown M, et al. Effectiveness of Cardiac Resynchronization Therapy by QRS Morphology in the Multicenter Automatic Defibrillator Implantation Trial-Cardiac Resynchronization Therapy (MADIT-CRT). Circulation. 2011;123(10):1061–72. </w:t>
      </w:r>
    </w:p>
    <w:p w:rsidR="00332B4E" w:rsidRDefault="00A93037">
      <w:pPr>
        <w:pStyle w:val="Bibliography"/>
      </w:pPr>
      <w:bookmarkStart w:id="20" w:name="ref-gold_effect_2012"/>
      <w:bookmarkEnd w:id="19"/>
      <w:r>
        <w:t xml:space="preserve">6. Gold MR, Thebault C, Linde C, Abraham WT, Gerritse B, Ghio S, et al. Effect of QRS Duration and Morphology on Cardiac Resynchronization Therapy Outcomes in Mild Heart Failure: Results From the Resynchronization Reverses Remodeling in Systolic Left Ventricular Dysfunction (REVERSE) Study. Circulation. 2012 Aug 14;126(7):822–9. </w:t>
      </w:r>
    </w:p>
    <w:p w:rsidR="00332B4E" w:rsidRDefault="00A93037">
      <w:pPr>
        <w:pStyle w:val="Bibliography"/>
      </w:pPr>
      <w:bookmarkStart w:id="21" w:name="X4a37ef96eee4793bcd39b96d5dc2d6e6277572e"/>
      <w:bookmarkEnd w:id="20"/>
      <w:r>
        <w:t xml:space="preserve">7. Bristow MR, Saxon LA, Boehmer J, Krueger S, Kass DA, De Marco T, et al. Cardiac-Resynchronization Therapy with or without an Implantable Defibrillator in Advanced Chronic Heart Failure. N Engl J Med. 2004 May 20;350(21):2140–50. </w:t>
      </w:r>
    </w:p>
    <w:p w:rsidR="00332B4E" w:rsidRDefault="00A93037">
      <w:pPr>
        <w:pStyle w:val="Bibliography"/>
      </w:pPr>
      <w:bookmarkStart w:id="22" w:name="ref-strauss_defining_2011"/>
      <w:bookmarkEnd w:id="21"/>
      <w:r>
        <w:t xml:space="preserve">8. Strauss DG, Selvester RH, Wagner GS. Defining left bundle branch block in the era of cardiac resynchronization therapy. Am J Cardiol. 2011;107(6):927–34. </w:t>
      </w:r>
    </w:p>
    <w:p w:rsidR="00332B4E" w:rsidRDefault="00A93037">
      <w:pPr>
        <w:pStyle w:val="Bibliography"/>
      </w:pPr>
      <w:bookmarkStart w:id="23" w:name="ref-mascioli_electrocardiographic_2012"/>
      <w:bookmarkEnd w:id="22"/>
      <w:r>
        <w:t xml:space="preserve">9. MASCIOLI G, PADELETTI L, SASSONE B, ZECCHIN M, LUCCA E, SACCHI S, et al. Electrocardiographic Criteria of True Left Bundle Branch Block: A Simple Sign to Predict a Better Clinical and Instrumental Response to CRT. Pacing and Clinical Electrophysiology. 2012 Aug 1;35(8):927–34. </w:t>
      </w:r>
    </w:p>
    <w:p w:rsidR="00332B4E" w:rsidRPr="00323328" w:rsidRDefault="00A93037">
      <w:pPr>
        <w:pStyle w:val="Bibliography"/>
        <w:rPr>
          <w:lang w:val="sv-SE"/>
        </w:rPr>
      </w:pPr>
      <w:bookmarkStart w:id="24" w:name="ref-tian_true_2013"/>
      <w:bookmarkEnd w:id="23"/>
      <w:r>
        <w:t xml:space="preserve">10. Tian Y, Zhang P, Li X, Gao Y, Zhu T, Wang L, et al. True complete left bundle branch block morphology strongly predicts good response to cardiac resynchronization therapy. </w:t>
      </w:r>
      <w:r w:rsidRPr="00323328">
        <w:rPr>
          <w:lang w:val="sv-SE"/>
        </w:rPr>
        <w:t xml:space="preserve">Europace. 2013;15(10):1499–506. </w:t>
      </w:r>
    </w:p>
    <w:p w:rsidR="00332B4E" w:rsidRDefault="00A93037">
      <w:pPr>
        <w:pStyle w:val="Bibliography"/>
      </w:pPr>
      <w:bookmarkStart w:id="25" w:name="ref-maret_functional_2009"/>
      <w:bookmarkEnd w:id="24"/>
      <w:r w:rsidRPr="00323328">
        <w:rPr>
          <w:lang w:val="sv-SE"/>
        </w:rPr>
        <w:t xml:space="preserve">11. Maret E, Todt T, Brudin L, Nylander E, Swahn E, Ohlsson JL, et al. </w:t>
      </w:r>
      <w:r>
        <w:t xml:space="preserve">Functional measurements based on feature tracking of cine magnetic resonance images identify left ventricular segments with myocardial scar. Cardiovascular Ultrasound. 2009 Dec;7(1). </w:t>
      </w:r>
    </w:p>
    <w:p w:rsidR="00332B4E" w:rsidRPr="00323328" w:rsidRDefault="00A93037">
      <w:pPr>
        <w:pStyle w:val="Bibliography"/>
        <w:rPr>
          <w:lang w:val="sv-SE"/>
        </w:rPr>
      </w:pPr>
      <w:bookmarkStart w:id="26" w:name="ref-delgado_relative_2011"/>
      <w:bookmarkEnd w:id="25"/>
      <w:r>
        <w:t xml:space="preserve">12. Delgado V, van Bommel RJ, Bertini M, Borleffs CJW, Marsan NA, Ng AC, et al. Relative merits of left ventricular dyssynchrony, left ventricular lead position, and myocardial scar to predict long-term survival of ischemic heart failure patients undergoing cardiac resynchronization therapy. </w:t>
      </w:r>
      <w:r w:rsidRPr="00323328">
        <w:rPr>
          <w:lang w:val="sv-SE"/>
        </w:rPr>
        <w:t xml:space="preserve">Circulation. 2011;123(1):70–8. </w:t>
      </w:r>
    </w:p>
    <w:p w:rsidR="00332B4E" w:rsidRDefault="00A93037">
      <w:pPr>
        <w:pStyle w:val="Bibliography"/>
      </w:pPr>
      <w:bookmarkStart w:id="27" w:name="ref-bilchick_imapct_2014"/>
      <w:bookmarkEnd w:id="26"/>
      <w:r w:rsidRPr="00323328">
        <w:rPr>
          <w:lang w:val="sv-SE"/>
        </w:rPr>
        <w:lastRenderedPageBreak/>
        <w:t xml:space="preserve">13. Bilchick KC, Kuruvilla S, Hamirani YS, Ramachandran R, Clarke SA, Parker KM. </w:t>
      </w:r>
      <w:r>
        <w:t>Imp</w:t>
      </w:r>
      <w:r w:rsidR="00327319">
        <w:t>a</w:t>
      </w:r>
      <w:r>
        <w:t xml:space="preserve">ct of mechanical activation, scar, and electrical timing on cardiac resynchronization therapy response and clinical outcomes. J Am Coll Cardiol. 2014;63. </w:t>
      </w:r>
    </w:p>
    <w:p w:rsidR="00332B4E" w:rsidRDefault="00A93037">
      <w:pPr>
        <w:pStyle w:val="Bibliography"/>
      </w:pPr>
      <w:bookmarkStart w:id="28" w:name="ref-taylor_leftventricularlead_2016"/>
      <w:bookmarkEnd w:id="27"/>
      <w:r>
        <w:t xml:space="preserve">14. Taylor RJ, Umar F, Panting JR, Stegemann B, Leyva F. Left ventricular lead position, mechanical activation, and myocardial scar in relation to left ventricular reverse remodeling and clinical outcomes after cardiac resynchronization therapy: A feature-tracking and contrast-enhanced cardiovascular magnetic resonance study. Heart Rhythm. 2016;13(2):481–9. </w:t>
      </w:r>
    </w:p>
    <w:p w:rsidR="00332B4E" w:rsidRDefault="00A93037">
      <w:pPr>
        <w:pStyle w:val="Bibliography"/>
      </w:pPr>
      <w:bookmarkStart w:id="29" w:name="ref-atwater_ecg_2015"/>
      <w:bookmarkEnd w:id="28"/>
      <w:r>
        <w:t xml:space="preserve">15. Atwater BD, Babatunde A, Swan C, Wieslander B, Andresen A, Rabineau D, et al. ECG myocardial scar quantification predicts reverse left ventricular remodeling and survival after cardiac resynchronization therapy implantation: A retrospective pilot study. J Electrocardiol. 2015;48(4):565–70. </w:t>
      </w:r>
    </w:p>
    <w:p w:rsidR="00332B4E" w:rsidRDefault="00A93037">
      <w:pPr>
        <w:pStyle w:val="Bibliography"/>
      </w:pPr>
      <w:bookmarkStart w:id="30" w:name="ref-goto_comparison_2017"/>
      <w:bookmarkEnd w:id="29"/>
      <w:r>
        <w:t xml:space="preserve">16. Goto Y, Ishida M, Takase S, Sigfridsson A, Uno M, Nagata M, et al. Comparison of Displacement Encoding With Stimulated Echoes to Magnetic Resonance Feature Tracking for the Assessment of Myocardial Strain in Patients With Acute Myocardial Infarction. Am J Cardiol. 2017 May 15;119(10):1542–7. </w:t>
      </w:r>
    </w:p>
    <w:p w:rsidR="00332B4E" w:rsidRDefault="00A93037">
      <w:pPr>
        <w:pStyle w:val="Bibliography"/>
      </w:pPr>
      <w:bookmarkStart w:id="31" w:name="ref-luetkens_feature-tracking_2017"/>
      <w:bookmarkEnd w:id="30"/>
      <w:r>
        <w:t xml:space="preserve">17. Luetkens JA, Schlesinger-Irsch U, Kuetting DL, Dabir D, Homsi R, Doerner J, et al. Feature-tracking myocardial strain analysis in acute myocarditis: Diagnostic value and association with myocardial oedema. Eur Radiol. 2017 May 12; </w:t>
      </w:r>
    </w:p>
    <w:p w:rsidR="00332B4E" w:rsidRDefault="00A93037">
      <w:pPr>
        <w:pStyle w:val="Bibliography"/>
      </w:pPr>
      <w:bookmarkStart w:id="32" w:name="ref-khan_comparison_2015"/>
      <w:bookmarkEnd w:id="31"/>
      <w:r>
        <w:t xml:space="preserve">18. Khan JN, Singh A, Nazir SA, Kanagala P, Gershlick AH, McCann GP. Comparison of cardiovascular magnetic resonance feature tracking and tagging for the assessment of left ventricular systolic strain in acute myocardial infarction. Eur J Radiol. 2015 May;84(5):840–8. </w:t>
      </w:r>
    </w:p>
    <w:p w:rsidR="00332B4E" w:rsidRDefault="00A93037">
      <w:pPr>
        <w:pStyle w:val="Bibliography"/>
      </w:pPr>
      <w:bookmarkStart w:id="33" w:name="ref-voigt_cardiac_2016"/>
      <w:bookmarkEnd w:id="32"/>
      <w:r>
        <w:t xml:space="preserve">19. Voigt J-U. Cardiac resynchronization therapy responders can be better identified by specific signatures in myocardial function. European Heart Journal Cardiovascular Imaging. 2016 Feb;17(2):132–3. </w:t>
      </w:r>
    </w:p>
    <w:p w:rsidR="00332B4E" w:rsidRDefault="00A93037">
      <w:pPr>
        <w:pStyle w:val="Bibliography"/>
      </w:pPr>
      <w:bookmarkStart w:id="34" w:name="ref-morais_cardiovascular_2017"/>
      <w:bookmarkEnd w:id="33"/>
      <w:r>
        <w:t xml:space="preserve">20. Morais P, Marchi A, Bogaert JA, Dresselaers T, Heyde B, D’hooge J, et al. Cardiovascular magnetic resonance myocardial feature tracking using a non-rigid, elastic image registration algorithm: Assessment of variability in a real-life clinical setting. Journal of Cardiovascular Magnetic Resonance. 2017 Dec;19(1). </w:t>
      </w:r>
    </w:p>
    <w:p w:rsidR="00332B4E" w:rsidRDefault="00A93037">
      <w:pPr>
        <w:pStyle w:val="Bibliography"/>
      </w:pPr>
      <w:bookmarkStart w:id="35" w:name="ref-heyde_elastic_2013"/>
      <w:bookmarkEnd w:id="34"/>
      <w:r>
        <w:t xml:space="preserve">21. Heyde B, Jasaityte R, Barbosa D, Robesyn V, Bouchez S, Wouters P, et al. Elastic Image Registration Versus Speckle Tracking for 2-D Myocardial Motion Estimation: A Direct Comparison In Vivo. IEEE Transactions on Medical Imaging. 2013 Feb;32(2):449–59. </w:t>
      </w:r>
    </w:p>
    <w:p w:rsidR="00332B4E" w:rsidRDefault="00A93037">
      <w:pPr>
        <w:pStyle w:val="Bibliography"/>
      </w:pPr>
      <w:bookmarkStart w:id="36" w:name="ref-helm_cardiac_2005"/>
      <w:bookmarkEnd w:id="35"/>
      <w:r>
        <w:t xml:space="preserve">22. Helm RH, Leclercq C, Faris OP, Ozturk C, McVeigh E, Lardo AC, et al. Cardiac dyssynchrony analysis using circumferential versus longitudinal strain: Implications for assessing cardiac resynchronization. Circulation. 2005;111(21):2760–7. </w:t>
      </w:r>
    </w:p>
    <w:p w:rsidR="00332B4E" w:rsidRDefault="00A93037">
      <w:pPr>
        <w:pStyle w:val="Bibliography"/>
      </w:pPr>
      <w:bookmarkStart w:id="37" w:name="Xf3faaa4d5328cbf638e26188fd09ea27b0a2d97"/>
      <w:bookmarkEnd w:id="36"/>
      <w:r>
        <w:t xml:space="preserve">23. Leclercq C. Systolic Improvement and Mechanical Resynchronization Does Not Require Electrical Synchrony in the Dilated Failing Heart With Left Bundle-Branch Block. Circulation. 2002;106(14):1760–3. </w:t>
      </w:r>
    </w:p>
    <w:p w:rsidR="00332B4E" w:rsidRDefault="00A93037">
      <w:pPr>
        <w:pStyle w:val="Bibliography"/>
      </w:pPr>
      <w:bookmarkStart w:id="38" w:name="ref-bilchick_cardiac_2008"/>
      <w:bookmarkEnd w:id="37"/>
      <w:r>
        <w:lastRenderedPageBreak/>
        <w:t xml:space="preserve">24. Bilchick KC, Dimaano V, Wu KC, Helm RH, Weiss RG, Lima JA, et al. Cardiac magnetic resonance assessment of dyssynchrony and myocardial scar predicts function class improvement following cardiac resynchronization therapy. JACC Cardiovasc Imaging. 2008;1(5):561–8. </w:t>
      </w:r>
    </w:p>
    <w:p w:rsidR="00332B4E" w:rsidRDefault="00A93037">
      <w:pPr>
        <w:pStyle w:val="Bibliography"/>
      </w:pPr>
      <w:bookmarkStart w:id="39" w:name="X6d41c0061b63114df440b2f4688a0b249339bca"/>
      <w:bookmarkEnd w:id="38"/>
      <w:r>
        <w:t xml:space="preserve">25. Gorcsan J, Anderson CP, Tayal B, Sugahara M, Walmsley J, Starling RC, et al. Systolic Stretch Characterizes the Electromechanical Substrate Responsive to Cardiac Resynchronization Therapy. JACC: Cardiovascular Imaging. 2018 Sep 12; </w:t>
      </w:r>
    </w:p>
    <w:p w:rsidR="00332B4E" w:rsidRDefault="00A93037">
      <w:pPr>
        <w:pStyle w:val="Bibliography"/>
      </w:pPr>
      <w:bookmarkStart w:id="40" w:name="X525ba3a4d722c624bfc09228231393bc7414da5"/>
      <w:bookmarkEnd w:id="39"/>
      <w:r>
        <w:t xml:space="preserve">26. Lumens J, Tayal B, Walmsley J, Delgado-Montero A, Huntjens PR, Schwartzman D, et al. Differentiating Electromechanical From NonElectrical Substrates of Mechanical Discoordination to Identify Responders to Cardiac Resynchronization TherapyCLINICAL PERSPECTIVE. Circulation: Cardiovascular Imaging. 2015 Sep 1;8(9):e003744. </w:t>
      </w:r>
    </w:p>
    <w:p w:rsidR="00332B4E" w:rsidRDefault="00A93037">
      <w:pPr>
        <w:pStyle w:val="Bibliography"/>
      </w:pPr>
      <w:bookmarkStart w:id="41" w:name="ref-rcoreteam_r:_2017"/>
      <w:bookmarkEnd w:id="40"/>
      <w:r>
        <w:t xml:space="preserve">27. R Core Team. R: A Language and Environment for Statistical Computing. Vienna, Austria: R Foundation for Statistical Computing; 2017. </w:t>
      </w:r>
    </w:p>
    <w:p w:rsidR="00332B4E" w:rsidRDefault="00A93037">
      <w:pPr>
        <w:pStyle w:val="Bibliography"/>
      </w:pPr>
      <w:bookmarkStart w:id="42" w:name="ref-wickham_dplyr:_2017"/>
      <w:bookmarkEnd w:id="41"/>
      <w:r>
        <w:t xml:space="preserve">28. Wickham H, Francois R, Henry L, Müller K. Dplyr: A Grammar of Data Manipulation. 2017. </w:t>
      </w:r>
    </w:p>
    <w:p w:rsidR="00332B4E" w:rsidRDefault="00A93037">
      <w:pPr>
        <w:pStyle w:val="Bibliography"/>
      </w:pPr>
      <w:bookmarkStart w:id="43" w:name="ref-wickham_ggplot2:_2009"/>
      <w:bookmarkEnd w:id="42"/>
      <w:r>
        <w:t xml:space="preserve">29. Wickham H. Ggplot2: Elegant Graphics for Data Analysis. Springer-Verlag New York; 2009. </w:t>
      </w:r>
    </w:p>
    <w:p w:rsidR="00332B4E" w:rsidRDefault="00A93037">
      <w:pPr>
        <w:pStyle w:val="Bibliography"/>
      </w:pPr>
      <w:bookmarkStart w:id="44" w:name="ref-robin_proc:_2011"/>
      <w:bookmarkEnd w:id="43"/>
      <w:r>
        <w:t xml:space="preserve">30. Robin X, Turck N, Hainard A, Tiberti N, Lisacek F, Sanchez J-C, et al. pROC: An open-source package for R and S+ to analyze and compare ROC curves. BMC bioinformatics. 2011;12(1):77. </w:t>
      </w:r>
    </w:p>
    <w:p w:rsidR="00332B4E" w:rsidRDefault="00A93037">
      <w:pPr>
        <w:pStyle w:val="Bibliography"/>
      </w:pPr>
      <w:bookmarkStart w:id="45" w:name="ref-xie_knitr:_2017"/>
      <w:bookmarkEnd w:id="44"/>
      <w:r>
        <w:t xml:space="preserve">31. Xie Y. Knitr: A General-Purpose Package for Dynamic Report Generation in R. 2017. </w:t>
      </w:r>
    </w:p>
    <w:p w:rsidR="00332B4E" w:rsidRDefault="00A93037">
      <w:pPr>
        <w:pStyle w:val="Bibliography"/>
      </w:pPr>
      <w:bookmarkStart w:id="46" w:name="ref-jastrzebski_comparisonfourlbbb_2018"/>
      <w:bookmarkEnd w:id="45"/>
      <w:r>
        <w:t xml:space="preserve">32. Jastrzębski M, Kukla P, Kisiel R, Fijorek K, Moskal P, Czarnecka D. Comparison of four LBBB definitions for predicting mortality in patients receiving cardiac resynchronization therapy. Annals of Noninvasive Electrocardiology. 2018;23(5):e12563. </w:t>
      </w:r>
    </w:p>
    <w:p w:rsidR="00332B4E" w:rsidRDefault="00A93037">
      <w:pPr>
        <w:pStyle w:val="Bibliography"/>
      </w:pPr>
      <w:bookmarkStart w:id="47" w:name="ref-jackson_narrowqrssystolic_2015"/>
      <w:bookmarkEnd w:id="46"/>
      <w:r>
        <w:t xml:space="preserve">33. Jackson T, Claridge S, Behar J, Sammut E, Webb J, Carr-White G, et al. Narrow QRS systolic heart failure: Is there a target for cardiac resynchronization? Expert Review of Cardiovascular Therapy. 2015 Jul 3;13(7):783–97. </w:t>
      </w:r>
    </w:p>
    <w:p w:rsidR="00332B4E" w:rsidRPr="0041152A" w:rsidRDefault="00A93037" w:rsidP="0041152A">
      <w:pPr>
        <w:pStyle w:val="Heading1"/>
      </w:pPr>
      <w:bookmarkStart w:id="48" w:name="appendix"/>
      <w:bookmarkEnd w:id="15"/>
      <w:bookmarkEnd w:id="47"/>
      <w:r w:rsidRPr="0041152A">
        <w:lastRenderedPageBreak/>
        <w:t>Appendix</w:t>
      </w:r>
      <w:bookmarkEnd w:id="48"/>
    </w:p>
    <w:p w:rsidR="00332B4E" w:rsidRDefault="00A93037">
      <w:pPr>
        <w:pStyle w:val="CaptionedFigure"/>
      </w:pPr>
      <w:r>
        <w:rPr>
          <w:noProof/>
        </w:rPr>
        <w:drawing>
          <wp:inline distT="0" distB="0" distL="0" distR="0">
            <wp:extent cx="4620126" cy="4620126"/>
            <wp:effectExtent l="0" t="0" r="0" b="0"/>
            <wp:docPr id="1" name="Picture" descr="Figure 1: Receiver operating characteristics (ROC) for univariable logistic regression models to differentiate between left bundle branch block (LBBB) and controls using the circumferential uniformity ratio estimate (CURE) and the systolic stretch index (SSI), respectively. Better discriminatory ability for LBBB is seen for SSI compared to CURE. AUC = area under the ROC curve, CI = confidence interval."/>
            <wp:cNvGraphicFramePr/>
            <a:graphic xmlns:a="http://schemas.openxmlformats.org/drawingml/2006/main">
              <a:graphicData uri="http://schemas.openxmlformats.org/drawingml/2006/picture">
                <pic:pic xmlns:pic="http://schemas.openxmlformats.org/drawingml/2006/picture">
                  <pic:nvPicPr>
                    <pic:cNvPr id="0" name="Picture" descr="appendix_files/figure-docx/dysrocplot-1.png"/>
                    <pic:cNvPicPr>
                      <a:picLocks noChangeAspect="1" noChangeArrowheads="1"/>
                    </pic:cNvPicPr>
                  </pic:nvPicPr>
                  <pic:blipFill>
                    <a:blip r:embed="rId7"/>
                    <a:stretch>
                      <a:fillRect/>
                    </a:stretch>
                  </pic:blipFill>
                  <pic:spPr bwMode="auto">
                    <a:xfrm>
                      <a:off x="0" y="0"/>
                      <a:ext cx="4620126" cy="4620126"/>
                    </a:xfrm>
                    <a:prstGeom prst="rect">
                      <a:avLst/>
                    </a:prstGeom>
                    <a:noFill/>
                    <a:ln w="9525">
                      <a:noFill/>
                      <a:headEnd/>
                      <a:tailEnd/>
                    </a:ln>
                  </pic:spPr>
                </pic:pic>
              </a:graphicData>
            </a:graphic>
          </wp:inline>
        </w:drawing>
      </w:r>
    </w:p>
    <w:p w:rsidR="00332B4E" w:rsidRDefault="00A93037">
      <w:pPr>
        <w:pStyle w:val="ImageCaption"/>
      </w:pPr>
      <w:r>
        <w:t>Figure 1: Receiver operating characteristics (ROC) for univariable logistic regression models to differentiate be</w:t>
      </w:r>
      <w:bookmarkStart w:id="49" w:name="_GoBack"/>
      <w:bookmarkEnd w:id="49"/>
      <w:r>
        <w:t>tween left bundle branch block (LBBB) and controls using the circumferential uniformity ratio estimate (CURE) and the systolic stretch index (SSI), respectively. Better discriminatory ability for LBBB is seen for SSI compared to CURE. AUC = area under the ROC curve, CI = confidence interval.</w:t>
      </w:r>
    </w:p>
    <w:p w:rsidR="00332B4E" w:rsidRDefault="00A93037">
      <w:pPr>
        <w:pStyle w:val="CaptionedFigure"/>
      </w:pPr>
      <w:r>
        <w:rPr>
          <w:noProof/>
        </w:rPr>
        <w:lastRenderedPageBreak/>
        <w:drawing>
          <wp:inline distT="0" distB="0" distL="0" distR="0">
            <wp:extent cx="4620126" cy="4620126"/>
            <wp:effectExtent l="0" t="0" r="0" b="0"/>
            <wp:docPr id="2" name="Picture" descr="Figure 2: Values for the circumferential uniformity ratio estimate (CURE) and the systolic stretch index (SSI) for left bundle branch block (LBBB) and controls. The box and whisker plots show the median (horizontal line), interquartile range (box), and data points within 1.5 \times interquartiles ranges of the first and third quartile, respectively (whiskers). Note, there is more pronounced mechanical dyssynchrony (lower CURE, higher SSI) in LBBB compared to control. CURE is more homogenously distributed between groups compared to SSI. Numbers presented represent difference in medians [95% confidence interval]."/>
            <wp:cNvGraphicFramePr/>
            <a:graphic xmlns:a="http://schemas.openxmlformats.org/drawingml/2006/main">
              <a:graphicData uri="http://schemas.openxmlformats.org/drawingml/2006/picture">
                <pic:pic xmlns:pic="http://schemas.openxmlformats.org/drawingml/2006/picture">
                  <pic:nvPicPr>
                    <pic:cNvPr id="0" name="Picture" descr="appendix_files/figure-docx/dysboxplot-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rsidR="00332B4E" w:rsidRDefault="00A93037">
      <w:pPr>
        <w:pStyle w:val="ImageCaption"/>
      </w:pPr>
      <w:r>
        <w:t xml:space="preserve">Figure 2: Values for the circumferential uniformity ratio estimate (CURE) and the systolic stretch index (SSI) for left bundle branch block (LBBB) and controls. The box and whisker plots show the median (horizontal line), interquartile range (box), and data points within </w:t>
      </w:r>
      <m:oMath>
        <m:r>
          <w:rPr>
            <w:rFonts w:ascii="Cambria Math" w:hAnsi="Cambria Math"/>
          </w:rPr>
          <m:t>1.5×</m:t>
        </m:r>
      </m:oMath>
      <w:r>
        <w:t xml:space="preserve"> interquartiles ranges of the first and third quartile, respectively (whiskers). Note, there is more pronounced mechanical dyssynchrony (lower CURE, higher SSI) in LBBB compared to control. CURE is more homogenously distributed between groups compared to SSI. Numbers presented represent difference in medians [95% confidence interval].</w:t>
      </w:r>
    </w:p>
    <w:p w:rsidR="00332B4E" w:rsidRDefault="00A93037">
      <w:pPr>
        <w:pStyle w:val="CaptionedFigure"/>
      </w:pPr>
      <w:r>
        <w:rPr>
          <w:noProof/>
        </w:rPr>
        <w:lastRenderedPageBreak/>
        <w:drawing>
          <wp:inline distT="0" distB="0" distL="0" distR="0">
            <wp:extent cx="5334000" cy="3556000"/>
            <wp:effectExtent l="0" t="0" r="0" b="0"/>
            <wp:docPr id="3" name="Picture" descr="Figure 3: Bar plot showing sensitivity and specificity for detecting left bundle branch block using the systolic stretch index (SSI) and the circumferential uniformity ratio estimate (CURE), respectively. Error bars denote 95% confidence intervals."/>
            <wp:cNvGraphicFramePr/>
            <a:graphic xmlns:a="http://schemas.openxmlformats.org/drawingml/2006/main">
              <a:graphicData uri="http://schemas.openxmlformats.org/drawingml/2006/picture">
                <pic:pic xmlns:pic="http://schemas.openxmlformats.org/drawingml/2006/picture">
                  <pic:nvPicPr>
                    <pic:cNvPr id="0" name="Picture" descr="appendix_files/figure-docx/performanceplot-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332B4E" w:rsidRDefault="00A93037">
      <w:pPr>
        <w:pStyle w:val="ImageCaption"/>
      </w:pPr>
      <w:r>
        <w:t>Figure 3: Bar plot showing sensitivity and specificity for detecting left bundle branch block using the systolic stretch index (SSI) and the circumferential uniformity ratio estimate (CURE), respectively. Error bars denote 95% confidence intervals.</w:t>
      </w:r>
    </w:p>
    <w:p w:rsidR="00D47881" w:rsidRDefault="00D47881">
      <w:pPr>
        <w:pStyle w:val="Compact"/>
      </w:pPr>
    </w:p>
    <w:p w:rsidR="00D47881" w:rsidRDefault="00D47881" w:rsidP="00D47881">
      <w:pPr>
        <w:pStyle w:val="BodyText"/>
      </w:pPr>
      <w:r>
        <w:br w:type="page"/>
      </w:r>
    </w:p>
    <w:p w:rsidR="00D47881" w:rsidRPr="000B1C22" w:rsidRDefault="00D47881" w:rsidP="00D47881">
      <w:pPr>
        <w:pStyle w:val="NormalWeb"/>
        <w:spacing w:after="0"/>
        <w:rPr>
          <w:lang w:val="en-US"/>
        </w:rPr>
      </w:pPr>
      <w:r w:rsidRPr="000B1C22">
        <w:rPr>
          <w:lang w:val="en-US"/>
        </w:rPr>
        <w:lastRenderedPageBreak/>
        <w:t>Table 1:</w:t>
      </w:r>
    </w:p>
    <w:tbl>
      <w:tblPr>
        <w:tblW w:w="9975"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570"/>
        <w:gridCol w:w="2565"/>
        <w:gridCol w:w="1494"/>
        <w:gridCol w:w="2852"/>
        <w:gridCol w:w="1494"/>
      </w:tblGrid>
      <w:tr w:rsidR="00D47881" w:rsidRPr="000B1C22" w:rsidTr="00743E74">
        <w:trPr>
          <w:tblHeader/>
          <w:tblCellSpacing w:w="0" w:type="dxa"/>
        </w:trPr>
        <w:tc>
          <w:tcPr>
            <w:tcW w:w="5595" w:type="dxa"/>
            <w:gridSpan w:val="3"/>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Descriptive Statistics </w:t>
            </w:r>
            <w:r w:rsidRPr="000B1C22">
              <w:rPr>
                <w:rFonts w:ascii="Times New Roman" w:eastAsia="Times New Roman" w:hAnsi="Times New Roman" w:cs="Times New Roman"/>
                <w:i/>
                <w:iCs/>
                <w:lang w:val="en-SE" w:eastAsia="en-SE"/>
              </w:rPr>
              <w:t>(N=80)</w:t>
            </w:r>
            <w:r w:rsidRPr="000B1C22">
              <w:rPr>
                <w:rFonts w:ascii="Times New Roman" w:eastAsia="Times New Roman" w:hAnsi="Times New Roman" w:cs="Times New Roman"/>
                <w:lang w:val="en-SE" w:eastAsia="en-SE"/>
              </w:rPr>
              <w:t>.</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p>
        </w:tc>
      </w:tr>
      <w:tr w:rsidR="00D47881" w:rsidRPr="000B1C22" w:rsidTr="00743E74">
        <w:trPr>
          <w:tblHeader/>
          <w:tblCellSpacing w:w="0" w:type="dxa"/>
        </w:trPr>
        <w:tc>
          <w:tcPr>
            <w:tcW w:w="1560" w:type="dxa"/>
            <w:tcBorders>
              <w:top w:val="single" w:sz="12" w:space="0" w:color="000000"/>
              <w:left w:val="nil"/>
              <w:bottom w:val="single" w:sz="6" w:space="0" w:color="000000"/>
              <w:right w:val="nil"/>
            </w:tcBorders>
            <w:shd w:val="clear" w:color="auto" w:fill="FFFFFF"/>
            <w:tcMar>
              <w:top w:w="29" w:type="dxa"/>
              <w:left w:w="0" w:type="dxa"/>
              <w:bottom w:w="29"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p>
        </w:tc>
        <w:tc>
          <w:tcPr>
            <w:tcW w:w="3975" w:type="dxa"/>
            <w:gridSpan w:val="2"/>
            <w:tcBorders>
              <w:top w:val="single" w:sz="12" w:space="0" w:color="000000"/>
              <w:left w:val="nil"/>
              <w:bottom w:val="single" w:sz="6" w:space="0" w:color="000000"/>
              <w:right w:val="nil"/>
            </w:tcBorders>
            <w:shd w:val="clear" w:color="auto" w:fill="FFFFFF"/>
            <w:tcMar>
              <w:top w:w="29" w:type="dxa"/>
              <w:left w:w="0" w:type="dxa"/>
              <w:bottom w:w="29"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b/>
                <w:bCs/>
                <w:lang w:val="en-SE" w:eastAsia="en-SE"/>
              </w:rPr>
            </w:pPr>
            <w:r w:rsidRPr="000B1C22">
              <w:rPr>
                <w:rFonts w:ascii="Times New Roman" w:eastAsia="Times New Roman" w:hAnsi="Times New Roman" w:cs="Times New Roman"/>
                <w:b/>
                <w:bCs/>
                <w:lang w:val="en-SE" w:eastAsia="en-SE"/>
              </w:rPr>
              <w:t>Control</w:t>
            </w:r>
            <w:r w:rsidRPr="000B1C22">
              <w:rPr>
                <w:rFonts w:ascii="Times New Roman" w:eastAsia="Times New Roman" w:hAnsi="Times New Roman" w:cs="Times New Roman"/>
                <w:b/>
                <w:bCs/>
                <w:lang w:val="en-SE" w:eastAsia="en-SE"/>
              </w:rPr>
              <w:br/>
            </w:r>
            <w:r w:rsidRPr="000B1C22">
              <w:rPr>
                <w:rFonts w:ascii="Times New Roman" w:eastAsia="Times New Roman" w:hAnsi="Times New Roman" w:cs="Times New Roman"/>
                <w:b/>
                <w:bCs/>
                <w:i/>
                <w:iCs/>
                <w:lang w:val="en-SE" w:eastAsia="en-SE"/>
              </w:rPr>
              <w:t>N=36</w:t>
            </w:r>
          </w:p>
        </w:tc>
        <w:tc>
          <w:tcPr>
            <w:tcW w:w="4260" w:type="dxa"/>
            <w:gridSpan w:val="2"/>
            <w:tcBorders>
              <w:top w:val="single" w:sz="12" w:space="0" w:color="000000"/>
              <w:left w:val="nil"/>
              <w:bottom w:val="single" w:sz="6" w:space="0" w:color="000000"/>
              <w:right w:val="nil"/>
            </w:tcBorders>
            <w:shd w:val="clear" w:color="auto" w:fill="FFFFFF"/>
            <w:tcMar>
              <w:top w:w="29" w:type="dxa"/>
              <w:left w:w="0" w:type="dxa"/>
              <w:bottom w:w="29"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b/>
                <w:bCs/>
                <w:lang w:val="en-SE" w:eastAsia="en-SE"/>
              </w:rPr>
            </w:pPr>
            <w:r w:rsidRPr="000B1C22">
              <w:rPr>
                <w:rFonts w:ascii="Times New Roman" w:eastAsia="Times New Roman" w:hAnsi="Times New Roman" w:cs="Times New Roman"/>
                <w:b/>
                <w:bCs/>
                <w:lang w:val="en-SE" w:eastAsia="en-SE"/>
              </w:rPr>
              <w:t>LBBB</w:t>
            </w:r>
            <w:r w:rsidRPr="000B1C22">
              <w:rPr>
                <w:rFonts w:ascii="Times New Roman" w:eastAsia="Times New Roman" w:hAnsi="Times New Roman" w:cs="Times New Roman"/>
                <w:b/>
                <w:bCs/>
                <w:lang w:val="en-SE" w:eastAsia="en-SE"/>
              </w:rPr>
              <w:br/>
            </w:r>
            <w:r w:rsidRPr="000B1C22">
              <w:rPr>
                <w:rFonts w:ascii="Times New Roman" w:eastAsia="Times New Roman" w:hAnsi="Times New Roman" w:cs="Times New Roman"/>
                <w:b/>
                <w:bCs/>
                <w:i/>
                <w:iCs/>
                <w:lang w:val="en-SE" w:eastAsia="en-SE"/>
              </w:rPr>
              <w:t>N=44</w:t>
            </w:r>
          </w:p>
        </w:tc>
      </w:tr>
      <w:tr w:rsidR="00D47881" w:rsidRPr="000B1C22" w:rsidTr="00743E74">
        <w:trPr>
          <w:tblCellSpacing w:w="0" w:type="dxa"/>
        </w:trPr>
        <w:tc>
          <w:tcPr>
            <w:tcW w:w="1560"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 xml:space="preserve">Age </w:t>
            </w:r>
            <w:proofErr w:type="spellStart"/>
            <w:r w:rsidRPr="000B1C22">
              <w:rPr>
                <w:rFonts w:ascii="Verdana" w:eastAsia="Times New Roman" w:hAnsi="Verdana" w:cs="Times New Roman"/>
                <w:sz w:val="14"/>
                <w:szCs w:val="14"/>
                <w:lang w:val="en-SE" w:eastAsia="en-SE"/>
              </w:rPr>
              <w:t>yrs</w:t>
            </w:r>
            <w:proofErr w:type="spellEnd"/>
          </w:p>
        </w:tc>
        <w:tc>
          <w:tcPr>
            <w:tcW w:w="2550"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47.9</w:t>
            </w:r>
          </w:p>
        </w:tc>
        <w:tc>
          <w:tcPr>
            <w:tcW w:w="136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[36.0, 59.8]</w:t>
            </w:r>
          </w:p>
        </w:tc>
        <w:tc>
          <w:tcPr>
            <w:tcW w:w="283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64.0</w:t>
            </w:r>
          </w:p>
        </w:tc>
        <w:tc>
          <w:tcPr>
            <w:tcW w:w="136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[58.8, 69.0]</w:t>
            </w:r>
          </w:p>
        </w:tc>
      </w:tr>
      <w:tr w:rsidR="00D47881" w:rsidRPr="000B1C22"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 xml:space="preserve">EDV </w:t>
            </w:r>
            <w:r w:rsidRPr="000B1C22">
              <w:rPr>
                <w:rFonts w:ascii="Verdana" w:eastAsia="Times New Roman" w:hAnsi="Verdana" w:cs="Times New Roman"/>
                <w:sz w:val="14"/>
                <w:szCs w:val="14"/>
                <w:lang w:val="en-SE" w:eastAsia="en-SE"/>
              </w:rPr>
              <w:t>mL</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253.5</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[163.6, 307.0]</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255.0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[209.8, 291.2]</w:t>
            </w:r>
          </w:p>
        </w:tc>
      </w:tr>
      <w:tr w:rsidR="00D47881" w:rsidRPr="000B1C22"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 xml:space="preserve">EDVI </w:t>
            </w:r>
            <w:r w:rsidRPr="000B1C22">
              <w:rPr>
                <w:rFonts w:ascii="Verdana" w:eastAsia="Times New Roman" w:hAnsi="Verdana" w:cs="Times New Roman"/>
                <w:sz w:val="14"/>
                <w:szCs w:val="14"/>
                <w:lang w:val="en-SE" w:eastAsia="en-SE"/>
              </w:rPr>
              <w:t>mL/m</w:t>
            </w:r>
            <w:r w:rsidRPr="00D17565">
              <w:rPr>
                <w:rFonts w:ascii="Verdana" w:eastAsia="Times New Roman" w:hAnsi="Verdana" w:cs="Times New Roman"/>
                <w:sz w:val="10"/>
                <w:szCs w:val="10"/>
                <w:vertAlign w:val="superscript"/>
                <w:lang w:val="en-SE" w:eastAsia="en-SE"/>
              </w:rPr>
              <w:t>2</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122.5</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[100.6, 150.2]</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127.0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[114.0, 153.5]</w:t>
            </w:r>
          </w:p>
        </w:tc>
      </w:tr>
      <w:tr w:rsidR="00D47881" w:rsidRPr="000B1C22"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 xml:space="preserve">LVM </w:t>
            </w:r>
            <w:r w:rsidRPr="000B1C22">
              <w:rPr>
                <w:rFonts w:ascii="Verdana" w:eastAsia="Times New Roman" w:hAnsi="Verdana" w:cs="Times New Roman"/>
                <w:sz w:val="14"/>
                <w:szCs w:val="14"/>
                <w:lang w:val="en-SE" w:eastAsia="en-SE"/>
              </w:rPr>
              <w:t>mg</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182.7</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[156.0, 223.2]</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159.0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[131.0, 184.0]</w:t>
            </w:r>
          </w:p>
        </w:tc>
      </w:tr>
      <w:tr w:rsidR="00D47881" w:rsidRPr="000B1C22"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 xml:space="preserve">LVMI </w:t>
            </w:r>
            <w:r w:rsidRPr="000B1C22">
              <w:rPr>
                <w:rFonts w:ascii="Verdana" w:eastAsia="Times New Roman" w:hAnsi="Verdana" w:cs="Times New Roman"/>
                <w:sz w:val="14"/>
                <w:szCs w:val="14"/>
                <w:lang w:val="en-SE" w:eastAsia="en-SE"/>
              </w:rPr>
              <w:t>mg/m</w:t>
            </w:r>
            <w:r w:rsidRPr="00D17565">
              <w:rPr>
                <w:rFonts w:ascii="Verdana" w:eastAsia="Times New Roman" w:hAnsi="Verdana" w:cs="Times New Roman"/>
                <w:sz w:val="10"/>
                <w:szCs w:val="10"/>
                <w:vertAlign w:val="superscript"/>
                <w:lang w:val="en-SE" w:eastAsia="en-SE"/>
              </w:rPr>
              <w:t>2</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99.8</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[81.7, 117.1]</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85.0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[67.0, 96.2]</w:t>
            </w:r>
          </w:p>
        </w:tc>
      </w:tr>
      <w:tr w:rsidR="00D47881" w:rsidRPr="000B1C22"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proofErr w:type="gramStart"/>
            <w:r w:rsidRPr="000B1C22">
              <w:rPr>
                <w:rFonts w:ascii="Times New Roman" w:eastAsia="Times New Roman" w:hAnsi="Times New Roman" w:cs="Times New Roman"/>
                <w:lang w:val="en-SE" w:eastAsia="en-SE"/>
              </w:rPr>
              <w:t>Sex :</w:t>
            </w:r>
            <w:proofErr w:type="gramEnd"/>
            <w:r w:rsidRPr="000B1C22">
              <w:rPr>
                <w:rFonts w:ascii="Times New Roman" w:eastAsia="Times New Roman" w:hAnsi="Times New Roman" w:cs="Times New Roman"/>
                <w:lang w:val="en-SE" w:eastAsia="en-SE"/>
              </w:rPr>
              <w:t xml:space="preserve"> M</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0.44 </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16⁄36</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0.43</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19⁄44</w:t>
            </w:r>
          </w:p>
        </w:tc>
      </w:tr>
      <w:tr w:rsidR="00D47881" w:rsidRPr="000B1C22"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 xml:space="preserve">BMI </w:t>
            </w:r>
            <w:r w:rsidRPr="000B1C22">
              <w:rPr>
                <w:rFonts w:ascii="Verdana" w:eastAsia="Times New Roman" w:hAnsi="Verdana" w:cs="Times New Roman"/>
                <w:sz w:val="14"/>
                <w:szCs w:val="14"/>
                <w:lang w:val="en-SE" w:eastAsia="en-SE"/>
              </w:rPr>
              <w:t>kg/m</w:t>
            </w:r>
            <w:r w:rsidRPr="00D17565">
              <w:rPr>
                <w:rFonts w:ascii="Verdana" w:eastAsia="Times New Roman" w:hAnsi="Verdana" w:cs="Times New Roman"/>
                <w:sz w:val="10"/>
                <w:szCs w:val="10"/>
                <w:vertAlign w:val="superscript"/>
                <w:lang w:val="en-SE" w:eastAsia="en-SE"/>
              </w:rPr>
              <w:t>2</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27.3</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[25.4, 34.2]</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26.7</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[24.1, 29.4]</w:t>
            </w:r>
          </w:p>
        </w:tc>
      </w:tr>
      <w:tr w:rsidR="00D47881" w:rsidRPr="000B1C22"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 xml:space="preserve">LVEF </w:t>
            </w:r>
            <w:r w:rsidRPr="000B1C22">
              <w:rPr>
                <w:rFonts w:ascii="Verdana" w:eastAsia="Times New Roman" w:hAnsi="Verdana" w:cs="Times New Roman"/>
                <w:sz w:val="14"/>
                <w:szCs w:val="14"/>
                <w:lang w:val="en-SE" w:eastAsia="en-SE"/>
              </w:rPr>
              <w:t>%</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25.0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[21.0, 30.2]</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27.0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[23.8, 32.0]</w:t>
            </w:r>
          </w:p>
        </w:tc>
      </w:tr>
      <w:tr w:rsidR="00D47881" w:rsidRPr="000B1C22" w:rsidTr="00743E74">
        <w:trPr>
          <w:tblCellSpacing w:w="0" w:type="dxa"/>
        </w:trPr>
        <w:tc>
          <w:tcPr>
            <w:tcW w:w="1560"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 xml:space="preserve">QRS </w:t>
            </w:r>
            <w:proofErr w:type="spellStart"/>
            <w:r w:rsidRPr="000B1C22">
              <w:rPr>
                <w:rFonts w:ascii="Verdana" w:eastAsia="Times New Roman" w:hAnsi="Verdana" w:cs="Times New Roman"/>
                <w:sz w:val="14"/>
                <w:szCs w:val="14"/>
                <w:lang w:val="en-SE" w:eastAsia="en-SE"/>
              </w:rPr>
              <w:t>ms</w:t>
            </w:r>
            <w:proofErr w:type="spellEnd"/>
          </w:p>
        </w:tc>
        <w:tc>
          <w:tcPr>
            <w:tcW w:w="2550"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90</w:t>
            </w:r>
          </w:p>
        </w:tc>
        <w:tc>
          <w:tcPr>
            <w:tcW w:w="1365"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[84, 101]</w:t>
            </w:r>
          </w:p>
        </w:tc>
        <w:tc>
          <w:tcPr>
            <w:tcW w:w="2835"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158</w:t>
            </w:r>
          </w:p>
        </w:tc>
        <w:tc>
          <w:tcPr>
            <w:tcW w:w="1365"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rsidR="00D47881" w:rsidRPr="000B1C22" w:rsidRDefault="00D47881" w:rsidP="00743E74">
            <w:pPr>
              <w:spacing w:before="100" w:beforeAutospacing="1" w:after="0" w:line="276" w:lineRule="auto"/>
              <w:jc w:val="center"/>
              <w:rPr>
                <w:rFonts w:ascii="Times New Roman" w:eastAsia="Times New Roman" w:hAnsi="Times New Roman" w:cs="Times New Roman"/>
                <w:lang w:val="en-SE" w:eastAsia="en-SE"/>
              </w:rPr>
            </w:pPr>
            <w:r w:rsidRPr="000B1C22">
              <w:rPr>
                <w:rFonts w:ascii="Times New Roman" w:eastAsia="Times New Roman" w:hAnsi="Times New Roman" w:cs="Times New Roman"/>
                <w:lang w:val="en-SE" w:eastAsia="en-SE"/>
              </w:rPr>
              <w:t>[150, 170]</w:t>
            </w:r>
          </w:p>
        </w:tc>
      </w:tr>
      <w:tr w:rsidR="00D47881" w:rsidRPr="000B1C22" w:rsidTr="00743E74">
        <w:trPr>
          <w:tblCellSpacing w:w="0" w:type="dxa"/>
        </w:trPr>
        <w:tc>
          <w:tcPr>
            <w:tcW w:w="9915" w:type="dxa"/>
            <w:gridSpan w:val="5"/>
            <w:tcBorders>
              <w:top w:val="nil"/>
              <w:left w:val="nil"/>
              <w:bottom w:val="nil"/>
              <w:right w:val="nil"/>
            </w:tcBorders>
            <w:shd w:val="clear" w:color="auto" w:fill="FFFFFF"/>
            <w:tcMar>
              <w:top w:w="0" w:type="dxa"/>
              <w:left w:w="0" w:type="dxa"/>
              <w:bottom w:w="0" w:type="dxa"/>
              <w:right w:w="0" w:type="dxa"/>
            </w:tcMar>
            <w:vAlign w:val="center"/>
            <w:hideMark/>
          </w:tcPr>
          <w:p w:rsidR="00D47881" w:rsidRPr="000B1C22" w:rsidRDefault="00D47881" w:rsidP="00743E74">
            <w:pPr>
              <w:spacing w:before="100" w:beforeAutospacing="1" w:after="0" w:line="276" w:lineRule="auto"/>
              <w:rPr>
                <w:rFonts w:ascii="Times New Roman" w:eastAsia="Times New Roman" w:hAnsi="Times New Roman" w:cs="Times New Roman"/>
                <w:lang w:val="en-SE" w:eastAsia="en-SE"/>
              </w:rPr>
            </w:pPr>
            <w:r>
              <w:rPr>
                <w:rFonts w:ascii="Times New Roman" w:eastAsia="Times New Roman" w:hAnsi="Times New Roman" w:cs="Times New Roman"/>
                <w:i/>
                <w:iCs/>
                <w:sz w:val="16"/>
                <w:szCs w:val="16"/>
                <w:lang w:eastAsia="en-SE"/>
              </w:rPr>
              <w:t xml:space="preserve">a [b, </w:t>
            </w:r>
            <w:r w:rsidRPr="000B1C22">
              <w:rPr>
                <w:rFonts w:ascii="Times New Roman" w:eastAsia="Times New Roman" w:hAnsi="Times New Roman" w:cs="Times New Roman"/>
                <w:i/>
                <w:iCs/>
                <w:sz w:val="16"/>
                <w:szCs w:val="16"/>
                <w:lang w:val="en-SE" w:eastAsia="en-SE"/>
              </w:rPr>
              <w:t>c</w:t>
            </w:r>
            <w:r>
              <w:rPr>
                <w:rFonts w:ascii="Times New Roman" w:eastAsia="Times New Roman" w:hAnsi="Times New Roman" w:cs="Times New Roman"/>
                <w:i/>
                <w:iCs/>
                <w:sz w:val="16"/>
                <w:szCs w:val="16"/>
                <w:lang w:eastAsia="en-SE"/>
              </w:rPr>
              <w:t>]</w:t>
            </w:r>
            <w:r w:rsidRPr="000B1C22">
              <w:rPr>
                <w:rFonts w:ascii="Times New Roman" w:eastAsia="Times New Roman" w:hAnsi="Times New Roman" w:cs="Times New Roman"/>
                <w:lang w:val="en-SE" w:eastAsia="en-SE"/>
              </w:rPr>
              <w:t xml:space="preserve"> represent </w:t>
            </w:r>
            <w:r>
              <w:rPr>
                <w:rFonts w:ascii="Times New Roman" w:eastAsia="Times New Roman" w:hAnsi="Times New Roman" w:cs="Times New Roman"/>
                <w:lang w:eastAsia="en-SE"/>
              </w:rPr>
              <w:t xml:space="preserve">the median </w:t>
            </w:r>
            <w:r w:rsidRPr="000B1C22">
              <w:rPr>
                <w:rFonts w:ascii="Times New Roman" w:eastAsia="Times New Roman" w:hAnsi="Times New Roman" w:cs="Times New Roman"/>
                <w:i/>
                <w:iCs/>
                <w:lang w:val="en-SE" w:eastAsia="en-SE"/>
              </w:rPr>
              <w:t>a</w:t>
            </w:r>
            <w:r>
              <w:rPr>
                <w:rFonts w:ascii="Times New Roman" w:eastAsia="Times New Roman" w:hAnsi="Times New Roman" w:cs="Times New Roman"/>
                <w:lang w:eastAsia="en-SE"/>
              </w:rPr>
              <w:t xml:space="preserve">, </w:t>
            </w:r>
            <w:r w:rsidRPr="000B1C22">
              <w:rPr>
                <w:rFonts w:ascii="Times New Roman" w:eastAsia="Times New Roman" w:hAnsi="Times New Roman" w:cs="Times New Roman"/>
                <w:lang w:val="en-SE" w:eastAsia="en-SE"/>
              </w:rPr>
              <w:t>the lower quartile</w:t>
            </w:r>
            <w:r w:rsidRPr="000B1C22">
              <w:rPr>
                <w:rFonts w:ascii="Times New Roman" w:eastAsia="Times New Roman" w:hAnsi="Times New Roman" w:cs="Times New Roman"/>
                <w:i/>
                <w:iCs/>
                <w:lang w:val="en-SE" w:eastAsia="en-SE"/>
              </w:rPr>
              <w:t xml:space="preserve"> b</w:t>
            </w:r>
            <w:r w:rsidRPr="000B1C22">
              <w:rPr>
                <w:rFonts w:ascii="Times New Roman" w:eastAsia="Times New Roman" w:hAnsi="Times New Roman" w:cs="Times New Roman"/>
                <w:lang w:val="en-SE" w:eastAsia="en-SE"/>
              </w:rPr>
              <w:t>, and the upper quartile </w:t>
            </w:r>
            <w:r w:rsidRPr="000B1C22">
              <w:rPr>
                <w:rFonts w:ascii="Times New Roman" w:eastAsia="Times New Roman" w:hAnsi="Times New Roman" w:cs="Times New Roman"/>
                <w:i/>
                <w:iCs/>
                <w:lang w:val="en-SE" w:eastAsia="en-SE"/>
              </w:rPr>
              <w:t>c</w:t>
            </w:r>
            <w:r w:rsidRPr="000B1C22">
              <w:rPr>
                <w:rFonts w:ascii="Times New Roman" w:eastAsia="Times New Roman" w:hAnsi="Times New Roman" w:cs="Times New Roman"/>
                <w:lang w:val="en-SE" w:eastAsia="en-SE"/>
              </w:rPr>
              <w:t> for continuous variables. EDV = End-diastolic volume, EDVI = End-diastolic volume index, LVM = Left ventricular mass, LVMI = Left ventricular mass index, LVEF = Left ventricular ejection fraction, BMI = Body mass index.</w:t>
            </w:r>
          </w:p>
        </w:tc>
      </w:tr>
    </w:tbl>
    <w:p w:rsidR="00332B4E" w:rsidRDefault="00332B4E">
      <w:pPr>
        <w:pStyle w:val="Compact"/>
      </w:pPr>
    </w:p>
    <w:sectPr w:rsidR="00332B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B54" w:rsidRDefault="00247B54">
      <w:pPr>
        <w:spacing w:after="0"/>
      </w:pPr>
      <w:r>
        <w:separator/>
      </w:r>
    </w:p>
  </w:endnote>
  <w:endnote w:type="continuationSeparator" w:id="0">
    <w:p w:rsidR="00247B54" w:rsidRDefault="00247B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B54" w:rsidRDefault="00247B54">
      <w:r>
        <w:separator/>
      </w:r>
    </w:p>
  </w:footnote>
  <w:footnote w:type="continuationSeparator" w:id="0">
    <w:p w:rsidR="00247B54" w:rsidRDefault="00247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E52454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9BE"/>
    <w:rsid w:val="000A675A"/>
    <w:rsid w:val="00155D57"/>
    <w:rsid w:val="001F4FA4"/>
    <w:rsid w:val="00247B54"/>
    <w:rsid w:val="002D795B"/>
    <w:rsid w:val="003055D6"/>
    <w:rsid w:val="00323328"/>
    <w:rsid w:val="00327319"/>
    <w:rsid w:val="00332B4E"/>
    <w:rsid w:val="0041152A"/>
    <w:rsid w:val="00473B35"/>
    <w:rsid w:val="004B5869"/>
    <w:rsid w:val="004E29B3"/>
    <w:rsid w:val="00590D07"/>
    <w:rsid w:val="00640033"/>
    <w:rsid w:val="00731116"/>
    <w:rsid w:val="00784D58"/>
    <w:rsid w:val="008C2897"/>
    <w:rsid w:val="008D6863"/>
    <w:rsid w:val="009124EA"/>
    <w:rsid w:val="00A93037"/>
    <w:rsid w:val="00B86B75"/>
    <w:rsid w:val="00BC48D5"/>
    <w:rsid w:val="00C12259"/>
    <w:rsid w:val="00C36279"/>
    <w:rsid w:val="00D47881"/>
    <w:rsid w:val="00DE2F5F"/>
    <w:rsid w:val="00E315A3"/>
    <w:rsid w:val="00EF39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A3645-6731-4455-902C-80C3EAA0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1152A"/>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1152A"/>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152A"/>
    <w:pPr>
      <w:spacing w:before="180" w:after="180" w:line="480" w:lineRule="auto"/>
    </w:pPr>
    <w:rPr>
      <w:rFonts w:ascii="Times New Roman" w:hAnsi="Times New Roman"/>
    </w:rPr>
  </w:style>
  <w:style w:type="paragraph" w:customStyle="1" w:styleId="FirstParagraph">
    <w:name w:val="First Paragraph"/>
    <w:basedOn w:val="BodyText"/>
    <w:next w:val="BodyText"/>
    <w:autoRedefine/>
    <w:qFormat/>
    <w:rsid w:val="0041152A"/>
  </w:style>
  <w:style w:type="paragraph" w:customStyle="1" w:styleId="Compact">
    <w:name w:val="Compact"/>
    <w:basedOn w:val="BodyText"/>
    <w:qFormat/>
    <w:pPr>
      <w:spacing w:before="36" w:after="36"/>
    </w:pPr>
  </w:style>
  <w:style w:type="paragraph" w:styleId="Title">
    <w:name w:val="Title"/>
    <w:basedOn w:val="Normal"/>
    <w:next w:val="BodyText"/>
    <w:qFormat/>
    <w:rsid w:val="0041152A"/>
    <w:pPr>
      <w:keepNext/>
      <w:keepLines/>
      <w:spacing w:before="48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1152A"/>
    <w:pPr>
      <w:keepNext/>
      <w:keepLines/>
      <w:spacing w:line="480" w:lineRule="auto"/>
      <w:jc w:val="center"/>
    </w:pPr>
    <w:rPr>
      <w:rFonts w:ascii="Times New Roman" w:hAnsi="Times New Roman" w:cs="Times New Roman"/>
    </w:rPr>
  </w:style>
  <w:style w:type="paragraph" w:styleId="Date">
    <w:name w:val="Date"/>
    <w:next w:val="BodyText"/>
    <w:qFormat/>
    <w:rsid w:val="0041152A"/>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124EA"/>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3055D6"/>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233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23328"/>
    <w:rPr>
      <w:rFonts w:ascii="Segoe UI" w:hAnsi="Segoe UI" w:cs="Segoe UI"/>
      <w:sz w:val="18"/>
      <w:szCs w:val="18"/>
    </w:rPr>
  </w:style>
  <w:style w:type="paragraph" w:styleId="NormalWeb">
    <w:name w:val="Normal (Web)"/>
    <w:basedOn w:val="Normal"/>
    <w:uiPriority w:val="99"/>
    <w:semiHidden/>
    <w:unhideWhenUsed/>
    <w:rsid w:val="00D47881"/>
    <w:pPr>
      <w:spacing w:before="100" w:beforeAutospacing="1" w:after="144" w:line="276" w:lineRule="auto"/>
    </w:pPr>
    <w:rPr>
      <w:rFonts w:ascii="Times New Roman" w:eastAsia="Times New Roman" w:hAnsi="Times New Roman" w:cs="Times New Roman"/>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4722</Words>
  <Characters>26919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Diagnostic performance of left ventricular mechanical dyssynchrony indices using CMR feature tracking</vt:lpstr>
    </vt:vector>
  </TitlesOfParts>
  <Company/>
  <LinksUpToDate>false</LinksUpToDate>
  <CharactersWithSpaces>31578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Diagnostic performance of left ventricular mechanical dyssynchrony indices using CMR feature tracking</dc:title>
  <dc:creator>Daniel E. Loewenstein MD, Björn Wieslander MD PhD, Einar Heiberg PhD, Jimmy Axelsson MD, Igor Klem MD, Robin Nijveldt MD PhD, Erik B. Schelbert MSc MD, Peder Sörensson MD PhD, Andreas Sigfridsson PhD, David G. Strauss MD PhD, Brett D. Atwater MD, Martin Ugander MD PhD</dc:creator>
  <cp:keywords/>
  <cp:lastModifiedBy>Daniel Loewenstein</cp:lastModifiedBy>
  <cp:revision>11</cp:revision>
  <dcterms:created xsi:type="dcterms:W3CDTF">2019-11-05T06:34:00Z</dcterms:created>
  <dcterms:modified xsi:type="dcterms:W3CDTF">2020-11-30T12:26:00Z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auxilliary/references.bib</vt:lpwstr>
  </property>
  <property fmtid="{D5CDD505-2E9C-101B-9397-08002B2CF9AE}" pid="3" name="csl">
    <vt:lpwstr>auxilliary/vancouver.csl</vt:lpwstr>
  </property>
  <property fmtid="{D5CDD505-2E9C-101B-9397-08002B2CF9AE}" pid="4" name="date">
    <vt:lpwstr>2019-11-05</vt:lpwstr>
  </property>
  <property fmtid="{D5CDD505-2E9C-101B-9397-08002B2CF9AE}" pid="5" name="output">
    <vt:lpwstr/>
  </property>
</Properties>
</file>