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EXPLORER TOWERS</w:t>
      </w:r>
    </w:p>
    <w:p>
      <w:pPr>
        <w:pStyle w:val="Subtitle"/>
      </w:pPr>
      <w:r>
        <w:t>Website, CRM &amp; Marketing Operations</w:t>
        <w:br/>
        <w:t>Functional Requirements and Developer Handover</w:t>
      </w:r>
    </w:p>
    <w:p>
      <w:r>
        <w:t>Prepared for the Explorer Towers project team</w:t>
        <w:br/>
        <w:t>Prepared by Bright Thoughts Services</w:t>
        <w:br/>
        <w:t>Version 1.0 | 7 September 2026 | Specification for implementation</w:t>
      </w:r>
    </w:p>
    <w:p>
      <w:pPr>
        <w:pStyle w:val="Heading2"/>
      </w:pPr>
      <w:r>
        <w:t>The intended result</w:t>
      </w:r>
    </w:p>
    <w:p>
      <w:r>
        <w:t>One connected platform: a premium public property website, a secure editable administration area, and a shared CRM for Bright and authorised client representatives. Every inquiry must connect to a traceable follow-up process, while the client can review content, decisions, activity and performance in the same platform.</w:t>
      </w:r>
    </w:p>
    <w:p>
      <w:r>
        <w:t>The opening experience will use approved exterior and interior imagery in a smooth, scroll-led sequence. The architecture, proportions, materials and room layouts must remain faithful to the supplied design.</w:t>
      </w:r>
    </w:p>
    <w:p>
      <w:pPr>
        <w:pStyle w:val="Heading2"/>
      </w:pPr>
      <w:r>
        <w:t>Basis and scope</w:t>
      </w:r>
    </w:p>
    <w:p>
      <w:r>
        <w:t>This specification translates the attached Marketing, Lead Generation and Client Management Proposal dated 24 August 2026 into website functions. It also expands the user’s requirements for complete editing and an animated opening. This deliverable is documentation; no website, integration or animation has yet been built or tested.</w:t>
      </w:r>
    </w:p>
    <w:p>
      <w:r>
        <w:t>Source identity requires confirmation: the uploaded filename identifies Shoal Group, while the proposal cover and acceptance section name Gabonn Associates. Use Explorer Towers as the working project title. Confirm the legal entity, public developer name and approved logo before publishing.</w:t>
      </w:r>
    </w:p>
    <w:p>
      <w:pPr>
        <w:pStyle w:val="Heading2"/>
      </w:pPr>
      <w:r>
        <w:t>How to read this document</w:t>
      </w:r>
    </w:p>
    <w:p>
      <w:r>
        <w:t>Sections 1–4 define the public experience and editing. Sections 5–10 define CRM, bookings, marketing, approvals and reporting. Sections 11–14 define integrations, data, quality gates and handover. Requirements beyond the proposal are implementation details or explicit enhancements, not a revised commercial agreement.</w:t>
      </w:r>
    </w:p>
    <w:p>
      <w:pPr>
        <w:pStyle w:val="Heading1"/>
        <w:pageBreakBefore/>
      </w:pPr>
      <w:r>
        <w:t>1. Proposal coverage and scope boundaries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300"/>
        <w:gridCol w:w="7060"/>
      </w:tblGrid>
      <w:tr>
        <w:trPr>
          <w:cantSplit/>
          <w:tblHeader/>
        </w:trPr>
        <w:tc>
          <w:tcPr>
            <w:tcW w:type="dxa" w:w="2300"/>
            <w:shd w:fill="F2F4F7"/>
          </w:tcPr>
          <w:p>
            <w:pPr>
              <w:spacing w:after="100" w:line="252" w:lineRule="auto"/>
            </w:pPr>
            <w:r>
              <w:rPr>
                <w:b/>
                <w:sz w:val="20"/>
              </w:rPr>
              <w:t>Proposal source</w:t>
            </w:r>
          </w:p>
        </w:tc>
        <w:tc>
          <w:tcPr>
            <w:tcW w:type="dxa" w:w="7060"/>
            <w:shd w:fill="F2F4F7"/>
          </w:tcPr>
          <w:p>
            <w:pPr>
              <w:spacing w:after="100" w:line="252" w:lineRule="auto"/>
            </w:pPr>
            <w:r>
              <w:rPr>
                <w:b/>
                <w:sz w:val="20"/>
              </w:rPr>
              <w:t>Required website capability</w:t>
            </w:r>
          </w:p>
        </w:tc>
      </w:tr>
      <w:tr>
        <w:trPr>
          <w:cantSplit/>
        </w:trPr>
        <w:tc>
          <w:tcPr>
            <w:tcW w:type="dxa" w:w="2300"/>
          </w:tcPr>
          <w:p>
            <w:pPr>
              <w:spacing w:after="100" w:line="252" w:lineRule="auto"/>
            </w:pPr>
            <w:r>
              <w:rPr>
                <w:sz w:val="20"/>
              </w:rPr>
              <w:t>§3.1 Strategy</w:t>
            </w:r>
          </w:p>
        </w:tc>
        <w:tc>
          <w:tcPr>
            <w:tcW w:type="dxa" w:w="7060"/>
          </w:tcPr>
          <w:p>
            <w:pPr>
              <w:spacing w:after="100" w:line="252" w:lineRule="auto"/>
            </w:pPr>
            <w:r>
              <w:rPr>
                <w:sz w:val="20"/>
              </w:rPr>
              <w:t>Private strategy workspace: audiences, buyer profiles, positioning, competitor notes, campaign themes, calendars and review actions.</w:t>
            </w:r>
          </w:p>
        </w:tc>
      </w:tr>
      <w:tr>
        <w:trPr>
          <w:cantSplit/>
        </w:trPr>
        <w:tc>
          <w:tcPr>
            <w:tcW w:type="dxa" w:w="2300"/>
          </w:tcPr>
          <w:p>
            <w:pPr>
              <w:spacing w:after="100" w:line="252" w:lineRule="auto"/>
            </w:pPr>
            <w:r>
              <w:rPr>
                <w:sz w:val="20"/>
              </w:rPr>
              <w:t>§3.2 Social media</w:t>
            </w:r>
          </w:p>
        </w:tc>
        <w:tc>
          <w:tcPr>
            <w:tcW w:type="dxa" w:w="7060"/>
          </w:tcPr>
          <w:p>
            <w:pPr>
              <w:spacing w:after="100" w:line="252" w:lineRule="auto"/>
            </w:pPr>
            <w:r>
              <w:rPr>
                <w:sz w:val="20"/>
              </w:rPr>
              <w:t>Account directory, setup checklist, captions, creative versions, monthly calendar, publishing records, inbox tasks and performance.</w:t>
            </w:r>
          </w:p>
        </w:tc>
      </w:tr>
      <w:tr>
        <w:trPr>
          <w:cantSplit/>
        </w:trPr>
        <w:tc>
          <w:tcPr>
            <w:tcW w:type="dxa" w:w="2300"/>
          </w:tcPr>
          <w:p>
            <w:pPr>
              <w:spacing w:after="100" w:line="252" w:lineRule="auto"/>
            </w:pPr>
            <w:r>
              <w:rPr>
                <w:sz w:val="20"/>
              </w:rPr>
              <w:t>§3.3–3.4 Leads and visits</w:t>
            </w:r>
          </w:p>
        </w:tc>
        <w:tc>
          <w:tcPr>
            <w:tcW w:type="dxa" w:w="7060"/>
          </w:tcPr>
          <w:p>
            <w:pPr>
              <w:spacing w:after="100" w:line="252" w:lineRule="auto"/>
            </w:pPr>
            <w:r>
              <w:rPr>
                <w:sz w:val="20"/>
              </w:rPr>
              <w:t>Inquiry capture, qualification, assignment, approved information sharing, meetings, site visits, reminders, feedback and escalation.</w:t>
            </w:r>
          </w:p>
        </w:tc>
      </w:tr>
      <w:tr>
        <w:trPr>
          <w:cantSplit/>
        </w:trPr>
        <w:tc>
          <w:tcPr>
            <w:tcW w:type="dxa" w:w="2300"/>
          </w:tcPr>
          <w:p>
            <w:pPr>
              <w:spacing w:after="100" w:line="252" w:lineRule="auto"/>
            </w:pPr>
            <w:r>
              <w:rPr>
                <w:sz w:val="20"/>
              </w:rPr>
              <w:t>§4 Creative production</w:t>
            </w:r>
          </w:p>
        </w:tc>
        <w:tc>
          <w:tcPr>
            <w:tcW w:type="dxa" w:w="7060"/>
          </w:tcPr>
          <w:p>
            <w:pPr>
              <w:spacing w:after="100" w:line="252" w:lineRule="auto"/>
            </w:pPr>
            <w:r>
              <w:rPr>
                <w:sz w:val="20"/>
              </w:rPr>
              <w:t>Asset library and production briefs for 3D, drone, site footage, short/long videos, graphics and physical marketing artwork.</w:t>
            </w:r>
          </w:p>
        </w:tc>
      </w:tr>
      <w:tr>
        <w:trPr>
          <w:cantSplit/>
        </w:trPr>
        <w:tc>
          <w:tcPr>
            <w:tcW w:type="dxa" w:w="2300"/>
          </w:tcPr>
          <w:p>
            <w:pPr>
              <w:spacing w:after="100" w:line="252" w:lineRule="auto"/>
            </w:pPr>
            <w:r>
              <w:rPr>
                <w:sz w:val="20"/>
              </w:rPr>
              <w:t>§5 Website</w:t>
            </w:r>
          </w:p>
        </w:tc>
        <w:tc>
          <w:tcPr>
            <w:tcW w:type="dxa" w:w="7060"/>
          </w:tcPr>
          <w:p>
            <w:pPr>
              <w:spacing w:after="100" w:line="252" w:lineRule="auto"/>
            </w:pPr>
            <w:r>
              <w:rPr>
                <w:sz w:val="20"/>
              </w:rPr>
              <w:t>Responsive pages, gallery, video, unit information, amenities, map, brochure, four inquiry/booking flows, contact links, analytics and CMS.</w:t>
            </w:r>
          </w:p>
        </w:tc>
      </w:tr>
      <w:tr>
        <w:trPr>
          <w:cantSplit/>
        </w:trPr>
        <w:tc>
          <w:tcPr>
            <w:tcW w:type="dxa" w:w="2300"/>
          </w:tcPr>
          <w:p>
            <w:pPr>
              <w:spacing w:after="100" w:line="252" w:lineRule="auto"/>
            </w:pPr>
            <w:r>
              <w:rPr>
                <w:sz w:val="20"/>
              </w:rPr>
              <w:t>§6 CRM and client access</w:t>
            </w:r>
          </w:p>
        </w:tc>
        <w:tc>
          <w:tcPr>
            <w:tcW w:type="dxa" w:w="7060"/>
          </w:tcPr>
          <w:p>
            <w:pPr>
              <w:spacing w:after="100" w:line="252" w:lineRule="auto"/>
            </w:pPr>
            <w:r>
              <w:rPr>
                <w:sz w:val="20"/>
              </w:rPr>
              <w:t>Editable lead records, all 12 pipeline stages, tasks, notes, attachments, permissions and shared client dashboard.</w:t>
            </w:r>
          </w:p>
        </w:tc>
      </w:tr>
      <w:tr>
        <w:trPr>
          <w:cantSplit/>
        </w:trPr>
        <w:tc>
          <w:tcPr>
            <w:tcW w:type="dxa" w:w="2300"/>
          </w:tcPr>
          <w:p>
            <w:pPr>
              <w:spacing w:after="100" w:line="252" w:lineRule="auto"/>
            </w:pPr>
            <w:r>
              <w:rPr>
                <w:sz w:val="20"/>
              </w:rPr>
              <w:t>§7 and §15 Reporting</w:t>
            </w:r>
          </w:p>
        </w:tc>
        <w:tc>
          <w:tcPr>
            <w:tcW w:type="dxa" w:w="7060"/>
          </w:tcPr>
          <w:p>
            <w:pPr>
              <w:spacing w:after="100" w:line="252" w:lineRule="auto"/>
            </w:pPr>
            <w:r>
              <w:rPr>
                <w:sz w:val="20"/>
              </w:rPr>
              <w:t>Meeting minutes, monthly reports, traffic, advertising, leads, response time, visits, conversion and pending decisions.</w:t>
            </w:r>
          </w:p>
        </w:tc>
      </w:tr>
      <w:tr>
        <w:trPr>
          <w:cantSplit/>
        </w:trPr>
        <w:tc>
          <w:tcPr>
            <w:tcW w:type="dxa" w:w="2300"/>
          </w:tcPr>
          <w:p>
            <w:pPr>
              <w:spacing w:after="100" w:line="252" w:lineRule="auto"/>
            </w:pPr>
            <w:r>
              <w:rPr>
                <w:sz w:val="20"/>
              </w:rPr>
              <w:t>§8–9 Delivery management</w:t>
            </w:r>
          </w:p>
        </w:tc>
        <w:tc>
          <w:tcPr>
            <w:tcW w:type="dxa" w:w="7060"/>
          </w:tcPr>
          <w:p>
            <w:pPr>
              <w:spacing w:after="100" w:line="252" w:lineRule="auto"/>
            </w:pPr>
            <w:r>
              <w:rPr>
                <w:sz w:val="20"/>
              </w:rPr>
              <w:t>Onboarding milestones, approximately 16 posts/month, one scheduled monthly progress shoot, ongoing updates and reviews.</w:t>
            </w:r>
          </w:p>
        </w:tc>
      </w:tr>
      <w:tr>
        <w:trPr>
          <w:cantSplit/>
        </w:trPr>
        <w:tc>
          <w:tcPr>
            <w:tcW w:type="dxa" w:w="2300"/>
          </w:tcPr>
          <w:p>
            <w:pPr>
              <w:spacing w:after="100" w:line="252" w:lineRule="auto"/>
            </w:pPr>
            <w:r>
              <w:rPr>
                <w:sz w:val="20"/>
              </w:rPr>
              <w:t>§10–14 and §16–17 Governance</w:t>
            </w:r>
          </w:p>
        </w:tc>
        <w:tc>
          <w:tcPr>
            <w:tcW w:type="dxa" w:w="7060"/>
          </w:tcPr>
          <w:p>
            <w:pPr>
              <w:spacing w:after="100" w:line="252" w:lineRule="auto"/>
            </w:pPr>
            <w:r>
              <w:rPr>
                <w:sz w:val="20"/>
              </w:rPr>
              <w:t>Private budget tracking, excluded-cost approvals, asset requests, responsibility records and agreement/payment milestones.</w:t>
            </w:r>
          </w:p>
        </w:tc>
      </w:tr>
    </w:tbl>
    <w:p>
      <w:r>
        <w:t>Digital workflows support the full proposal. Filming, graphic creation, printing, account verification and final sales negotiations remain human or external activities; the system manages their briefs, files, approvals, costs and completion records.</w:t>
      </w:r>
    </w:p>
    <w:p>
      <w:r>
        <w:t>Enhanced requirements: scroll animation, versioned visual editing, structured inventory, granular permissions, integration monitoring and detailed acceptance tests. Development effort and third-party costs must be assessed against this expanded specification.</w:t>
      </w:r>
    </w:p>
    <w:p>
      <w:pPr>
        <w:pStyle w:val="Heading1"/>
        <w:pageBreakBefore/>
      </w:pPr>
      <w:r>
        <w:t>2. Public website and navigation</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500"/>
        <w:gridCol w:w="6860"/>
      </w:tblGrid>
      <w:tr>
        <w:trPr>
          <w:cantSplit/>
          <w:tblHeader/>
        </w:trPr>
        <w:tc>
          <w:tcPr>
            <w:tcW w:type="dxa" w:w="2500"/>
            <w:shd w:fill="F2F4F7"/>
          </w:tcPr>
          <w:p>
            <w:pPr>
              <w:spacing w:after="100" w:line="252" w:lineRule="auto"/>
            </w:pPr>
            <w:r>
              <w:rPr>
                <w:b/>
                <w:sz w:val="20"/>
              </w:rPr>
              <w:t>Page / route</w:t>
            </w:r>
          </w:p>
        </w:tc>
        <w:tc>
          <w:tcPr>
            <w:tcW w:type="dxa" w:w="6860"/>
            <w:shd w:fill="F2F4F7"/>
          </w:tcPr>
          <w:p>
            <w:pPr>
              <w:spacing w:after="100" w:line="252" w:lineRule="auto"/>
            </w:pPr>
            <w:r>
              <w:rPr>
                <w:b/>
                <w:sz w:val="20"/>
              </w:rPr>
              <w:t>Content and working actions</w:t>
            </w:r>
          </w:p>
        </w:tc>
      </w:tr>
      <w:tr>
        <w:trPr>
          <w:cantSplit/>
        </w:trPr>
        <w:tc>
          <w:tcPr>
            <w:tcW w:type="dxa" w:w="2500"/>
          </w:tcPr>
          <w:p>
            <w:pPr>
              <w:spacing w:after="100" w:line="252" w:lineRule="auto"/>
            </w:pPr>
            <w:r>
              <w:rPr>
                <w:sz w:val="20"/>
              </w:rPr>
              <w:t>Home /</w:t>
            </w:r>
          </w:p>
        </w:tc>
        <w:tc>
          <w:tcPr>
            <w:tcW w:type="dxa" w:w="6860"/>
          </w:tcPr>
          <w:p>
            <w:pPr>
              <w:spacing w:after="100" w:line="252" w:lineRule="auto"/>
            </w:pPr>
            <w:r>
              <w:rPr>
                <w:sz w:val="20"/>
              </w:rPr>
              <w:t>Animated introduction; approved project summary; unit highlights; amenities; location; progress; inquiry and visit CTAs.</w:t>
            </w:r>
          </w:p>
        </w:tc>
      </w:tr>
      <w:tr>
        <w:trPr>
          <w:cantSplit/>
        </w:trPr>
        <w:tc>
          <w:tcPr>
            <w:tcW w:type="dxa" w:w="2500"/>
          </w:tcPr>
          <w:p>
            <w:pPr>
              <w:spacing w:after="100" w:line="252" w:lineRule="auto"/>
            </w:pPr>
            <w:r>
              <w:rPr>
                <w:sz w:val="20"/>
              </w:rPr>
              <w:t>Project /project</w:t>
            </w:r>
          </w:p>
        </w:tc>
        <w:tc>
          <w:tcPr>
            <w:tcW w:type="dxa" w:w="6860"/>
          </w:tcPr>
          <w:p>
            <w:pPr>
              <w:spacing w:after="100" w:line="252" w:lineRule="auto"/>
            </w:pPr>
            <w:r>
              <w:rPr>
                <w:sz w:val="20"/>
              </w:rPr>
              <w:t>Overview, developer profile after identity confirmation, approved selling points, specifications and project facts.</w:t>
            </w:r>
          </w:p>
        </w:tc>
      </w:tr>
      <w:tr>
        <w:trPr>
          <w:cantSplit/>
        </w:trPr>
        <w:tc>
          <w:tcPr>
            <w:tcW w:type="dxa" w:w="2500"/>
          </w:tcPr>
          <w:p>
            <w:pPr>
              <w:spacing w:after="100" w:line="252" w:lineRule="auto"/>
            </w:pPr>
            <w:r>
              <w:rPr>
                <w:sz w:val="20"/>
              </w:rPr>
              <w:t>Residences /residences</w:t>
            </w:r>
          </w:p>
        </w:tc>
        <w:tc>
          <w:tcPr>
            <w:tcW w:type="dxa" w:w="6860"/>
          </w:tcPr>
          <w:p>
            <w:pPr>
              <w:spacing w:after="100" w:line="252" w:lineRule="auto"/>
            </w:pPr>
            <w:r>
              <w:rPr>
                <w:sz w:val="20"/>
              </w:rPr>
              <w:t>Unit types, bedrooms, area in m², approved prices or price-on-request, availability filters and detail links.</w:t>
            </w:r>
          </w:p>
        </w:tc>
      </w:tr>
      <w:tr>
        <w:trPr>
          <w:cantSplit/>
        </w:trPr>
        <w:tc>
          <w:tcPr>
            <w:tcW w:type="dxa" w:w="2500"/>
          </w:tcPr>
          <w:p>
            <w:pPr>
              <w:spacing w:after="100" w:line="252" w:lineRule="auto"/>
            </w:pPr>
            <w:r>
              <w:rPr>
                <w:sz w:val="20"/>
              </w:rPr>
              <w:t>Unit /residences/[slug]</w:t>
            </w:r>
          </w:p>
        </w:tc>
        <w:tc>
          <w:tcPr>
            <w:tcW w:type="dxa" w:w="6860"/>
          </w:tcPr>
          <w:p>
            <w:pPr>
              <w:spacing w:after="100" w:line="252" w:lineRule="auto"/>
            </w:pPr>
            <w:r>
              <w:rPr>
                <w:sz w:val="20"/>
              </w:rPr>
              <w:t>Gallery, floor plan with accessible enlargement, features, area basis, payment information and inquiry with unit preselected.</w:t>
            </w:r>
          </w:p>
        </w:tc>
      </w:tr>
      <w:tr>
        <w:trPr>
          <w:cantSplit/>
        </w:trPr>
        <w:tc>
          <w:tcPr>
            <w:tcW w:type="dxa" w:w="2500"/>
          </w:tcPr>
          <w:p>
            <w:pPr>
              <w:spacing w:after="100" w:line="252" w:lineRule="auto"/>
            </w:pPr>
            <w:r>
              <w:rPr>
                <w:sz w:val="20"/>
              </w:rPr>
              <w:t>Amenities /amenities</w:t>
            </w:r>
          </w:p>
        </w:tc>
        <w:tc>
          <w:tcPr>
            <w:tcW w:type="dxa" w:w="6860"/>
          </w:tcPr>
          <w:p>
            <w:pPr>
              <w:spacing w:after="100" w:line="252" w:lineRule="auto"/>
            </w:pPr>
            <w:r>
              <w:rPr>
                <w:sz w:val="20"/>
              </w:rPr>
              <w:t>Approved common spaces and facilities. No unverified facilities or completion claims.</w:t>
            </w:r>
          </w:p>
        </w:tc>
      </w:tr>
      <w:tr>
        <w:trPr>
          <w:cantSplit/>
        </w:trPr>
        <w:tc>
          <w:tcPr>
            <w:tcW w:type="dxa" w:w="2500"/>
          </w:tcPr>
          <w:p>
            <w:pPr>
              <w:spacing w:after="100" w:line="252" w:lineRule="auto"/>
            </w:pPr>
            <w:r>
              <w:rPr>
                <w:sz w:val="20"/>
              </w:rPr>
              <w:t>Gallery /gallery</w:t>
            </w:r>
          </w:p>
        </w:tc>
        <w:tc>
          <w:tcPr>
            <w:tcW w:type="dxa" w:w="6860"/>
          </w:tcPr>
          <w:p>
            <w:pPr>
              <w:spacing w:after="100" w:line="252" w:lineRule="auto"/>
            </w:pPr>
            <w:r>
              <w:rPr>
                <w:sz w:val="20"/>
              </w:rPr>
              <w:t>Exterior, interior, amenities, day/evening and construction categories; lightbox; captions; video controls.</w:t>
            </w:r>
          </w:p>
        </w:tc>
      </w:tr>
      <w:tr>
        <w:trPr>
          <w:cantSplit/>
        </w:trPr>
        <w:tc>
          <w:tcPr>
            <w:tcW w:type="dxa" w:w="2500"/>
          </w:tcPr>
          <w:p>
            <w:pPr>
              <w:spacing w:after="100" w:line="252" w:lineRule="auto"/>
            </w:pPr>
            <w:r>
              <w:rPr>
                <w:sz w:val="20"/>
              </w:rPr>
              <w:t>Location /location</w:t>
            </w:r>
          </w:p>
        </w:tc>
        <w:tc>
          <w:tcPr>
            <w:tcW w:type="dxa" w:w="6860"/>
          </w:tcPr>
          <w:p>
            <w:pPr>
              <w:spacing w:after="100" w:line="252" w:lineRule="auto"/>
            </w:pPr>
            <w:r>
              <w:rPr>
                <w:sz w:val="20"/>
              </w:rPr>
              <w:t>Acacia Avenue, Kampala; verified map pin; directions; approved nearby destinations without invented journey times.</w:t>
            </w:r>
          </w:p>
        </w:tc>
      </w:tr>
      <w:tr>
        <w:trPr>
          <w:cantSplit/>
        </w:trPr>
        <w:tc>
          <w:tcPr>
            <w:tcW w:type="dxa" w:w="2500"/>
          </w:tcPr>
          <w:p>
            <w:pPr>
              <w:spacing w:after="100" w:line="252" w:lineRule="auto"/>
            </w:pPr>
            <w:r>
              <w:rPr>
                <w:sz w:val="20"/>
              </w:rPr>
              <w:t>Progress /progress</w:t>
            </w:r>
          </w:p>
        </w:tc>
        <w:tc>
          <w:tcPr>
            <w:tcW w:type="dxa" w:w="6860"/>
          </w:tcPr>
          <w:p>
            <w:pPr>
              <w:spacing w:after="100" w:line="252" w:lineRule="auto"/>
            </w:pPr>
            <w:r>
              <w:rPr>
                <w:sz w:val="20"/>
              </w:rPr>
              <w:t>Dated milestones, construction photos/videos and updates; separate actual site photography from architectural renders.</w:t>
            </w:r>
          </w:p>
        </w:tc>
      </w:tr>
      <w:tr>
        <w:trPr>
          <w:cantSplit/>
        </w:trPr>
        <w:tc>
          <w:tcPr>
            <w:tcW w:type="dxa" w:w="2500"/>
          </w:tcPr>
          <w:p>
            <w:pPr>
              <w:spacing w:after="100" w:line="252" w:lineRule="auto"/>
            </w:pPr>
            <w:r>
              <w:rPr>
                <w:sz w:val="20"/>
              </w:rPr>
              <w:t>Downloads /downloads</w:t>
            </w:r>
          </w:p>
        </w:tc>
        <w:tc>
          <w:tcPr>
            <w:tcW w:type="dxa" w:w="6860"/>
          </w:tcPr>
          <w:p>
            <w:pPr>
              <w:spacing w:after="100" w:line="252" w:lineRule="auto"/>
            </w:pPr>
            <w:r>
              <w:rPr>
                <w:sz w:val="20"/>
              </w:rPr>
              <w:t>Current approved brochure, floor plans and shareable project documents with revision dates.</w:t>
            </w:r>
          </w:p>
        </w:tc>
      </w:tr>
      <w:tr>
        <w:trPr>
          <w:cantSplit/>
        </w:trPr>
        <w:tc>
          <w:tcPr>
            <w:tcW w:type="dxa" w:w="2500"/>
          </w:tcPr>
          <w:p>
            <w:pPr>
              <w:spacing w:after="100" w:line="252" w:lineRule="auto"/>
            </w:pPr>
            <w:r>
              <w:rPr>
                <w:sz w:val="20"/>
              </w:rPr>
              <w:t>Contact /contact</w:t>
            </w:r>
          </w:p>
        </w:tc>
        <w:tc>
          <w:tcPr>
            <w:tcW w:type="dxa" w:w="6860"/>
          </w:tcPr>
          <w:p>
            <w:pPr>
              <w:spacing w:after="100" w:line="252" w:lineRule="auto"/>
            </w:pPr>
            <w:r>
              <w:rPr>
                <w:sz w:val="20"/>
              </w:rPr>
              <w:t>Inquiry, callback, meeting and site-visit entry points; verified phone, email and WhatsApp; office hours.</w:t>
            </w:r>
          </w:p>
        </w:tc>
      </w:tr>
      <w:tr>
        <w:trPr>
          <w:cantSplit/>
        </w:trPr>
        <w:tc>
          <w:tcPr>
            <w:tcW w:type="dxa" w:w="2500"/>
          </w:tcPr>
          <w:p>
            <w:pPr>
              <w:spacing w:after="100" w:line="252" w:lineRule="auto"/>
            </w:pPr>
            <w:r>
              <w:rPr>
                <w:sz w:val="20"/>
              </w:rPr>
              <w:t>Supporting pages</w:t>
            </w:r>
          </w:p>
        </w:tc>
        <w:tc>
          <w:tcPr>
            <w:tcW w:type="dxa" w:w="6860"/>
          </w:tcPr>
          <w:p>
            <w:pPr>
              <w:spacing w:after="100" w:line="252" w:lineRule="auto"/>
            </w:pPr>
            <w:r>
              <w:rPr>
                <w:sz w:val="20"/>
              </w:rPr>
              <w:t>FAQ, update articles, privacy notice, consent preferences, terms, thank-you states and helpful 404 page.</w:t>
            </w:r>
          </w:p>
        </w:tc>
      </w:tr>
    </w:tbl>
    <w:p>
      <w:r>
        <w:t>Navigation must work by touch and keyboard. Keep a visible inquiry or visit action on mobile without covering content. Public browsing requires no account. The private team login leads to /admin; internal screens must not appear in navigation, search indexes or public APIs.</w:t>
      </w:r>
    </w:p>
    <w:p>
      <w:r>
        <w:t>Prices, stock counts, areas, completion dates, legal claims and contacts are publishable only after client approval. Never copy property facts from unrelated projects. Unavailable fields should display an approved alternative such as “Request current availability.”</w:t>
      </w:r>
    </w:p>
    <w:p>
      <w:pPr>
        <w:pStyle w:val="Heading1"/>
        <w:pageBreakBefore/>
      </w:pPr>
      <w:r>
        <w:t>3. Opening scroll animation and visual direction</w:t>
      </w:r>
    </w:p>
    <w:p>
      <w:r>
        <w:t>Design intent: architectural, spacious and cinematic. Use the approved brand palette and fonts once supplied; until then, use a neutral working design. Keep imagery dominant, text concise, and inquiry actions available throughout. No forced loader, mandatory intro or automatic audio.</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100"/>
        <w:gridCol w:w="7260"/>
      </w:tblGrid>
      <w:tr>
        <w:trPr>
          <w:cantSplit/>
          <w:tblHeader/>
        </w:trPr>
        <w:tc>
          <w:tcPr>
            <w:tcW w:type="dxa" w:w="2100"/>
            <w:shd w:fill="F2F4F7"/>
          </w:tcPr>
          <w:p>
            <w:pPr>
              <w:spacing w:after="100" w:line="252" w:lineRule="auto"/>
            </w:pPr>
            <w:r>
              <w:rPr>
                <w:b/>
                <w:sz w:val="20"/>
              </w:rPr>
              <w:t>Scroll interval</w:t>
            </w:r>
          </w:p>
        </w:tc>
        <w:tc>
          <w:tcPr>
            <w:tcW w:type="dxa" w:w="7260"/>
            <w:shd w:fill="F2F4F7"/>
          </w:tcPr>
          <w:p>
            <w:pPr>
              <w:spacing w:after="100" w:line="252" w:lineRule="auto"/>
            </w:pPr>
            <w:r>
              <w:rPr>
                <w:b/>
                <w:sz w:val="20"/>
              </w:rPr>
              <w:t>Visual treatment</w:t>
            </w:r>
          </w:p>
        </w:tc>
      </w:tr>
      <w:tr>
        <w:trPr>
          <w:cantSplit/>
        </w:trPr>
        <w:tc>
          <w:tcPr>
            <w:tcW w:type="dxa" w:w="2100"/>
          </w:tcPr>
          <w:p>
            <w:pPr>
              <w:spacing w:after="100" w:line="252" w:lineRule="auto"/>
            </w:pPr>
            <w:r>
              <w:rPr>
                <w:sz w:val="20"/>
              </w:rPr>
              <w:t>Initial view / 0%</w:t>
            </w:r>
          </w:p>
        </w:tc>
        <w:tc>
          <w:tcPr>
            <w:tcW w:type="dxa" w:w="7260"/>
          </w:tcPr>
          <w:p>
            <w:pPr>
              <w:spacing w:after="100" w:line="252" w:lineRule="auto"/>
            </w:pPr>
            <w:r>
              <w:rPr>
                <w:sz w:val="20"/>
              </w:rPr>
              <w:t>Show the approved exterior poster immediately with project name, location and primary CTA. A subtle entrance fade may last 400–700 ms.</w:t>
            </w:r>
          </w:p>
        </w:tc>
      </w:tr>
      <w:tr>
        <w:trPr>
          <w:cantSplit/>
        </w:trPr>
        <w:tc>
          <w:tcPr>
            <w:tcW w:type="dxa" w:w="2100"/>
          </w:tcPr>
          <w:p>
            <w:pPr>
              <w:spacing w:after="100" w:line="252" w:lineRule="auto"/>
            </w:pPr>
            <w:r>
              <w:rPr>
                <w:sz w:val="20"/>
              </w:rPr>
              <w:t>0–25%</w:t>
            </w:r>
          </w:p>
        </w:tc>
        <w:tc>
          <w:tcPr>
            <w:tcW w:type="dxa" w:w="7260"/>
          </w:tcPr>
          <w:p>
            <w:pPr>
              <w:spacing w:after="100" w:line="252" w:lineRule="auto"/>
            </w:pPr>
            <w:r>
              <w:rPr>
                <w:sz w:val="20"/>
              </w:rPr>
              <w:t>Gentle exterior scale from 1.00 to a maximum of 1.06, with restrained text reveal. Keep the building inside the approved crop.</w:t>
            </w:r>
          </w:p>
        </w:tc>
      </w:tr>
      <w:tr>
        <w:trPr>
          <w:cantSplit/>
        </w:trPr>
        <w:tc>
          <w:tcPr>
            <w:tcW w:type="dxa" w:w="2100"/>
          </w:tcPr>
          <w:p>
            <w:pPr>
              <w:spacing w:after="100" w:line="252" w:lineRule="auto"/>
            </w:pPr>
            <w:r>
              <w:rPr>
                <w:sz w:val="20"/>
              </w:rPr>
              <w:t>25–50%</w:t>
            </w:r>
          </w:p>
        </w:tc>
        <w:tc>
          <w:tcPr>
            <w:tcW w:type="dxa" w:w="7260"/>
          </w:tcPr>
          <w:p>
            <w:pPr>
              <w:spacing w:after="100" w:line="252" w:lineRule="auto"/>
            </w:pPr>
            <w:r>
              <w:rPr>
                <w:sz w:val="20"/>
              </w:rPr>
              <w:t>Crossfade to a closer exterior or arrival image supplied by the client. Reveal one verified architectural feature.</w:t>
            </w:r>
          </w:p>
        </w:tc>
      </w:tr>
      <w:tr>
        <w:trPr>
          <w:cantSplit/>
        </w:trPr>
        <w:tc>
          <w:tcPr>
            <w:tcW w:type="dxa" w:w="2100"/>
          </w:tcPr>
          <w:p>
            <w:pPr>
              <w:spacing w:after="100" w:line="252" w:lineRule="auto"/>
            </w:pPr>
            <w:r>
              <w:rPr>
                <w:sz w:val="20"/>
              </w:rPr>
              <w:t>50–75%</w:t>
            </w:r>
          </w:p>
        </w:tc>
        <w:tc>
          <w:tcPr>
            <w:tcW w:type="dxa" w:w="7260"/>
          </w:tcPr>
          <w:p>
            <w:pPr>
              <w:spacing w:after="100" w:line="252" w:lineRule="auto"/>
            </w:pPr>
            <w:r>
              <w:rPr>
                <w:sz w:val="20"/>
              </w:rPr>
              <w:t>Transition to the approved interior hero using a clean crossfade or mask. Do not fabricate a flight through the façade from unrelated stills.</w:t>
            </w:r>
          </w:p>
        </w:tc>
      </w:tr>
      <w:tr>
        <w:trPr>
          <w:cantSplit/>
        </w:trPr>
        <w:tc>
          <w:tcPr>
            <w:tcW w:type="dxa" w:w="2100"/>
          </w:tcPr>
          <w:p>
            <w:pPr>
              <w:spacing w:after="100" w:line="252" w:lineRule="auto"/>
            </w:pPr>
            <w:r>
              <w:rPr>
                <w:sz w:val="20"/>
              </w:rPr>
              <w:t>75–100%</w:t>
            </w:r>
          </w:p>
        </w:tc>
        <w:tc>
          <w:tcPr>
            <w:tcW w:type="dxa" w:w="7260"/>
          </w:tcPr>
          <w:p>
            <w:pPr>
              <w:spacing w:after="100" w:line="252" w:lineRule="auto"/>
            </w:pPr>
            <w:r>
              <w:rPr>
                <w:sz w:val="20"/>
              </w:rPr>
              <w:t>Show a second interior or amenity image if supplied; introduce “Explore residences” and release the pinned area into normal scrolling.</w:t>
            </w:r>
          </w:p>
        </w:tc>
      </w:tr>
    </w:tbl>
    <w:p>
      <w:pPr>
        <w:pStyle w:val="Heading2"/>
      </w:pPr>
      <w:r>
        <w:t>Implementation behaviour</w:t>
      </w:r>
    </w:p>
    <w:p>
      <w:r>
        <w:t>Desktop may use one pinned sequence spanning approximately 180–240vh (1.8–2.4 screen heights), tuned in a prototype. Progress follows native scrolling and reverses cleanly. No scroll hijacking or nested scroll traps. Animate opacity and transforms; initialise only after layout is stable.</w:t>
      </w:r>
    </w:p>
    <w:p>
      <w:r>
        <w:t>Stills support elegant image transitions, not a genuine continuous 3D walkthrough. A seamless exterior-to-interior camera move requires an approved matching video, rendered frame sequence or 3D scene. That enhancement must preserve the original design and be separately validated.</w:t>
      </w:r>
    </w:p>
    <w:p>
      <w:pPr>
        <w:pStyle w:val="Heading2"/>
      </w:pPr>
      <w:r>
        <w:t>Mobile, accessibility and loading</w:t>
      </w:r>
    </w:p>
    <w:p>
      <w:r>
        <w:t>Mobile uses art-directed portrait crops and a shorter, unpinned sequence by default. Reduced-motion preference or “Skip animation” presents a static hero and normal content flow. Keyboard users can reach the CTA and skip link; decorative layers are hidden from assistive technology.</w:t>
      </w:r>
    </w:p>
    <w:p>
      <w:r>
        <w:t>Load the first poster before optional motion assets. If media fails, show the poster and all normal content. No blank canvas, layout jump or loading gate. Changing orientation or resizing must recalculate the sequence without losing scroll position.</w:t>
      </w:r>
    </w:p>
    <w:p>
      <w:pPr>
        <w:pStyle w:val="Heading1"/>
        <w:pageBreakBefore/>
      </w:pPr>
      <w:r>
        <w:t>4. Complete editing and asset management</w:t>
      </w:r>
    </w:p>
    <w:p>
      <w:pPr>
        <w:pStyle w:val="Heading2"/>
      </w:pPr>
      <w:r>
        <w:t>CMS workspace</w:t>
      </w:r>
    </w:p>
    <w:p>
      <w:r>
        <w:t>Editors can create, edit, preview, schedule, publish, unpublish and archive pages and updates. Editable blocks include hero scenes, headings, body text, CTA labels and destinations, galleries, amenities, project facts, FAQs, contacts, map coordinates, downloads and SEO fields. Reorder sections within approved templates; validate required fields and links before publication.</w:t>
      </w:r>
    </w:p>
    <w:p>
      <w:r>
        <w:t>Every change creates a version with author, timestamp and change summary. Draft content stays private. The editor sees desktop/mobile preview, autosave state and unsaved-change warnings. Concurrent edits must show a conflict instead of silently overwriting another person’s changes. Rollback creates a new version and preserves history.</w:t>
      </w:r>
    </w:p>
    <w:p>
      <w:pPr>
        <w:pStyle w:val="Heading2"/>
      </w:pPr>
      <w:r>
        <w:t>Animation editor</w:t>
      </w:r>
    </w:p>
    <w:p>
      <w:r>
        <w:t>Provide scene order, approved media selection, desktop/mobile focal points, overlay text, text contrast, transition type, timing, crop preview, static fallback and enable/disable controls. Constrain zoom and motion ranges to prevent broken layouts. Preview the complete sequence before publishing. Publishing switches the approved scene set atomically.</w:t>
      </w:r>
    </w:p>
    <w:p>
      <w:pPr>
        <w:pStyle w:val="Heading2"/>
      </w:pPr>
      <w:r>
        <w:t>Media library</w:t>
      </w:r>
    </w:p>
    <w:p>
      <w:r>
        <w:t>Upload images, PDFs and video; add category, title, alt text, caption, project/unit association, photographer or owner, approval status and revision date. Preserve originals and create optimised delivery variants. Support search, filters, replacement and usage references. Warn before deleting media used on a published page.</w:t>
      </w:r>
    </w:p>
    <w:p>
      <w:r>
        <w:t>Record exterior architecture, entrance, façade, balconies, landscaping, parking, interior spaces, amenities and day/evening scenes. Store site condition, groundbreaking, milestones, interviews, drone material and promotional footage separately from renders. Offer cover-image selection, subtitles and poster images for video.</w:t>
      </w:r>
    </w:p>
    <w:p>
      <w:pPr>
        <w:pStyle w:val="Heading2"/>
      </w:pPr>
      <w:r>
        <w:t>Required image handover</w:t>
      </w:r>
    </w:p>
    <w:p>
      <w:r>
        <w:t>Request the official logo and fonts; approved exterior hero and arrival views; interior living/bedroom/kitchen views; amenity images; floor plans; current site photos; brochure; and any matching animation footage. Prefer high-resolution originals with separate desktop and mobile crop approval. Images embedded in the proposal are reference material, not presumed production masters.</w:t>
      </w:r>
    </w:p>
    <w:p>
      <w:r>
        <w:t>Asset intake must record file name, intended section, approval owner, rights confirmation, alt text, focal point and whether the asset represents a render or actual construction. Missing images must not be replaced with architecture that misrepresents Explorer Towers.</w:t>
      </w:r>
    </w:p>
    <w:p>
      <w:pPr>
        <w:pStyle w:val="Heading1"/>
        <w:pageBreakBefore/>
      </w:pPr>
      <w:r>
        <w:t>5. Inquiry capture and editable CRM records</w:t>
      </w:r>
    </w:p>
    <w:p>
      <w:pPr>
        <w:pStyle w:val="Heading2"/>
      </w:pPr>
      <w:r>
        <w:t>Forms and reliable capture</w:t>
      </w:r>
    </w:p>
    <w:p>
      <w:r>
        <w:t>Inquiry requires name and at least one valid contact method, plus a message or unit interest. Callback requires phone and preferred time. Meeting and visit requests require contact details and preferred slot. Country code, email and field limits are validated on the server; optional budget, purchase timeframe and buyer type support qualification.</w:t>
      </w:r>
    </w:p>
    <w:p>
      <w:r>
        <w:t>Separate service-related contact acknowledgement from optional marketing consent. Capture notice version, time and source. Prevent spam with rate limits and accessible protection. Persist the inquiry before showing success; return a reference number. A failed notification must not lose a saved lead.</w:t>
      </w:r>
    </w:p>
    <w:p>
      <w:r>
        <w:t>Repeated submissions with the same request identifier must not create duplicate inquiries. Normalise phone and email; flag possible existing contacts for review. Never merge by name alone. Link repeat inquiries to the contact while retaining each source and message. Provide an audited merge with recovery of mistakenly merged records.</w:t>
      </w:r>
    </w:p>
    <w:p>
      <w:pPr>
        <w:pStyle w:val="Heading2"/>
      </w:pPr>
      <w:r>
        <w:t>Lead record fields</w:t>
      </w:r>
    </w:p>
    <w:p>
      <w:r>
        <w:t>Each record includes immutable ID, creation time, full name, phone, email, country/time zone, preferred channel, budget/currency, unit interest, buyer profile, timeframe, source, campaign parameters, landing page, assigned owner, priority, stage, qualification notes, next action and due date.</w:t>
      </w:r>
    </w:p>
    <w:p>
      <w:r>
        <w:t>The activity timeline contains messages, call notes, information shared, meeting/visit history, feedback, tasks, attachments, decisions, consent changes and stage changes. Store creator and timestamp per event. Distinguish a logged call from an automatically verified communication.</w:t>
      </w:r>
    </w:p>
    <w:p>
      <w:pPr>
        <w:pStyle w:val="Heading2"/>
      </w:pPr>
      <w:r>
        <w:t>Editing and daily operations</w:t>
      </w:r>
    </w:p>
    <w:p>
      <w:r>
        <w:t>Authorised users can add manual leads from telephone, social media, WhatsApp, referrals, physical campaigns and approved listings; edit fields; assign owners; add tags; update stages; attach files; and archive records. Required reasons apply to lost leads, reassignment and material commercial changes.</w:t>
      </w:r>
    </w:p>
    <w:p>
      <w:r>
        <w:t>Provide list and pipeline views, full-name/contact search, filters by source, owner, stage, date, priority and overdue action, saved views, pagination and permission-controlled bulk assignment/export. CSV import includes mapping, preview, duplicate checks and an error report. Export respects the same record permissions as the screen.</w:t>
      </w:r>
    </w:p>
    <w:p>
      <w:pPr>
        <w:pStyle w:val="Heading1"/>
        <w:pageBreakBefore/>
      </w:pPr>
      <w:r>
        <w:t>6. Pipeline, follow-up and client decisions</w:t>
      </w:r>
    </w:p>
    <w:p>
      <w:r>
        <w:t>Preserve all 12 proposal stages. Follow-up is also a task that may be due at any stage; it must not erase a prospect’s previous commercial progress.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3000"/>
        <w:gridCol w:w="6360"/>
      </w:tblGrid>
      <w:tr>
        <w:trPr>
          <w:cantSplit/>
          <w:tblHeader/>
        </w:trPr>
        <w:tc>
          <w:tcPr>
            <w:tcW w:type="dxa" w:w="3000"/>
            <w:shd w:fill="F2F4F7"/>
          </w:tcPr>
          <w:p>
            <w:pPr>
              <w:spacing w:after="100" w:line="252" w:lineRule="auto"/>
            </w:pPr>
            <w:r>
              <w:rPr>
                <w:b/>
                <w:sz w:val="20"/>
              </w:rPr>
              <w:t>Stage</w:t>
            </w:r>
          </w:p>
        </w:tc>
        <w:tc>
          <w:tcPr>
            <w:tcW w:type="dxa" w:w="6360"/>
            <w:shd w:fill="F2F4F7"/>
          </w:tcPr>
          <w:p>
            <w:pPr>
              <w:spacing w:after="100" w:line="252" w:lineRule="auto"/>
            </w:pPr>
            <w:r>
              <w:rPr>
                <w:b/>
                <w:sz w:val="20"/>
              </w:rPr>
              <w:t>Transition evidence / required action</w:t>
            </w:r>
          </w:p>
        </w:tc>
      </w:tr>
      <w:tr>
        <w:trPr>
          <w:cantSplit/>
        </w:trPr>
        <w:tc>
          <w:tcPr>
            <w:tcW w:type="dxa" w:w="3000"/>
          </w:tcPr>
          <w:p>
            <w:pPr>
              <w:spacing w:after="100" w:line="252" w:lineRule="auto"/>
            </w:pPr>
            <w:r>
              <w:rPr>
                <w:sz w:val="20"/>
              </w:rPr>
              <w:t>01 New inquiry</w:t>
            </w:r>
          </w:p>
        </w:tc>
        <w:tc>
          <w:tcPr>
            <w:tcW w:type="dxa" w:w="6360"/>
          </w:tcPr>
          <w:p>
            <w:pPr>
              <w:spacing w:after="100" w:line="252" w:lineRule="auto"/>
            </w:pPr>
            <w:r>
              <w:rPr>
                <w:sz w:val="20"/>
              </w:rPr>
              <w:t>Saved inquiry, source and assignment; create first-response task.</w:t>
            </w:r>
          </w:p>
        </w:tc>
      </w:tr>
      <w:tr>
        <w:trPr>
          <w:cantSplit/>
        </w:trPr>
        <w:tc>
          <w:tcPr>
            <w:tcW w:type="dxa" w:w="3000"/>
          </w:tcPr>
          <w:p>
            <w:pPr>
              <w:spacing w:after="100" w:line="252" w:lineRule="auto"/>
            </w:pPr>
            <w:r>
              <w:rPr>
                <w:sz w:val="20"/>
              </w:rPr>
              <w:t>02 Contacted</w:t>
            </w:r>
          </w:p>
        </w:tc>
        <w:tc>
          <w:tcPr>
            <w:tcW w:type="dxa" w:w="6360"/>
          </w:tcPr>
          <w:p>
            <w:pPr>
              <w:spacing w:after="100" w:line="252" w:lineRule="auto"/>
            </w:pPr>
            <w:r>
              <w:rPr>
                <w:sz w:val="20"/>
              </w:rPr>
              <w:t>Log contact attempt/outcome and next action; distinguish attempted from successful contact.</w:t>
            </w:r>
          </w:p>
        </w:tc>
      </w:tr>
      <w:tr>
        <w:trPr>
          <w:cantSplit/>
        </w:trPr>
        <w:tc>
          <w:tcPr>
            <w:tcW w:type="dxa" w:w="3000"/>
          </w:tcPr>
          <w:p>
            <w:pPr>
              <w:spacing w:after="100" w:line="252" w:lineRule="auto"/>
            </w:pPr>
            <w:r>
              <w:rPr>
                <w:sz w:val="20"/>
              </w:rPr>
              <w:t>03 Qualified</w:t>
            </w:r>
          </w:p>
        </w:tc>
        <w:tc>
          <w:tcPr>
            <w:tcW w:type="dxa" w:w="6360"/>
          </w:tcPr>
          <w:p>
            <w:pPr>
              <w:spacing w:after="100" w:line="252" w:lineRule="auto"/>
            </w:pPr>
            <w:r>
              <w:rPr>
                <w:sz w:val="20"/>
              </w:rPr>
              <w:t>Record requirements, budget, unit interest and qualification outcome.</w:t>
            </w:r>
          </w:p>
        </w:tc>
      </w:tr>
      <w:tr>
        <w:trPr>
          <w:cantSplit/>
        </w:trPr>
        <w:tc>
          <w:tcPr>
            <w:tcW w:type="dxa" w:w="3000"/>
          </w:tcPr>
          <w:p>
            <w:pPr>
              <w:spacing w:after="100" w:line="252" w:lineRule="auto"/>
            </w:pPr>
            <w:r>
              <w:rPr>
                <w:sz w:val="20"/>
              </w:rPr>
              <w:t>04 Information shared</w:t>
            </w:r>
          </w:p>
        </w:tc>
        <w:tc>
          <w:tcPr>
            <w:tcW w:type="dxa" w:w="6360"/>
          </w:tcPr>
          <w:p>
            <w:pPr>
              <w:spacing w:after="100" w:line="252" w:lineRule="auto"/>
            </w:pPr>
            <w:r>
              <w:rPr>
                <w:sz w:val="20"/>
              </w:rPr>
              <w:t>Record approved brochure/details shared, channel and date.</w:t>
            </w:r>
          </w:p>
        </w:tc>
      </w:tr>
      <w:tr>
        <w:trPr>
          <w:cantSplit/>
        </w:trPr>
        <w:tc>
          <w:tcPr>
            <w:tcW w:type="dxa" w:w="3000"/>
          </w:tcPr>
          <w:p>
            <w:pPr>
              <w:spacing w:after="100" w:line="252" w:lineRule="auto"/>
            </w:pPr>
            <w:r>
              <w:rPr>
                <w:sz w:val="20"/>
              </w:rPr>
              <w:t>05 Meeting scheduled</w:t>
            </w:r>
          </w:p>
        </w:tc>
        <w:tc>
          <w:tcPr>
            <w:tcW w:type="dxa" w:w="6360"/>
          </w:tcPr>
          <w:p>
            <w:pPr>
              <w:spacing w:after="100" w:line="252" w:lineRule="auto"/>
            </w:pPr>
            <w:r>
              <w:rPr>
                <w:sz w:val="20"/>
              </w:rPr>
              <w:t>Link confirmed meeting or clearly labelled pending request.</w:t>
            </w:r>
          </w:p>
        </w:tc>
      </w:tr>
      <w:tr>
        <w:trPr>
          <w:cantSplit/>
        </w:trPr>
        <w:tc>
          <w:tcPr>
            <w:tcW w:type="dxa" w:w="3000"/>
          </w:tcPr>
          <w:p>
            <w:pPr>
              <w:spacing w:after="100" w:line="252" w:lineRule="auto"/>
            </w:pPr>
            <w:r>
              <w:rPr>
                <w:sz w:val="20"/>
              </w:rPr>
              <w:t>06 Meeting completed</w:t>
            </w:r>
          </w:p>
        </w:tc>
        <w:tc>
          <w:tcPr>
            <w:tcW w:type="dxa" w:w="6360"/>
          </w:tcPr>
          <w:p>
            <w:pPr>
              <w:spacing w:after="100" w:line="252" w:lineRule="auto"/>
            </w:pPr>
            <w:r>
              <w:rPr>
                <w:sz w:val="20"/>
              </w:rPr>
              <w:t>Record attendance, notes, feedback and next step.</w:t>
            </w:r>
          </w:p>
        </w:tc>
      </w:tr>
      <w:tr>
        <w:trPr>
          <w:cantSplit/>
        </w:trPr>
        <w:tc>
          <w:tcPr>
            <w:tcW w:type="dxa" w:w="3000"/>
          </w:tcPr>
          <w:p>
            <w:pPr>
              <w:spacing w:after="100" w:line="252" w:lineRule="auto"/>
            </w:pPr>
            <w:r>
              <w:rPr>
                <w:sz w:val="20"/>
              </w:rPr>
              <w:t>07 Site visit scheduled</w:t>
            </w:r>
          </w:p>
        </w:tc>
        <w:tc>
          <w:tcPr>
            <w:tcW w:type="dxa" w:w="6360"/>
          </w:tcPr>
          <w:p>
            <w:pPr>
              <w:spacing w:after="100" w:line="252" w:lineRule="auto"/>
            </w:pPr>
            <w:r>
              <w:rPr>
                <w:sz w:val="20"/>
              </w:rPr>
              <w:t>Link visit with representative, date, location and confirmation status.</w:t>
            </w:r>
          </w:p>
        </w:tc>
      </w:tr>
      <w:tr>
        <w:trPr>
          <w:cantSplit/>
        </w:trPr>
        <w:tc>
          <w:tcPr>
            <w:tcW w:type="dxa" w:w="3000"/>
          </w:tcPr>
          <w:p>
            <w:pPr>
              <w:spacing w:after="100" w:line="252" w:lineRule="auto"/>
            </w:pPr>
            <w:r>
              <w:rPr>
                <w:sz w:val="20"/>
              </w:rPr>
              <w:t>08 Site visit completed</w:t>
            </w:r>
          </w:p>
        </w:tc>
        <w:tc>
          <w:tcPr>
            <w:tcW w:type="dxa" w:w="6360"/>
          </w:tcPr>
          <w:p>
            <w:pPr>
              <w:spacing w:after="100" w:line="252" w:lineRule="auto"/>
            </w:pPr>
            <w:r>
              <w:rPr>
                <w:sz w:val="20"/>
              </w:rPr>
              <w:t>Record attendance, interest level, feedback and next action.</w:t>
            </w:r>
          </w:p>
        </w:tc>
      </w:tr>
      <w:tr>
        <w:trPr>
          <w:cantSplit/>
        </w:trPr>
        <w:tc>
          <w:tcPr>
            <w:tcW w:type="dxa" w:w="3000"/>
          </w:tcPr>
          <w:p>
            <w:pPr>
              <w:spacing w:after="100" w:line="252" w:lineRule="auto"/>
            </w:pPr>
            <w:r>
              <w:rPr>
                <w:sz w:val="20"/>
              </w:rPr>
              <w:t>09 Negotiation or decision</w:t>
            </w:r>
          </w:p>
        </w:tc>
        <w:tc>
          <w:tcPr>
            <w:tcW w:type="dxa" w:w="6360"/>
          </w:tcPr>
          <w:p>
            <w:pPr>
              <w:spacing w:after="100" w:line="252" w:lineRule="auto"/>
            </w:pPr>
            <w:r>
              <w:rPr>
                <w:sz w:val="20"/>
              </w:rPr>
              <w:t>Escalate terms and pending decisions to authorised client representative.</w:t>
            </w:r>
          </w:p>
        </w:tc>
      </w:tr>
      <w:tr>
        <w:trPr>
          <w:cantSplit/>
        </w:trPr>
        <w:tc>
          <w:tcPr>
            <w:tcW w:type="dxa" w:w="3000"/>
          </w:tcPr>
          <w:p>
            <w:pPr>
              <w:spacing w:after="100" w:line="252" w:lineRule="auto"/>
            </w:pPr>
            <w:r>
              <w:rPr>
                <w:sz w:val="20"/>
              </w:rPr>
              <w:t>10 Reservation or conversion</w:t>
            </w:r>
          </w:p>
        </w:tc>
        <w:tc>
          <w:tcPr>
            <w:tcW w:type="dxa" w:w="6360"/>
          </w:tcPr>
          <w:p>
            <w:pPr>
              <w:spacing w:after="100" w:line="252" w:lineRule="auto"/>
            </w:pPr>
            <w:r>
              <w:rPr>
                <w:sz w:val="20"/>
              </w:rPr>
              <w:t>Record outcome subtype and client confirmation; do not count a reservation as a completed sale.</w:t>
            </w:r>
          </w:p>
        </w:tc>
      </w:tr>
      <w:tr>
        <w:trPr>
          <w:cantSplit/>
        </w:trPr>
        <w:tc>
          <w:tcPr>
            <w:tcW w:type="dxa" w:w="3000"/>
          </w:tcPr>
          <w:p>
            <w:pPr>
              <w:spacing w:after="100" w:line="252" w:lineRule="auto"/>
            </w:pPr>
            <w:r>
              <w:rPr>
                <w:sz w:val="20"/>
              </w:rPr>
              <w:t>11 Follow-up required</w:t>
            </w:r>
          </w:p>
        </w:tc>
        <w:tc>
          <w:tcPr>
            <w:tcW w:type="dxa" w:w="6360"/>
          </w:tcPr>
          <w:p>
            <w:pPr>
              <w:spacing w:after="100" w:line="252" w:lineRule="auto"/>
            </w:pPr>
            <w:r>
              <w:rPr>
                <w:sz w:val="20"/>
              </w:rPr>
              <w:t>Set due action, owner and reason; retain prior stage for return.</w:t>
            </w:r>
          </w:p>
        </w:tc>
      </w:tr>
      <w:tr>
        <w:trPr>
          <w:cantSplit/>
        </w:trPr>
        <w:tc>
          <w:tcPr>
            <w:tcW w:type="dxa" w:w="3000"/>
          </w:tcPr>
          <w:p>
            <w:pPr>
              <w:spacing w:after="100" w:line="252" w:lineRule="auto"/>
            </w:pPr>
            <w:r>
              <w:rPr>
                <w:sz w:val="20"/>
              </w:rPr>
              <w:t>12 Inactive or lost lead</w:t>
            </w:r>
          </w:p>
        </w:tc>
        <w:tc>
          <w:tcPr>
            <w:tcW w:type="dxa" w:w="6360"/>
          </w:tcPr>
          <w:p>
            <w:pPr>
              <w:spacing w:after="100" w:line="252" w:lineRule="auto"/>
            </w:pPr>
            <w:r>
              <w:rPr>
                <w:sz w:val="20"/>
              </w:rPr>
              <w:t>Require inactive/lost subtype and reason; allow authorised reactivation with history.</w:t>
            </w:r>
          </w:p>
        </w:tc>
      </w:tr>
    </w:tbl>
    <w:p>
      <w:r>
        <w:t>Allow justified stage skips and backward moves with an audit trail. The client controls final pricing decisions, negotiations, reservation approvals and sales confirmation. Bright may record proposals and coordinate decisions but cannot silently mark an unconfirmed sale as completed.</w:t>
      </w:r>
    </w:p>
    <w:p>
      <w:r>
        <w:t>Tasks have owner, linked record, type, due time, priority, status and outcome. Suggested defaults: immediate assignment, first response within one agreed working hour, reminder 24 hours before a confirmed meeting, and post-visit follow-up next working day. These are configurable starting rules, not service terms from the proposal.</w:t>
      </w:r>
    </w:p>
    <w:p>
      <w:r>
        <w:t>Use the agreed business calendar for response targets. Escalate overdue work to the manager; pause nurture on opt-out, lost status or an active sensitive negotiation. Log scheduled, sent, failed and cancelled reminders with retry controls.</w:t>
      </w:r>
    </w:p>
    <w:p>
      <w:pPr>
        <w:pStyle w:val="Heading1"/>
        <w:pageBreakBefore/>
      </w:pPr>
      <w:r>
        <w:t>7. Meetings, site visits and shared access</w:t>
      </w:r>
    </w:p>
    <w:p>
      <w:pPr>
        <w:pStyle w:val="Heading2"/>
      </w:pPr>
      <w:r>
        <w:t>Scheduling</w:t>
      </w:r>
    </w:p>
    <w:p>
      <w:r>
        <w:t>Provide public booking requests and an internal calendar for physical/virtual meetings and site visits. Configure working hours, slot duration, buffer time, blackout dates, representative availability, location and capacity. Store UTC timestamps and display Africa/Kampala plus the visitor’s selected time zone.</w:t>
      </w:r>
    </w:p>
    <w:p>
      <w:r>
        <w:t>Recheck availability when saving. Use a transactional capacity check to prevent double booking. If calendar synchronisation is unavailable, accept a preferred-time request and display “Awaiting confirmation.” Never promise a confirmed slot without checking availability.</w:t>
      </w:r>
    </w:p>
    <w:p>
      <w:r>
        <w:t>Staff can confirm, assign, reschedule or cancel. Notify affected participants through configured channels, update the existing calendar event and cancel obsolete reminders. Provide controlled reschedule/cancel links. Record attendance, no-show reason, feedback and post-visit action. Allow calendar-file download when external sync is not connected.</w:t>
      </w:r>
    </w:p>
    <w:p>
      <w:pPr>
        <w:pStyle w:val="Heading2"/>
      </w:pPr>
      <w:r>
        <w:t>Project meetings and minutes</w:t>
      </w:r>
    </w:p>
    <w:p>
      <w:r>
        <w:t>Manage onboarding, strategy, content approval, lead review, site-progress coordination, monthly performance and urgent meetings. Each record contains agenda, attendees, date, decisions, issue log and actions with owner, deadline and completion status. Link minutes to the relevant campaign, report, asset or lead where appropriate.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400"/>
        <w:gridCol w:w="6960"/>
      </w:tblGrid>
      <w:tr>
        <w:trPr>
          <w:cantSplit/>
          <w:tblHeader/>
        </w:trPr>
        <w:tc>
          <w:tcPr>
            <w:tcW w:type="dxa" w:w="2400"/>
            <w:shd w:fill="F2F4F7"/>
          </w:tcPr>
          <w:p>
            <w:pPr>
              <w:spacing w:after="100" w:line="252" w:lineRule="auto"/>
            </w:pPr>
            <w:r>
              <w:rPr>
                <w:b/>
                <w:sz w:val="20"/>
              </w:rPr>
              <w:t>Role</w:t>
            </w:r>
          </w:p>
        </w:tc>
        <w:tc>
          <w:tcPr>
            <w:tcW w:type="dxa" w:w="6960"/>
            <w:shd w:fill="F2F4F7"/>
          </w:tcPr>
          <w:p>
            <w:pPr>
              <w:spacing w:after="100" w:line="252" w:lineRule="auto"/>
            </w:pPr>
            <w:r>
              <w:rPr>
                <w:b/>
                <w:sz w:val="20"/>
              </w:rPr>
              <w:t>Default access</w:t>
            </w:r>
          </w:p>
        </w:tc>
      </w:tr>
      <w:tr>
        <w:trPr>
          <w:cantSplit/>
        </w:trPr>
        <w:tc>
          <w:tcPr>
            <w:tcW w:type="dxa" w:w="2400"/>
          </w:tcPr>
          <w:p>
            <w:pPr>
              <w:spacing w:after="100" w:line="252" w:lineRule="auto"/>
            </w:pPr>
            <w:r>
              <w:rPr>
                <w:sz w:val="20"/>
              </w:rPr>
              <w:t>System administrator</w:t>
            </w:r>
          </w:p>
        </w:tc>
        <w:tc>
          <w:tcPr>
            <w:tcW w:type="dxa" w:w="6960"/>
          </w:tcPr>
          <w:p>
            <w:pPr>
              <w:spacing w:after="100" w:line="252" w:lineRule="auto"/>
            </w:pPr>
            <w:r>
              <w:rPr>
                <w:sz w:val="20"/>
              </w:rPr>
              <w:t>Manage users, roles, configuration and integrations; security-sensitive changes audited.</w:t>
            </w:r>
          </w:p>
        </w:tc>
      </w:tr>
      <w:tr>
        <w:trPr>
          <w:cantSplit/>
        </w:trPr>
        <w:tc>
          <w:tcPr>
            <w:tcW w:type="dxa" w:w="2400"/>
          </w:tcPr>
          <w:p>
            <w:pPr>
              <w:spacing w:after="100" w:line="252" w:lineRule="auto"/>
            </w:pPr>
            <w:r>
              <w:rPr>
                <w:sz w:val="20"/>
              </w:rPr>
              <w:t>Bright manager</w:t>
            </w:r>
          </w:p>
        </w:tc>
        <w:tc>
          <w:tcPr>
            <w:tcW w:type="dxa" w:w="6960"/>
          </w:tcPr>
          <w:p>
            <w:pPr>
              <w:spacing w:after="100" w:line="252" w:lineRule="auto"/>
            </w:pPr>
            <w:r>
              <w:rPr>
                <w:sz w:val="20"/>
              </w:rPr>
              <w:t>Team CRM, assignments, campaigns, content, reports and operational budgets; no final sale approval by default.</w:t>
            </w:r>
          </w:p>
        </w:tc>
      </w:tr>
      <w:tr>
        <w:trPr>
          <w:cantSplit/>
        </w:trPr>
        <w:tc>
          <w:tcPr>
            <w:tcW w:type="dxa" w:w="2400"/>
          </w:tcPr>
          <w:p>
            <w:pPr>
              <w:spacing w:after="100" w:line="252" w:lineRule="auto"/>
            </w:pPr>
            <w:r>
              <w:rPr>
                <w:sz w:val="20"/>
              </w:rPr>
              <w:t>Sales / inquiry agent</w:t>
            </w:r>
          </w:p>
        </w:tc>
        <w:tc>
          <w:tcPr>
            <w:tcW w:type="dxa" w:w="6960"/>
          </w:tcPr>
          <w:p>
            <w:pPr>
              <w:spacing w:after="100" w:line="252" w:lineRule="auto"/>
            </w:pPr>
            <w:r>
              <w:rPr>
                <w:sz w:val="20"/>
              </w:rPr>
              <w:t>Assigned leads, communications, tasks and bookings; limited approved project information.</w:t>
            </w:r>
          </w:p>
        </w:tc>
      </w:tr>
      <w:tr>
        <w:trPr>
          <w:cantSplit/>
        </w:trPr>
        <w:tc>
          <w:tcPr>
            <w:tcW w:type="dxa" w:w="2400"/>
          </w:tcPr>
          <w:p>
            <w:pPr>
              <w:spacing w:after="100" w:line="252" w:lineRule="auto"/>
            </w:pPr>
            <w:r>
              <w:rPr>
                <w:sz w:val="20"/>
              </w:rPr>
              <w:t>Content editor</w:t>
            </w:r>
          </w:p>
        </w:tc>
        <w:tc>
          <w:tcPr>
            <w:tcW w:type="dxa" w:w="6960"/>
          </w:tcPr>
          <w:p>
            <w:pPr>
              <w:spacing w:after="100" w:line="252" w:lineRule="auto"/>
            </w:pPr>
            <w:r>
              <w:rPr>
                <w:sz w:val="20"/>
              </w:rPr>
              <w:t>Pages, assets and content drafts; no prospect contact data unless separately granted.</w:t>
            </w:r>
          </w:p>
        </w:tc>
      </w:tr>
      <w:tr>
        <w:trPr>
          <w:cantSplit/>
        </w:trPr>
        <w:tc>
          <w:tcPr>
            <w:tcW w:type="dxa" w:w="2400"/>
          </w:tcPr>
          <w:p>
            <w:pPr>
              <w:spacing w:after="100" w:line="252" w:lineRule="auto"/>
            </w:pPr>
            <w:r>
              <w:rPr>
                <w:sz w:val="20"/>
              </w:rPr>
              <w:t>Client approver</w:t>
            </w:r>
          </w:p>
        </w:tc>
        <w:tc>
          <w:tcPr>
            <w:tcW w:type="dxa" w:w="6960"/>
          </w:tcPr>
          <w:p>
            <w:pPr>
              <w:spacing w:after="100" w:line="252" w:lineRule="auto"/>
            </w:pPr>
            <w:r>
              <w:rPr>
                <w:sz w:val="20"/>
              </w:rPr>
              <w:t>Project dashboard, agreed lead visibility, approvals, decisions and authorised commercial confirmations.</w:t>
            </w:r>
          </w:p>
        </w:tc>
      </w:tr>
      <w:tr>
        <w:trPr>
          <w:cantSplit/>
        </w:trPr>
        <w:tc>
          <w:tcPr>
            <w:tcW w:type="dxa" w:w="2400"/>
          </w:tcPr>
          <w:p>
            <w:pPr>
              <w:spacing w:after="100" w:line="252" w:lineRule="auto"/>
            </w:pPr>
            <w:r>
              <w:rPr>
                <w:sz w:val="20"/>
              </w:rPr>
              <w:t>Client viewer</w:t>
            </w:r>
          </w:p>
        </w:tc>
        <w:tc>
          <w:tcPr>
            <w:tcW w:type="dxa" w:w="6960"/>
          </w:tcPr>
          <w:p>
            <w:pPr>
              <w:spacing w:after="100" w:line="252" w:lineRule="auto"/>
            </w:pPr>
            <w:r>
              <w:rPr>
                <w:sz w:val="20"/>
              </w:rPr>
              <w:t>Read-only agreed project activity, performance and reports; no edits, exports or contact details unless granted.</w:t>
            </w:r>
          </w:p>
        </w:tc>
      </w:tr>
    </w:tbl>
    <w:p>
      <w:r>
        <w:t>Enforce permissions on the server, including record access, attachments and exports. Client users see pending decisions, qualified prospects, sources, meetings, visits, follow-ups, content approvals, expenditure, issues, deadlines and monthly reports according to their assigned permissions.</w:t>
      </w:r>
    </w:p>
    <w:p>
      <w:pPr>
        <w:pStyle w:val="Heading1"/>
        <w:pageBreakBefore/>
      </w:pPr>
      <w:r>
        <w:t>8. Marketing operations and creative approvals</w:t>
      </w:r>
    </w:p>
    <w:p>
      <w:pPr>
        <w:pStyle w:val="Heading2"/>
      </w:pPr>
      <w:r>
        <w:t>Strategy and channel management</w:t>
      </w:r>
    </w:p>
    <w:p>
      <w:r>
        <w:t>Create editable strategy records for audience segments, local/diaspora buyer profiles, selling points, messaging, competitor notes, campaign objectives and follow-up approach. Attach research and decisions with review dates. Maintain platform records for Facebook, Instagram, TikTok, LinkedIn, YouTube and Google Business Profile.</w:t>
      </w:r>
    </w:p>
    <w:p>
      <w:r>
        <w:t>Each platform record stores official account URL, assigned owner, setup/branding checklist, contact integration status and connection health. Passwords must not be entered into ordinary notes. Account creation and verification are tracked tasks performed through the relevant platform.</w:t>
      </w:r>
    </w:p>
    <w:p>
      <w:pPr>
        <w:pStyle w:val="Heading2"/>
      </w:pPr>
      <w:r>
        <w:t>Content calendar and approval flow</w:t>
      </w:r>
    </w:p>
    <w:p>
      <w:r>
        <w:t>Use month/week views with approximately 16 planned posts per month as an editable proposal target. Each item has platform, theme, format, caption, hashtags, media version, owner, due date, planned publication time and campaign. Themes include renders, progress, features, location, investment information, lifestyle, education, FAQs and visit invitations.</w:t>
      </w:r>
    </w:p>
    <w:p>
      <w:r>
        <w:t>Workflow: draft, internal review, client review, changes requested, approved, scheduled, published or failed. Client comments attach to a specific version. Editing approved text or artwork invalidates approval for the changed version. Store approver and time; publishing must use the exact approved version.</w:t>
      </w:r>
    </w:p>
    <w:p>
      <w:r>
        <w:t>Provide caption editing, asset cropping and preview controls. Complex graphics, footage editing and architectural production may be completed externally, then uploaded and reviewed here. This scope does not imply a full browser replacement for professional video or 3D software.</w:t>
      </w:r>
    </w:p>
    <w:p>
      <w:pPr>
        <w:pStyle w:val="Heading2"/>
      </w:pPr>
      <w:r>
        <w:t>Production and physical marketing</w:t>
      </w:r>
    </w:p>
    <w:p>
      <w:r>
        <w:t>Create briefs and approval records for the promotional 3D video; initial and monthly site shoots; drone/interview footage; Reels/TikTok cuts; long-form updates; ads; billboard, pull-up and flyer artwork; digital brochure; WhatsApp graphics; banners; presentations; and meeting invitations.</w:t>
      </w:r>
    </w:p>
    <w:p>
      <w:r>
        <w:t>Track deliverable owner, format, due date, file versions, approval, completion and publication/print handover. Record production permissions and site access. Printing, fabrication, installation, permits, event costs and additional production require a cost request with decision and supporting quote.</w:t>
      </w:r>
    </w:p>
    <w:p>
      <w:pPr>
        <w:pStyle w:val="Heading2"/>
      </w:pPr>
      <w:r>
        <w:t>Publishing and community response</w:t>
      </w:r>
    </w:p>
    <w:p>
      <w:r>
        <w:t>Connected publishing and inbox functions depend on each provider’s permitted access. Show connection and delivery status. Where unavailable, provide approved downloadable assets, copyable captions, manual publication URL/date and inbox-response tasks linked to leads. Never label a draft as published merely because its scheduled time passed.</w:t>
      </w:r>
    </w:p>
    <w:p>
      <w:pPr>
        <w:pStyle w:val="Heading1"/>
        <w:pageBreakBefore/>
      </w:pPr>
      <w:r>
        <w:t>9. Campaign budgets and performance reports</w:t>
      </w:r>
    </w:p>
    <w:p>
      <w:pPr>
        <w:pStyle w:val="Heading2"/>
      </w:pPr>
      <w:r>
        <w:t>Campaign records and expenditure</w:t>
      </w:r>
    </w:p>
    <w:p>
      <w:r>
        <w:t>Store objective, audience, channel, dates, creative, landing page, campaign identifiers, approved budget, spend, currency, owner and status. Track approval before activation and before extra spending. Display funding received separately from ad expenditure and agency fees. Flag budget overruns and failed imports.</w:t>
      </w:r>
    </w:p>
    <w:p>
      <w:r>
        <w:t>Import connected advertising metrics where authorised; otherwise support validated manual entry or CSV with reporting period, source and evidence attachment. Display last synchronisation time and mark manual data. Do not silently combine incomplete channel data or treat missing values as zero.</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600"/>
        <w:gridCol w:w="6760"/>
      </w:tblGrid>
      <w:tr>
        <w:trPr>
          <w:cantSplit/>
          <w:tblHeader/>
        </w:trPr>
        <w:tc>
          <w:tcPr>
            <w:tcW w:type="dxa" w:w="2600"/>
            <w:shd w:fill="F2F4F7"/>
          </w:tcPr>
          <w:p>
            <w:pPr>
              <w:spacing w:after="100" w:line="252" w:lineRule="auto"/>
            </w:pPr>
            <w:r>
              <w:rPr>
                <w:b/>
                <w:sz w:val="20"/>
              </w:rPr>
              <w:t>Metric</w:t>
            </w:r>
          </w:p>
        </w:tc>
        <w:tc>
          <w:tcPr>
            <w:tcW w:type="dxa" w:w="6760"/>
            <w:shd w:fill="F2F4F7"/>
          </w:tcPr>
          <w:p>
            <w:pPr>
              <w:spacing w:after="100" w:line="252" w:lineRule="auto"/>
            </w:pPr>
            <w:r>
              <w:rPr>
                <w:b/>
                <w:sz w:val="20"/>
              </w:rPr>
              <w:t>Definition for implementation</w:t>
            </w:r>
          </w:p>
        </w:tc>
      </w:tr>
      <w:tr>
        <w:trPr>
          <w:cantSplit/>
        </w:trPr>
        <w:tc>
          <w:tcPr>
            <w:tcW w:type="dxa" w:w="2600"/>
          </w:tcPr>
          <w:p>
            <w:pPr>
              <w:spacing w:after="100" w:line="252" w:lineRule="auto"/>
            </w:pPr>
            <w:r>
              <w:rPr>
                <w:sz w:val="20"/>
              </w:rPr>
              <w:t>Inquiries / qualified leads</w:t>
            </w:r>
          </w:p>
        </w:tc>
        <w:tc>
          <w:tcPr>
            <w:tcW w:type="dxa" w:w="6760"/>
          </w:tcPr>
          <w:p>
            <w:pPr>
              <w:spacing w:after="100" w:line="252" w:lineRule="auto"/>
            </w:pPr>
            <w:r>
              <w:rPr>
                <w:sz w:val="20"/>
              </w:rPr>
              <w:t>Inquiries are unique inquiry records; qualified leads are distinct leads reaching qualified status. Show duplicates and repeat inquiries separately.</w:t>
            </w:r>
          </w:p>
        </w:tc>
      </w:tr>
      <w:tr>
        <w:trPr>
          <w:cantSplit/>
        </w:trPr>
        <w:tc>
          <w:tcPr>
            <w:tcW w:type="dxa" w:w="2600"/>
          </w:tcPr>
          <w:p>
            <w:pPr>
              <w:spacing w:after="100" w:line="252" w:lineRule="auto"/>
            </w:pPr>
            <w:r>
              <w:rPr>
                <w:sz w:val="20"/>
              </w:rPr>
              <w:t>Cost per inquiry</w:t>
            </w:r>
          </w:p>
        </w:tc>
        <w:tc>
          <w:tcPr>
            <w:tcW w:type="dxa" w:w="6760"/>
          </w:tcPr>
          <w:p>
            <w:pPr>
              <w:spacing w:after="100" w:line="252" w:lineRule="auto"/>
            </w:pPr>
            <w:r>
              <w:rPr>
                <w:sz w:val="20"/>
              </w:rPr>
              <w:t>Attributed ad spend ÷ valid inquiries for the same campaign, period and currency. Zero denominator displays N/A.</w:t>
            </w:r>
          </w:p>
        </w:tc>
      </w:tr>
      <w:tr>
        <w:trPr>
          <w:cantSplit/>
        </w:trPr>
        <w:tc>
          <w:tcPr>
            <w:tcW w:type="dxa" w:w="2600"/>
          </w:tcPr>
          <w:p>
            <w:pPr>
              <w:spacing w:after="100" w:line="252" w:lineRule="auto"/>
            </w:pPr>
            <w:r>
              <w:rPr>
                <w:sz w:val="20"/>
              </w:rPr>
              <w:t>Response time</w:t>
            </w:r>
          </w:p>
        </w:tc>
        <w:tc>
          <w:tcPr>
            <w:tcW w:type="dxa" w:w="6760"/>
          </w:tcPr>
          <w:p>
            <w:pPr>
              <w:spacing w:after="100" w:line="252" w:lineRule="auto"/>
            </w:pPr>
            <w:r>
              <w:rPr>
                <w:sz w:val="20"/>
              </w:rPr>
              <w:t>First human response minus inquiry receipt; report median and overdue count using agreed working hours.</w:t>
            </w:r>
          </w:p>
        </w:tc>
      </w:tr>
      <w:tr>
        <w:trPr>
          <w:cantSplit/>
        </w:trPr>
        <w:tc>
          <w:tcPr>
            <w:tcW w:type="dxa" w:w="2600"/>
          </w:tcPr>
          <w:p>
            <w:pPr>
              <w:spacing w:after="100" w:line="252" w:lineRule="auto"/>
            </w:pPr>
            <w:r>
              <w:rPr>
                <w:sz w:val="20"/>
              </w:rPr>
              <w:t>Qualified percentage</w:t>
            </w:r>
          </w:p>
        </w:tc>
        <w:tc>
          <w:tcPr>
            <w:tcW w:type="dxa" w:w="6760"/>
          </w:tcPr>
          <w:p>
            <w:pPr>
              <w:spacing w:after="100" w:line="252" w:lineRule="auto"/>
            </w:pPr>
            <w:r>
              <w:rPr>
                <w:sz w:val="20"/>
              </w:rPr>
              <w:t>Qualified leads from a defined lead-created cohort ÷ valid leads in that cohort × 100.</w:t>
            </w:r>
          </w:p>
        </w:tc>
      </w:tr>
      <w:tr>
        <w:trPr>
          <w:cantSplit/>
        </w:trPr>
        <w:tc>
          <w:tcPr>
            <w:tcW w:type="dxa" w:w="2600"/>
          </w:tcPr>
          <w:p>
            <w:pPr>
              <w:spacing w:after="100" w:line="252" w:lineRule="auto"/>
            </w:pPr>
            <w:r>
              <w:rPr>
                <w:sz w:val="20"/>
              </w:rPr>
              <w:t>Meeting / visit conversion</w:t>
            </w:r>
          </w:p>
        </w:tc>
        <w:tc>
          <w:tcPr>
            <w:tcW w:type="dxa" w:w="6760"/>
          </w:tcPr>
          <w:p>
            <w:pPr>
              <w:spacing w:after="100" w:line="252" w:lineRule="auto"/>
            </w:pPr>
            <w:r>
              <w:rPr>
                <w:sz w:val="20"/>
              </w:rPr>
              <w:t>Distinct leads in a defined cohort with a booked meeting or booked visit ÷ valid cohort leads × 100. Show completed counts separately.</w:t>
            </w:r>
          </w:p>
        </w:tc>
      </w:tr>
      <w:tr>
        <w:trPr>
          <w:cantSplit/>
        </w:trPr>
        <w:tc>
          <w:tcPr>
            <w:tcW w:type="dxa" w:w="2600"/>
          </w:tcPr>
          <w:p>
            <w:pPr>
              <w:spacing w:after="100" w:line="252" w:lineRule="auto"/>
            </w:pPr>
            <w:r>
              <w:rPr>
                <w:sz w:val="20"/>
              </w:rPr>
              <w:t>Reservations / sales</w:t>
            </w:r>
          </w:p>
        </w:tc>
        <w:tc>
          <w:tcPr>
            <w:tcW w:type="dxa" w:w="6760"/>
          </w:tcPr>
          <w:p>
            <w:pPr>
              <w:spacing w:after="100" w:line="252" w:lineRule="auto"/>
            </w:pPr>
            <w:r>
              <w:rPr>
                <w:sz w:val="20"/>
              </w:rPr>
              <w:t>Count separately by client-confirmed outcome and date. Record reversals and exclude unconfirmed CRM stage labels.</w:t>
            </w:r>
          </w:p>
        </w:tc>
      </w:tr>
      <w:tr>
        <w:trPr>
          <w:cantSplit/>
        </w:trPr>
        <w:tc>
          <w:tcPr>
            <w:tcW w:type="dxa" w:w="2600"/>
          </w:tcPr>
          <w:p>
            <w:pPr>
              <w:spacing w:after="100" w:line="252" w:lineRule="auto"/>
            </w:pPr>
            <w:r>
              <w:rPr>
                <w:sz w:val="20"/>
              </w:rPr>
              <w:t>Other indicators</w:t>
            </w:r>
          </w:p>
        </w:tc>
        <w:tc>
          <w:tcPr>
            <w:tcW w:type="dxa" w:w="6760"/>
          </w:tcPr>
          <w:p>
            <w:pPr>
              <w:spacing w:after="100" w:line="252" w:lineRule="auto"/>
            </w:pPr>
            <w:r>
              <w:rPr>
                <w:sz w:val="20"/>
              </w:rPr>
              <w:t>Traffic, reach, engagement, video views, booked/completed visits, completed follow-ups and source mix; label provider definitions.</w:t>
            </w:r>
          </w:p>
        </w:tc>
      </w:tr>
    </w:tbl>
    <w:p>
      <w:r>
        <w:t>Monthly reports include activities completed, content produced/published, social performance, traffic, reach/engagement, spend, inquiries, sources, qualified prospects, meetings/visits, follow-up, conversion progress, pending decisions, challenges and next-month recommendations. Filter by period, channel, campaign and owner.</w:t>
      </w:r>
    </w:p>
    <w:p>
      <w:r>
        <w:t>Reports support draft, review, approved and locked snapshot states; export readable PDF and underlying CSV. Corrections create a revised version. Link monthly performance meetings and their actions. Avoid summing reach across platforms as unique people; show channel values separately.</w:t>
      </w:r>
    </w:p>
    <w:p>
      <w:pPr>
        <w:pStyle w:val="Heading1"/>
        <w:pageBreakBefore/>
      </w:pPr>
      <w:r>
        <w:t>10. Proposal budget and client responsibility records</w:t>
      </w:r>
    </w:p>
    <w:p>
      <w:r>
        <w:t>The following figures are transcribed from the proposal for private operational tracking. They are marketing engagement figures, not a fresh quotation for all enhancements in this specification. Do not display them as property prices or publish them on the public website.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700"/>
        <w:gridCol w:w="2220"/>
        <w:gridCol w:w="2220"/>
        <w:gridCol w:w="2220"/>
      </w:tblGrid>
      <w:tr>
        <w:trPr>
          <w:cantSplit/>
          <w:tblHeader/>
        </w:trPr>
        <w:tc>
          <w:tcPr>
            <w:tcW w:type="dxa" w:w="2700"/>
            <w:shd w:fill="F2F4F7"/>
          </w:tcPr>
          <w:p>
            <w:pPr>
              <w:spacing w:after="100" w:line="252" w:lineRule="auto"/>
            </w:pPr>
            <w:r>
              <w:rPr>
                <w:b/>
                <w:sz w:val="20"/>
              </w:rPr>
              <w:t>Period</w:t>
            </w:r>
          </w:p>
        </w:tc>
        <w:tc>
          <w:tcPr>
            <w:tcW w:type="dxa" w:w="2220"/>
            <w:shd w:fill="F2F4F7"/>
          </w:tcPr>
          <w:p>
            <w:pPr>
              <w:spacing w:after="100" w:line="252" w:lineRule="auto"/>
            </w:pPr>
            <w:r>
              <w:rPr>
                <w:b/>
                <w:sz w:val="20"/>
              </w:rPr>
              <w:t>Professional fees</w:t>
            </w:r>
          </w:p>
        </w:tc>
        <w:tc>
          <w:tcPr>
            <w:tcW w:type="dxa" w:w="2220"/>
            <w:shd w:fill="F2F4F7"/>
          </w:tcPr>
          <w:p>
            <w:pPr>
              <w:spacing w:after="100" w:line="252" w:lineRule="auto"/>
            </w:pPr>
            <w:r>
              <w:rPr>
                <w:b/>
                <w:sz w:val="20"/>
              </w:rPr>
              <w:t>Advertising</w:t>
            </w:r>
          </w:p>
        </w:tc>
        <w:tc>
          <w:tcPr>
            <w:tcW w:type="dxa" w:w="2220"/>
            <w:shd w:fill="F2F4F7"/>
          </w:tcPr>
          <w:p>
            <w:pPr>
              <w:spacing w:after="100" w:line="252" w:lineRule="auto"/>
            </w:pPr>
            <w:r>
              <w:rPr>
                <w:b/>
                <w:sz w:val="20"/>
              </w:rPr>
              <w:t>Total</w:t>
            </w:r>
          </w:p>
        </w:tc>
      </w:tr>
      <w:tr>
        <w:trPr>
          <w:cantSplit/>
        </w:trPr>
        <w:tc>
          <w:tcPr>
            <w:tcW w:type="dxa" w:w="2700"/>
          </w:tcPr>
          <w:p>
            <w:pPr>
              <w:spacing w:after="100" w:line="252" w:lineRule="auto"/>
            </w:pPr>
            <w:r>
              <w:rPr>
                <w:sz w:val="20"/>
              </w:rPr>
              <w:t>Month 1</w:t>
            </w:r>
          </w:p>
        </w:tc>
        <w:tc>
          <w:tcPr>
            <w:tcW w:type="dxa" w:w="2220"/>
          </w:tcPr>
          <w:p>
            <w:pPr>
              <w:spacing w:after="100" w:line="252" w:lineRule="auto"/>
            </w:pPr>
            <w:r>
              <w:rPr>
                <w:sz w:val="20"/>
              </w:rPr>
              <w:t>$3,000</w:t>
            </w:r>
          </w:p>
        </w:tc>
        <w:tc>
          <w:tcPr>
            <w:tcW w:type="dxa" w:w="2220"/>
          </w:tcPr>
          <w:p>
            <w:pPr>
              <w:spacing w:after="100" w:line="252" w:lineRule="auto"/>
            </w:pPr>
            <w:r>
              <w:rPr>
                <w:sz w:val="20"/>
              </w:rPr>
              <w:t>$500</w:t>
            </w:r>
          </w:p>
        </w:tc>
        <w:tc>
          <w:tcPr>
            <w:tcW w:type="dxa" w:w="2220"/>
          </w:tcPr>
          <w:p>
            <w:pPr>
              <w:spacing w:after="100" w:line="252" w:lineRule="auto"/>
            </w:pPr>
            <w:r>
              <w:rPr>
                <w:sz w:val="20"/>
              </w:rPr>
              <w:t>$3,500</w:t>
            </w:r>
          </w:p>
        </w:tc>
      </w:tr>
      <w:tr>
        <w:trPr>
          <w:cantSplit/>
        </w:trPr>
        <w:tc>
          <w:tcPr>
            <w:tcW w:type="dxa" w:w="2700"/>
          </w:tcPr>
          <w:p>
            <w:pPr>
              <w:spacing w:after="100" w:line="252" w:lineRule="auto"/>
            </w:pPr>
            <w:r>
              <w:rPr>
                <w:sz w:val="20"/>
              </w:rPr>
              <w:t>Months 2–6, each</w:t>
            </w:r>
          </w:p>
        </w:tc>
        <w:tc>
          <w:tcPr>
            <w:tcW w:type="dxa" w:w="2220"/>
          </w:tcPr>
          <w:p>
            <w:pPr>
              <w:spacing w:after="100" w:line="252" w:lineRule="auto"/>
            </w:pPr>
            <w:r>
              <w:rPr>
                <w:sz w:val="20"/>
              </w:rPr>
              <w:t>$1,500</w:t>
            </w:r>
          </w:p>
        </w:tc>
        <w:tc>
          <w:tcPr>
            <w:tcW w:type="dxa" w:w="2220"/>
          </w:tcPr>
          <w:p>
            <w:pPr>
              <w:spacing w:after="100" w:line="252" w:lineRule="auto"/>
            </w:pPr>
            <w:r>
              <w:rPr>
                <w:sz w:val="20"/>
              </w:rPr>
              <w:t>$500</w:t>
            </w:r>
          </w:p>
        </w:tc>
        <w:tc>
          <w:tcPr>
            <w:tcW w:type="dxa" w:w="2220"/>
          </w:tcPr>
          <w:p>
            <w:pPr>
              <w:spacing w:after="100" w:line="252" w:lineRule="auto"/>
            </w:pPr>
            <w:r>
              <w:rPr>
                <w:sz w:val="20"/>
              </w:rPr>
              <w:t>$2,000</w:t>
            </w:r>
          </w:p>
        </w:tc>
      </w:tr>
      <w:tr>
        <w:trPr>
          <w:cantSplit/>
        </w:trPr>
        <w:tc>
          <w:tcPr>
            <w:tcW w:type="dxa" w:w="2700"/>
          </w:tcPr>
          <w:p>
            <w:pPr>
              <w:spacing w:after="100" w:line="252" w:lineRule="auto"/>
            </w:pPr>
            <w:r>
              <w:rPr>
                <w:sz w:val="20"/>
              </w:rPr>
              <w:t>Six months</w:t>
            </w:r>
          </w:p>
        </w:tc>
        <w:tc>
          <w:tcPr>
            <w:tcW w:type="dxa" w:w="2220"/>
          </w:tcPr>
          <w:p>
            <w:pPr>
              <w:spacing w:after="100" w:line="252" w:lineRule="auto"/>
            </w:pPr>
            <w:r>
              <w:rPr>
                <w:sz w:val="20"/>
              </w:rPr>
              <w:t>$10,500</w:t>
            </w:r>
          </w:p>
        </w:tc>
        <w:tc>
          <w:tcPr>
            <w:tcW w:type="dxa" w:w="2220"/>
          </w:tcPr>
          <w:p>
            <w:pPr>
              <w:spacing w:after="100" w:line="252" w:lineRule="auto"/>
            </w:pPr>
            <w:r>
              <w:rPr>
                <w:sz w:val="20"/>
              </w:rPr>
              <w:t>$3,000</w:t>
            </w:r>
          </w:p>
        </w:tc>
        <w:tc>
          <w:tcPr>
            <w:tcW w:type="dxa" w:w="2220"/>
          </w:tcPr>
          <w:p>
            <w:pPr>
              <w:spacing w:after="100" w:line="252" w:lineRule="auto"/>
            </w:pPr>
            <w:r>
              <w:rPr>
                <w:sz w:val="20"/>
              </w:rPr>
              <w:t>$13,500</w:t>
            </w:r>
          </w:p>
        </w:tc>
      </w:tr>
    </w:tbl>
    <w:p>
      <w:r>
        <w:t>Proposed monthly advertising allocation is $300 for Facebook/Instagram, $150 for Google Search/Display and $50 for retargeting/testing. Classify the $50 as a separate budget line while recording the actual delivery platform, so it is not counted twice.</w:t>
      </w:r>
    </w:p>
    <w:p>
      <w:pPr>
        <w:pStyle w:val="Heading2"/>
      </w:pPr>
      <w:r>
        <w:t>Milestones, payments and approvals</w:t>
      </w:r>
    </w:p>
    <w:p>
      <w:r>
        <w:t>Track setup fee due before work begins, monthly professional fee due at the start of the month, and ad funds due before campaign activation. Allow finance-authorised users to record invoices, evidence, receipt date, balance and payment status. No payment gateway, automatic charging or automated legal agreement is implied.</w:t>
      </w:r>
    </w:p>
    <w:p>
      <w:r>
        <w:t>Track any agreed suspension as a human decision with scope and reason. External software, domain/hosting renewals, printing, billboard space, fabrication, installation, permits, event costs, influencers, listing fees, extra ad spend, extensive modelling and additional shoots require separate cost approval as applicable.</w:t>
      </w:r>
    </w:p>
    <w:p>
      <w:pPr>
        <w:pStyle w:val="Heading2"/>
      </w:pPr>
      <w:r>
        <w:t>Client inputs and dependencies</w:t>
      </w:r>
    </w:p>
    <w:p>
      <w:r>
        <w:t>Provide a request tracker for approved name/logo, architectural drawings, renders/models, specifications, unit types, stock, prices, payment plans, amenities, development information, site access, filming permission, sales documents and authorised representatives. Each request has owner, due date, file, decision and blocking status.</w:t>
      </w:r>
    </w:p>
    <w:p>
      <w:r>
        <w:t>Store approved working hours, content approval procedure, confidentiality rules, responsibilities, deliverable limits, intellectual-property ownership and agreement dates in restricted settings/documents. The formal agreement remains authoritative; the website records its operational requirements.</w:t>
      </w:r>
    </w:p>
    <w:p>
      <w:pPr>
        <w:pStyle w:val="Heading2"/>
      </w:pPr>
      <w:r>
        <w:t>Inventory and commercial controls</w:t>
      </w:r>
    </w:p>
    <w:p>
      <w:r>
        <w:t>Unit records include project, block/floor if applicable, unique code, type, area/area basis, status, approved price/currency, payment information and linked plans. Maintain type-level listings if no individual stock list exists. Available, held, reserved, sold and unavailable states require authorised changes and history.</w:t>
      </w:r>
    </w:p>
    <w:p>
      <w:r>
        <w:t>No public form should reserve stock automatically. A client-approved reservation must update inventory transactionally to prevent conflicting holds. Handle expiry, cancellation and release with an audit trail. Exact inventory rules require the approved sales process before activation.</w:t>
      </w:r>
    </w:p>
    <w:p>
      <w:pPr>
        <w:pStyle w:val="Heading1"/>
        <w:pageBreakBefore/>
      </w:pPr>
      <w:r>
        <w:t>11. Integrations and measurement contract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400"/>
        <w:gridCol w:w="6960"/>
      </w:tblGrid>
      <w:tr>
        <w:trPr>
          <w:cantSplit/>
          <w:tblHeader/>
        </w:trPr>
        <w:tc>
          <w:tcPr>
            <w:tcW w:type="dxa" w:w="2400"/>
            <w:shd w:fill="F2F4F7"/>
          </w:tcPr>
          <w:p>
            <w:pPr>
              <w:spacing w:after="100" w:line="252" w:lineRule="auto"/>
            </w:pPr>
            <w:r>
              <w:rPr>
                <w:b/>
                <w:sz w:val="20"/>
              </w:rPr>
              <w:t>Integration</w:t>
            </w:r>
          </w:p>
        </w:tc>
        <w:tc>
          <w:tcPr>
            <w:tcW w:type="dxa" w:w="6960"/>
            <w:shd w:fill="F2F4F7"/>
          </w:tcPr>
          <w:p>
            <w:pPr>
              <w:spacing w:after="100" w:line="252" w:lineRule="auto"/>
            </w:pPr>
            <w:r>
              <w:rPr>
                <w:b/>
                <w:sz w:val="20"/>
              </w:rPr>
              <w:t>Required behaviour and fallback</w:t>
            </w:r>
          </w:p>
        </w:tc>
      </w:tr>
      <w:tr>
        <w:trPr>
          <w:cantSplit/>
        </w:trPr>
        <w:tc>
          <w:tcPr>
            <w:tcW w:type="dxa" w:w="2400"/>
          </w:tcPr>
          <w:p>
            <w:pPr>
              <w:spacing w:after="100" w:line="252" w:lineRule="auto"/>
            </w:pPr>
            <w:r>
              <w:rPr>
                <w:sz w:val="20"/>
              </w:rPr>
              <w:t>Email</w:t>
            </w:r>
          </w:p>
        </w:tc>
        <w:tc>
          <w:tcPr>
            <w:tcW w:type="dxa" w:w="6960"/>
          </w:tcPr>
          <w:p>
            <w:pPr>
              <w:spacing w:after="100" w:line="252" w:lineRule="auto"/>
            </w:pPr>
            <w:r>
              <w:rPr>
                <w:sz w:val="20"/>
              </w:rPr>
              <w:t>Configured transactional sender for confirmations and reminders; delivery/failure records and safe retries. Sender identity must be verified before live sending.</w:t>
            </w:r>
          </w:p>
        </w:tc>
      </w:tr>
      <w:tr>
        <w:trPr>
          <w:cantSplit/>
        </w:trPr>
        <w:tc>
          <w:tcPr>
            <w:tcW w:type="dxa" w:w="2400"/>
          </w:tcPr>
          <w:p>
            <w:pPr>
              <w:spacing w:after="100" w:line="252" w:lineRule="auto"/>
            </w:pPr>
            <w:r>
              <w:rPr>
                <w:sz w:val="20"/>
              </w:rPr>
              <w:t>WhatsApp / phone</w:t>
            </w:r>
          </w:p>
        </w:tc>
        <w:tc>
          <w:tcPr>
            <w:tcW w:type="dxa" w:w="6960"/>
          </w:tcPr>
          <w:p>
            <w:pPr>
              <w:spacing w:after="100" w:line="252" w:lineRule="auto"/>
            </w:pPr>
            <w:r>
              <w:rPr>
                <w:sz w:val="20"/>
              </w:rPr>
              <w:t>Verified click-to-chat and telephone links. Automated messaging or shared inbox requires an authorised provider connection; otherwise log communications manually.</w:t>
            </w:r>
          </w:p>
        </w:tc>
      </w:tr>
      <w:tr>
        <w:trPr>
          <w:cantSplit/>
        </w:trPr>
        <w:tc>
          <w:tcPr>
            <w:tcW w:type="dxa" w:w="2400"/>
          </w:tcPr>
          <w:p>
            <w:pPr>
              <w:spacing w:after="100" w:line="252" w:lineRule="auto"/>
            </w:pPr>
            <w:r>
              <w:rPr>
                <w:sz w:val="20"/>
              </w:rPr>
              <w:t>Calendar</w:t>
            </w:r>
          </w:p>
        </w:tc>
        <w:tc>
          <w:tcPr>
            <w:tcW w:type="dxa" w:w="6960"/>
          </w:tcPr>
          <w:p>
            <w:pPr>
              <w:spacing w:after="100" w:line="252" w:lineRule="auto"/>
            </w:pPr>
            <w:r>
              <w:rPr>
                <w:sz w:val="20"/>
              </w:rPr>
              <w:t>Read permitted availability and synchronise confirmed bookings. Monitor revoked access. Fallback: pending request and calendar-file download.</w:t>
            </w:r>
          </w:p>
        </w:tc>
      </w:tr>
      <w:tr>
        <w:trPr>
          <w:cantSplit/>
        </w:trPr>
        <w:tc>
          <w:tcPr>
            <w:tcW w:type="dxa" w:w="2400"/>
          </w:tcPr>
          <w:p>
            <w:pPr>
              <w:spacing w:after="100" w:line="252" w:lineRule="auto"/>
            </w:pPr>
            <w:r>
              <w:rPr>
                <w:sz w:val="20"/>
              </w:rPr>
              <w:t>Maps</w:t>
            </w:r>
          </w:p>
        </w:tc>
        <w:tc>
          <w:tcPr>
            <w:tcW w:type="dxa" w:w="6960"/>
          </w:tcPr>
          <w:p>
            <w:pPr>
              <w:spacing w:after="100" w:line="252" w:lineRule="auto"/>
            </w:pPr>
            <w:r>
              <w:rPr>
                <w:sz w:val="20"/>
              </w:rPr>
              <w:t>Approved coordinates and directions link; load interactive map without blocking content. Text address remains usable if embed fails.</w:t>
            </w:r>
          </w:p>
        </w:tc>
      </w:tr>
      <w:tr>
        <w:trPr>
          <w:cantSplit/>
        </w:trPr>
        <w:tc>
          <w:tcPr>
            <w:tcW w:type="dxa" w:w="2400"/>
          </w:tcPr>
          <w:p>
            <w:pPr>
              <w:spacing w:after="100" w:line="252" w:lineRule="auto"/>
            </w:pPr>
            <w:r>
              <w:rPr>
                <w:sz w:val="20"/>
              </w:rPr>
              <w:t>Analytics / Meta Pixel</w:t>
            </w:r>
          </w:p>
        </w:tc>
        <w:tc>
          <w:tcPr>
            <w:tcW w:type="dxa" w:w="6960"/>
          </w:tcPr>
          <w:p>
            <w:pPr>
              <w:spacing w:after="100" w:line="252" w:lineRule="auto"/>
            </w:pPr>
            <w:r>
              <w:rPr>
                <w:sz w:val="20"/>
              </w:rPr>
              <w:t>Configure approved measurement IDs and consent behaviour. Fire conversion after successful server save. Exclude staff/admin traffic where configured.</w:t>
            </w:r>
          </w:p>
        </w:tc>
      </w:tr>
      <w:tr>
        <w:trPr>
          <w:cantSplit/>
        </w:trPr>
        <w:tc>
          <w:tcPr>
            <w:tcW w:type="dxa" w:w="2400"/>
          </w:tcPr>
          <w:p>
            <w:pPr>
              <w:spacing w:after="100" w:line="252" w:lineRule="auto"/>
            </w:pPr>
            <w:r>
              <w:rPr>
                <w:sz w:val="20"/>
              </w:rPr>
              <w:t>Advertising / social</w:t>
            </w:r>
          </w:p>
        </w:tc>
        <w:tc>
          <w:tcPr>
            <w:tcW w:type="dxa" w:w="6960"/>
          </w:tcPr>
          <w:p>
            <w:pPr>
              <w:spacing w:after="100" w:line="252" w:lineRule="auto"/>
            </w:pPr>
            <w:r>
              <w:rPr>
                <w:sz w:val="20"/>
              </w:rPr>
              <w:t>Provider access, supported permissions and account ownership must be verified during implementation. Use manual evidence-backed reporting when access is missing.</w:t>
            </w:r>
          </w:p>
        </w:tc>
      </w:tr>
      <w:tr>
        <w:trPr>
          <w:cantSplit/>
        </w:trPr>
        <w:tc>
          <w:tcPr>
            <w:tcW w:type="dxa" w:w="2400"/>
          </w:tcPr>
          <w:p>
            <w:pPr>
              <w:spacing w:after="100" w:line="252" w:lineRule="auto"/>
            </w:pPr>
            <w:r>
              <w:rPr>
                <w:sz w:val="20"/>
              </w:rPr>
              <w:t>Media delivery</w:t>
            </w:r>
          </w:p>
        </w:tc>
        <w:tc>
          <w:tcPr>
            <w:tcW w:type="dxa" w:w="6960"/>
          </w:tcPr>
          <w:p>
            <w:pPr>
              <w:spacing w:after="100" w:line="252" w:lineRule="auto"/>
            </w:pPr>
            <w:r>
              <w:rPr>
                <w:sz w:val="20"/>
              </w:rPr>
              <w:t>Optimised images, video posters, captions and adaptive delivery as supported. Preserve approved originals and poster fallback.</w:t>
            </w:r>
          </w:p>
        </w:tc>
      </w:tr>
    </w:tbl>
    <w:p>
      <w:r>
        <w:t>Maintain a connection settings page with authorised account, granted scope, status, last successful sync, last error and reconnect action. Keep credentials encrypted server-side. Failed jobs retry safely and remain visible for manual recovery; duplicate webhooks must not duplicate leads, posts or messages.</w:t>
      </w:r>
    </w:p>
    <w:p>
      <w:pPr>
        <w:pStyle w:val="Heading2"/>
      </w:pPr>
      <w:r>
        <w:t>Event and attribution design</w:t>
      </w:r>
    </w:p>
    <w:p>
      <w:r>
        <w:t>Define view_unit, brochure_download, inquiry_submitted, callback_requested, meeting_requested, meeting_confirmed, visit_requested, visit_confirmed, whatsapp_click and phone_click. Click events measure intent; they do not prove a conversation or valid lead. Use non-personal event IDs, campaign IDs and unit identifiers; never send names, emails or phone numbers in analytics URLs or event labels.</w:t>
      </w:r>
    </w:p>
    <w:p>
      <w:r>
        <w:t>Record first-touch and latest-touch campaign parameters separately, with referral and landing-page context where permitted. Label direct/unknown attribution honestly. Consent restrictions and cross-device browsing can leave gaps; the reporting UI must display those limits.</w:t>
      </w:r>
    </w:p>
    <w:p>
      <w:r>
        <w:t>When browser and server conversion reporting both exist, share an event ID for deduplication. Service confirmations must remain separate from optional marketing nurture. External advertising platforms remain the authority for media spend and delivery status.</w:t>
      </w:r>
    </w:p>
    <w:p>
      <w:pPr>
        <w:pStyle w:val="Heading1"/>
        <w:pageBreakBefore/>
      </w:pPr>
      <w:r>
        <w:t>12. Data, security and operational reliability</w:t>
      </w:r>
    </w:p>
    <w:p>
      <w:pPr>
        <w:pStyle w:val="Heading2"/>
      </w:pPr>
      <w:r>
        <w:t>Logical architecture</w:t>
      </w:r>
    </w:p>
    <w:p>
      <w:r>
        <w:t>Separate public presentation, protected admin screens, server-side business rules, persistent database, private file storage and background jobs. All mutations validate authentication, permission and input on the server. Framework/provider choices and exact versions are implementation decisions to document before development.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900"/>
        <w:gridCol w:w="6460"/>
      </w:tblGrid>
      <w:tr>
        <w:trPr>
          <w:cantSplit/>
          <w:tblHeader/>
        </w:trPr>
        <w:tc>
          <w:tcPr>
            <w:tcW w:type="dxa" w:w="2900"/>
            <w:shd w:fill="F2F4F7"/>
          </w:tcPr>
          <w:p>
            <w:pPr>
              <w:spacing w:after="100" w:line="252" w:lineRule="auto"/>
            </w:pPr>
            <w:r>
              <w:rPr>
                <w:b/>
                <w:sz w:val="20"/>
              </w:rPr>
              <w:t>Entities</w:t>
            </w:r>
          </w:p>
        </w:tc>
        <w:tc>
          <w:tcPr>
            <w:tcW w:type="dxa" w:w="6460"/>
            <w:shd w:fill="F2F4F7"/>
          </w:tcPr>
          <w:p>
            <w:pPr>
              <w:spacing w:after="100" w:line="252" w:lineRule="auto"/>
            </w:pPr>
            <w:r>
              <w:rPr>
                <w:b/>
                <w:sz w:val="20"/>
              </w:rPr>
              <w:t>Core relationship / constraint</w:t>
            </w:r>
          </w:p>
        </w:tc>
      </w:tr>
      <w:tr>
        <w:trPr>
          <w:cantSplit/>
        </w:trPr>
        <w:tc>
          <w:tcPr>
            <w:tcW w:type="dxa" w:w="2900"/>
          </w:tcPr>
          <w:p>
            <w:pPr>
              <w:spacing w:after="100" w:line="252" w:lineRule="auto"/>
            </w:pPr>
            <w:r>
              <w:rPr>
                <w:sz w:val="20"/>
              </w:rPr>
              <w:t>Project, UnitType, Unit</w:t>
            </w:r>
          </w:p>
        </w:tc>
        <w:tc>
          <w:tcPr>
            <w:tcW w:type="dxa" w:w="6460"/>
          </w:tcPr>
          <w:p>
            <w:pPr>
              <w:spacing w:after="100" w:line="252" w:lineRule="auto"/>
            </w:pPr>
            <w:r>
              <w:rPr>
                <w:sz w:val="20"/>
              </w:rPr>
              <w:t>One project has types and optional individual units; unique unit code per project; approved price and status history.</w:t>
            </w:r>
          </w:p>
        </w:tc>
      </w:tr>
      <w:tr>
        <w:trPr>
          <w:cantSplit/>
        </w:trPr>
        <w:tc>
          <w:tcPr>
            <w:tcW w:type="dxa" w:w="2900"/>
          </w:tcPr>
          <w:p>
            <w:pPr>
              <w:spacing w:after="100" w:line="252" w:lineRule="auto"/>
            </w:pPr>
            <w:r>
              <w:rPr>
                <w:sz w:val="20"/>
              </w:rPr>
              <w:t>Contact, Inquiry, Lead</w:t>
            </w:r>
          </w:p>
        </w:tc>
        <w:tc>
          <w:tcPr>
            <w:tcW w:type="dxa" w:w="6460"/>
          </w:tcPr>
          <w:p>
            <w:pPr>
              <w:spacing w:after="100" w:line="252" w:lineRule="auto"/>
            </w:pPr>
            <w:r>
              <w:rPr>
                <w:sz w:val="20"/>
              </w:rPr>
              <w:t>A contact can have several inquiries; leads link to contact and project; preserve source history and stable IDs.</w:t>
            </w:r>
          </w:p>
        </w:tc>
      </w:tr>
      <w:tr>
        <w:trPr>
          <w:cantSplit/>
        </w:trPr>
        <w:tc>
          <w:tcPr>
            <w:tcW w:type="dxa" w:w="2900"/>
          </w:tcPr>
          <w:p>
            <w:pPr>
              <w:spacing w:after="100" w:line="252" w:lineRule="auto"/>
            </w:pPr>
            <w:r>
              <w:rPr>
                <w:sz w:val="20"/>
              </w:rPr>
              <w:t>Activity, Task, Booking</w:t>
            </w:r>
          </w:p>
        </w:tc>
        <w:tc>
          <w:tcPr>
            <w:tcW w:type="dxa" w:w="6460"/>
          </w:tcPr>
          <w:p>
            <w:pPr>
              <w:spacing w:after="100" w:line="252" w:lineRule="auto"/>
            </w:pPr>
            <w:r>
              <w:rPr>
                <w:sz w:val="20"/>
              </w:rPr>
              <w:t>Link to lead and assigned user; bookings use resource capacity and time-zone-safe timestamps.</w:t>
            </w:r>
          </w:p>
        </w:tc>
      </w:tr>
      <w:tr>
        <w:trPr>
          <w:cantSplit/>
        </w:trPr>
        <w:tc>
          <w:tcPr>
            <w:tcW w:type="dxa" w:w="2900"/>
          </w:tcPr>
          <w:p>
            <w:pPr>
              <w:spacing w:after="100" w:line="252" w:lineRule="auto"/>
            </w:pPr>
            <w:r>
              <w:rPr>
                <w:sz w:val="20"/>
              </w:rPr>
              <w:t>Page, Revision, Asset</w:t>
            </w:r>
          </w:p>
        </w:tc>
        <w:tc>
          <w:tcPr>
            <w:tcW w:type="dxa" w:w="6460"/>
          </w:tcPr>
          <w:p>
            <w:pPr>
              <w:spacing w:after="100" w:line="252" w:lineRule="auto"/>
            </w:pPr>
            <w:r>
              <w:rPr>
                <w:sz w:val="20"/>
              </w:rPr>
              <w:t>Published revision references approved assets; private drafts and attachment permissions remain separate.</w:t>
            </w:r>
          </w:p>
        </w:tc>
      </w:tr>
      <w:tr>
        <w:trPr>
          <w:cantSplit/>
        </w:trPr>
        <w:tc>
          <w:tcPr>
            <w:tcW w:type="dxa" w:w="2900"/>
          </w:tcPr>
          <w:p>
            <w:pPr>
              <w:spacing w:after="100" w:line="252" w:lineRule="auto"/>
            </w:pPr>
            <w:r>
              <w:rPr>
                <w:sz w:val="20"/>
              </w:rPr>
              <w:t>Campaign, ContentItem, Approval</w:t>
            </w:r>
          </w:p>
        </w:tc>
        <w:tc>
          <w:tcPr>
            <w:tcW w:type="dxa" w:w="6460"/>
          </w:tcPr>
          <w:p>
            <w:pPr>
              <w:spacing w:after="100" w:line="252" w:lineRule="auto"/>
            </w:pPr>
            <w:r>
              <w:rPr>
                <w:sz w:val="20"/>
              </w:rPr>
              <w:t>Approval references an exact version; publishing and spend records preserve provenance.</w:t>
            </w:r>
          </w:p>
        </w:tc>
      </w:tr>
      <w:tr>
        <w:trPr>
          <w:cantSplit/>
        </w:trPr>
        <w:tc>
          <w:tcPr>
            <w:tcW w:type="dxa" w:w="2900"/>
          </w:tcPr>
          <w:p>
            <w:pPr>
              <w:spacing w:after="100" w:line="252" w:lineRule="auto"/>
            </w:pPr>
            <w:r>
              <w:rPr>
                <w:sz w:val="20"/>
              </w:rPr>
              <w:t>Expense, Report, Meeting, Issue</w:t>
            </w:r>
          </w:p>
        </w:tc>
        <w:tc>
          <w:tcPr>
            <w:tcW w:type="dxa" w:w="6460"/>
          </w:tcPr>
          <w:p>
            <w:pPr>
              <w:spacing w:after="100" w:line="252" w:lineRule="auto"/>
            </w:pPr>
            <w:r>
              <w:rPr>
                <w:sz w:val="20"/>
              </w:rPr>
              <w:t>Project-scoped records; reports capture dated snapshots and meeting actions reference owners.</w:t>
            </w:r>
          </w:p>
        </w:tc>
      </w:tr>
      <w:tr>
        <w:trPr>
          <w:cantSplit/>
        </w:trPr>
        <w:tc>
          <w:tcPr>
            <w:tcW w:type="dxa" w:w="2900"/>
          </w:tcPr>
          <w:p>
            <w:pPr>
              <w:spacing w:after="100" w:line="252" w:lineRule="auto"/>
            </w:pPr>
            <w:r>
              <w:rPr>
                <w:sz w:val="20"/>
              </w:rPr>
              <w:t>User, Role, Consent, AuditEvent</w:t>
            </w:r>
          </w:p>
        </w:tc>
        <w:tc>
          <w:tcPr>
            <w:tcW w:type="dxa" w:w="6460"/>
          </w:tcPr>
          <w:p>
            <w:pPr>
              <w:spacing w:after="100" w:line="252" w:lineRule="auto"/>
            </w:pPr>
            <w:r>
              <w:rPr>
                <w:sz w:val="20"/>
              </w:rPr>
              <w:t>Permission-scoped users; consent version history; append-only records for sensitive changes.</w:t>
            </w:r>
          </w:p>
        </w:tc>
      </w:tr>
    </w:tbl>
    <w:p>
      <w:r>
        <w:t>Document each API’s fields, permission, response, validation and audit event. Use transactions for linked writes, version checks for concurrent edits, pagination, explicit currencies and decimal amounts.</w:t>
      </w:r>
    </w:p>
    <w:p>
      <w:pPr>
        <w:pStyle w:val="Heading2"/>
      </w:pPr>
      <w:r>
        <w:t>Protection and recovery</w:t>
      </w:r>
    </w:p>
    <w:p>
      <w:r>
        <w:t>Require secure staff authentication, MFA for privileged roles, session expiry and immediate access revocation. Keep private files behind expiring authorised downloads. Validate file type/size, scan uploads as supported and prevent executable content. Public clients must never receive secrets or internal lead records.</w:t>
      </w:r>
    </w:p>
    <w:p>
      <w:r>
        <w:t>Provide encrypted transport, managed secret storage, application logs without unnecessary personal data, error monitoring and audited exports. Configure approved retention, deletion/anonymisation and consent withdrawal. Privacy wording and retention periods require client review before launch.</w:t>
      </w:r>
    </w:p>
    <w:p>
      <w:r>
        <w:t>Proposed targets: daily encrypted backups, recovery point within 24 hours and recovery within 8 hours. Confirm provider support and test restore before launch. Separate staging and production; test with synthetic data and document rollback.</w:t>
      </w:r>
    </w:p>
    <w:p>
      <w:pPr>
        <w:pStyle w:val="Heading1"/>
        <w:pageBreakBefore/>
      </w:pPr>
      <w:r>
        <w:t>13. Acceptance criteria and launch gates</w:t>
      </w:r>
    </w:p>
    <w:p>
      <w:r>
        <w:t>“Complete” means demonstrated end-to-end behaviour with persistent records and verified permissions. A button, mock chart or local-only storage does not satisfy a requirement. The developer must provide test evidence for the following journeys.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200"/>
        <w:gridCol w:w="7160"/>
      </w:tblGrid>
      <w:tr>
        <w:trPr>
          <w:cantSplit/>
          <w:tblHeader/>
        </w:trPr>
        <w:tc>
          <w:tcPr>
            <w:tcW w:type="dxa" w:w="2200"/>
            <w:shd w:fill="F2F4F7"/>
          </w:tcPr>
          <w:p>
            <w:pPr>
              <w:spacing w:after="100" w:line="252" w:lineRule="auto"/>
            </w:pPr>
            <w:r>
              <w:rPr>
                <w:b/>
                <w:sz w:val="20"/>
              </w:rPr>
              <w:t>Test</w:t>
            </w:r>
          </w:p>
        </w:tc>
        <w:tc>
          <w:tcPr>
            <w:tcW w:type="dxa" w:w="7160"/>
            <w:shd w:fill="F2F4F7"/>
          </w:tcPr>
          <w:p>
            <w:pPr>
              <w:spacing w:after="100" w:line="252" w:lineRule="auto"/>
            </w:pPr>
            <w:r>
              <w:rPr>
                <w:b/>
                <w:sz w:val="20"/>
              </w:rPr>
              <w:t>Required pass condition</w:t>
            </w:r>
          </w:p>
        </w:tc>
      </w:tr>
      <w:tr>
        <w:trPr>
          <w:cantSplit/>
        </w:trPr>
        <w:tc>
          <w:tcPr>
            <w:tcW w:type="dxa" w:w="2200"/>
          </w:tcPr>
          <w:p>
            <w:pPr>
              <w:spacing w:after="100" w:line="252" w:lineRule="auto"/>
            </w:pPr>
            <w:r>
              <w:rPr>
                <w:sz w:val="20"/>
              </w:rPr>
              <w:t>A01 Public navigation</w:t>
            </w:r>
          </w:p>
        </w:tc>
        <w:tc>
          <w:tcPr>
            <w:tcW w:type="dxa" w:w="7160"/>
          </w:tcPr>
          <w:p>
            <w:pPr>
              <w:spacing w:after="100" w:line="252" w:lineRule="auto"/>
            </w:pPr>
            <w:r>
              <w:rPr>
                <w:sz w:val="20"/>
              </w:rPr>
              <w:t>All pages, CTAs, filters, downloads and contact links work at phone, tablet and desktop widths; no horizontal overflow.</w:t>
            </w:r>
          </w:p>
        </w:tc>
      </w:tr>
      <w:tr>
        <w:trPr>
          <w:cantSplit/>
        </w:trPr>
        <w:tc>
          <w:tcPr>
            <w:tcW w:type="dxa" w:w="2200"/>
          </w:tcPr>
          <w:p>
            <w:pPr>
              <w:spacing w:after="100" w:line="252" w:lineRule="auto"/>
            </w:pPr>
            <w:r>
              <w:rPr>
                <w:sz w:val="20"/>
              </w:rPr>
              <w:t>A02 Animation</w:t>
            </w:r>
          </w:p>
        </w:tc>
        <w:tc>
          <w:tcPr>
            <w:tcW w:type="dxa" w:w="7160"/>
          </w:tcPr>
          <w:p>
            <w:pPr>
              <w:spacing w:after="100" w:line="252" w:lineRule="auto"/>
            </w:pPr>
            <w:r>
              <w:rPr>
                <w:sz w:val="20"/>
              </w:rPr>
              <w:t>Approved sequence scrolls and reverses smoothly; mobile, reduced motion, skip and failed-media fallback preserve access to content.</w:t>
            </w:r>
          </w:p>
        </w:tc>
      </w:tr>
      <w:tr>
        <w:trPr>
          <w:cantSplit/>
        </w:trPr>
        <w:tc>
          <w:tcPr>
            <w:tcW w:type="dxa" w:w="2200"/>
          </w:tcPr>
          <w:p>
            <w:pPr>
              <w:spacing w:after="100" w:line="252" w:lineRule="auto"/>
            </w:pPr>
            <w:r>
              <w:rPr>
                <w:sz w:val="20"/>
              </w:rPr>
              <w:t>A03 CMS</w:t>
            </w:r>
          </w:p>
        </w:tc>
        <w:tc>
          <w:tcPr>
            <w:tcW w:type="dxa" w:w="7160"/>
          </w:tcPr>
          <w:p>
            <w:pPr>
              <w:spacing w:after="100" w:line="252" w:lineRule="auto"/>
            </w:pPr>
            <w:r>
              <w:rPr>
                <w:sz w:val="20"/>
              </w:rPr>
              <w:t>Edit a draft, preview, approve and publish; refresh shows new content. Rollback works; unauthorised publication is denied.</w:t>
            </w:r>
          </w:p>
        </w:tc>
      </w:tr>
      <w:tr>
        <w:trPr>
          <w:cantSplit/>
        </w:trPr>
        <w:tc>
          <w:tcPr>
            <w:tcW w:type="dxa" w:w="2200"/>
          </w:tcPr>
          <w:p>
            <w:pPr>
              <w:spacing w:after="100" w:line="252" w:lineRule="auto"/>
            </w:pPr>
            <w:r>
              <w:rPr>
                <w:sz w:val="20"/>
              </w:rPr>
              <w:t>A04 Lead capture</w:t>
            </w:r>
          </w:p>
        </w:tc>
        <w:tc>
          <w:tcPr>
            <w:tcW w:type="dxa" w:w="7160"/>
          </w:tcPr>
          <w:p>
            <w:pPr>
              <w:spacing w:after="100" w:line="252" w:lineRule="auto"/>
            </w:pPr>
            <w:r>
              <w:rPr>
                <w:sz w:val="20"/>
              </w:rPr>
              <w:t>Submit each form; exactly one valid inquiry is saved with source. Refresh/retry does not duplicate; server failure never shows false success.</w:t>
            </w:r>
          </w:p>
        </w:tc>
      </w:tr>
      <w:tr>
        <w:trPr>
          <w:cantSplit/>
        </w:trPr>
        <w:tc>
          <w:tcPr>
            <w:tcW w:type="dxa" w:w="2200"/>
          </w:tcPr>
          <w:p>
            <w:pPr>
              <w:spacing w:after="100" w:line="252" w:lineRule="auto"/>
            </w:pPr>
            <w:r>
              <w:rPr>
                <w:sz w:val="20"/>
              </w:rPr>
              <w:t>A05 CRM</w:t>
            </w:r>
          </w:p>
        </w:tc>
        <w:tc>
          <w:tcPr>
            <w:tcW w:type="dxa" w:w="7160"/>
          </w:tcPr>
          <w:p>
            <w:pPr>
              <w:spacing w:after="100" w:line="252" w:lineRule="auto"/>
            </w:pPr>
            <w:r>
              <w:rPr>
                <w:sz w:val="20"/>
              </w:rPr>
              <w:t>Assign, qualify, add note/file, change stage, schedule task, search and export; history and role restrictions remain correct.</w:t>
            </w:r>
          </w:p>
        </w:tc>
      </w:tr>
      <w:tr>
        <w:trPr>
          <w:cantSplit/>
        </w:trPr>
        <w:tc>
          <w:tcPr>
            <w:tcW w:type="dxa" w:w="2200"/>
          </w:tcPr>
          <w:p>
            <w:pPr>
              <w:spacing w:after="100" w:line="252" w:lineRule="auto"/>
            </w:pPr>
            <w:r>
              <w:rPr>
                <w:sz w:val="20"/>
              </w:rPr>
              <w:t>A06 Bookings</w:t>
            </w:r>
          </w:p>
        </w:tc>
        <w:tc>
          <w:tcPr>
            <w:tcW w:type="dxa" w:w="7160"/>
          </w:tcPr>
          <w:p>
            <w:pPr>
              <w:spacing w:after="100" w:line="252" w:lineRule="auto"/>
            </w:pPr>
            <w:r>
              <w:rPr>
                <w:sz w:val="20"/>
              </w:rPr>
              <w:t>Two users request last slot concurrently; capacity is respected. Reschedule/cancel updates reminders and linked records.</w:t>
            </w:r>
          </w:p>
        </w:tc>
      </w:tr>
      <w:tr>
        <w:trPr>
          <w:cantSplit/>
        </w:trPr>
        <w:tc>
          <w:tcPr>
            <w:tcW w:type="dxa" w:w="2200"/>
          </w:tcPr>
          <w:p>
            <w:pPr>
              <w:spacing w:after="100" w:line="252" w:lineRule="auto"/>
            </w:pPr>
            <w:r>
              <w:rPr>
                <w:sz w:val="20"/>
              </w:rPr>
              <w:t>A07 Permissions</w:t>
            </w:r>
          </w:p>
        </w:tc>
        <w:tc>
          <w:tcPr>
            <w:tcW w:type="dxa" w:w="7160"/>
          </w:tcPr>
          <w:p>
            <w:pPr>
              <w:spacing w:after="100" w:line="252" w:lineRule="auto"/>
            </w:pPr>
            <w:r>
              <w:rPr>
                <w:sz w:val="20"/>
              </w:rPr>
              <w:t>Agent cannot access another restricted lead by URL/API/export; editor cannot access contacts; viewer cannot mutate records.</w:t>
            </w:r>
          </w:p>
        </w:tc>
      </w:tr>
      <w:tr>
        <w:trPr>
          <w:cantSplit/>
        </w:trPr>
        <w:tc>
          <w:tcPr>
            <w:tcW w:type="dxa" w:w="2200"/>
          </w:tcPr>
          <w:p>
            <w:pPr>
              <w:spacing w:after="100" w:line="252" w:lineRule="auto"/>
            </w:pPr>
            <w:r>
              <w:rPr>
                <w:sz w:val="20"/>
              </w:rPr>
              <w:t>A08 Approvals</w:t>
            </w:r>
          </w:p>
        </w:tc>
        <w:tc>
          <w:tcPr>
            <w:tcW w:type="dxa" w:w="7160"/>
          </w:tcPr>
          <w:p>
            <w:pPr>
              <w:spacing w:after="100" w:line="252" w:lineRule="auto"/>
            </w:pPr>
            <w:r>
              <w:rPr>
                <w:sz w:val="20"/>
              </w:rPr>
              <w:t>Changed creative invalidates approval. Published version matches approved version; failed external publishing is clearly shown.</w:t>
            </w:r>
          </w:p>
        </w:tc>
      </w:tr>
      <w:tr>
        <w:trPr>
          <w:cantSplit/>
        </w:trPr>
        <w:tc>
          <w:tcPr>
            <w:tcW w:type="dxa" w:w="2200"/>
          </w:tcPr>
          <w:p>
            <w:pPr>
              <w:spacing w:after="100" w:line="252" w:lineRule="auto"/>
            </w:pPr>
            <w:r>
              <w:rPr>
                <w:sz w:val="20"/>
              </w:rPr>
              <w:t>A09 Reporting</w:t>
            </w:r>
          </w:p>
        </w:tc>
        <w:tc>
          <w:tcPr>
            <w:tcW w:type="dxa" w:w="7160"/>
          </w:tcPr>
          <w:p>
            <w:pPr>
              <w:spacing w:after="100" w:line="252" w:lineRule="auto"/>
            </w:pPr>
            <w:r>
              <w:rPr>
                <w:sz w:val="20"/>
              </w:rPr>
              <w:t>Known sample data reconciles spend, leads, meetings and sales; zero denominators, duplicate events and missing data are handled.</w:t>
            </w:r>
          </w:p>
        </w:tc>
      </w:tr>
      <w:tr>
        <w:trPr>
          <w:cantSplit/>
        </w:trPr>
        <w:tc>
          <w:tcPr>
            <w:tcW w:type="dxa" w:w="2200"/>
          </w:tcPr>
          <w:p>
            <w:pPr>
              <w:spacing w:after="100" w:line="252" w:lineRule="auto"/>
            </w:pPr>
            <w:r>
              <w:rPr>
                <w:sz w:val="20"/>
              </w:rPr>
              <w:t>A10 Recovery</w:t>
            </w:r>
          </w:p>
        </w:tc>
        <w:tc>
          <w:tcPr>
            <w:tcW w:type="dxa" w:w="7160"/>
          </w:tcPr>
          <w:p>
            <w:pPr>
              <w:spacing w:after="100" w:line="252" w:lineRule="auto"/>
            </w:pPr>
            <w:r>
              <w:rPr>
                <w:sz w:val="20"/>
              </w:rPr>
              <w:t>Retry failed notifications without duplicates; revoked connections surface errors; restore backup and execute release rollback.</w:t>
            </w:r>
          </w:p>
        </w:tc>
      </w:tr>
    </w:tbl>
    <w:p>
      <w:r>
        <w:t>Proposed quality targets: public-page LCP ≤2.5 seconds, INP ≤200 ms and CLS ≤0.1 at the 75th percentile when field data is available. Before launch, record repeatable mobile lab results on an agreed device/network profile. Tune motion to avoid visible stutter; never improve animation by blocking forms or navigation.</w:t>
      </w:r>
    </w:p>
    <w:p>
      <w:r>
        <w:t>Accessibility target: WCAG 2.2 AA, including keyboard operation, visible focus, labelled form errors, sufficient contrast, alt text, captions and reduced motion. These are acceptance targets; conformance is established by implementation testing, not this document.</w:t>
      </w:r>
    </w:p>
    <w:p>
      <w:pPr>
        <w:pStyle w:val="Heading1"/>
        <w:pageBreakBefore/>
      </w:pPr>
      <w:r>
        <w:t>14. Delivery sequence and developer handover</w:t>
      </w:r>
    </w:p>
    <w:p>
      <w:pPr>
        <w:pStyle w:val="Heading2"/>
      </w:pPr>
      <w:r>
        <w:t>Implementation sequence</w:t>
      </w:r>
    </w:p>
    <w:p>
      <w:r>
        <w:t>Stage 1 - Confirm identity, scope, brand assets, project facts, user roles and hosting constraints. Complete the page map, data model and clickable public/admin layouts. Prototype the opening with supplied images before finalising animation effort.</w:t>
      </w:r>
    </w:p>
    <w:p>
      <w:r>
        <w:t>Stage 2 - Implement database, authentication, permissions, CMS, public pages and persistent forms. Demonstrate inquiry capture and editable content using test data before adding third-party automation.</w:t>
      </w:r>
    </w:p>
    <w:p>
      <w:r>
        <w:t>Stage 3 - Implement pipeline, booking, reminders, approvals, production tasks, inventory controls, budgets, reports and client dashboard. Connect authorised providers and demonstrate every fallback.</w:t>
      </w:r>
    </w:p>
    <w:p>
      <w:r>
        <w:t>Stage 4 - Complete media optimisation, security/accessibility checks, end-to-end acceptance, data migration, training and backup restore. Launch only after content, configuration and test evidence are reviewed.</w:t>
      </w:r>
    </w:p>
    <w:p>
      <w:r>
        <w:t>The source proposal suggests a four-week first-month rollout: onboarding, system setup, production and launch. The expanded platform in this document needs an implementation estimate; that marketing schedule should not be treated as a guaranteed development deadline.</w:t>
      </w:r>
    </w:p>
    <w:p>
      <w:pPr>
        <w:pStyle w:val="Heading2"/>
      </w:pPr>
      <w:r>
        <w:t>Required handover package</w:t>
      </w:r>
    </w:p>
    <w:p>
      <w:r>
        <w:t>Deliver source code and setup instructions; environment variable inventory without exposed secrets; schema and migrations; API and permission documentation; production configuration ownership; integration account handover; backup/restore and rollback guides; test results; known limitations; and a defect/support register.</w:t>
      </w:r>
    </w:p>
    <w:p>
      <w:r>
        <w:t>Provide short training guides for page/animation editing, adding leads, managing follow-ups, booking visits, approving content, updating inventory, reviewing expenditure and exporting reports. The client and Bright must each complete the tasks applicable to their role in an acceptance session.</w:t>
      </w:r>
    </w:p>
    <w:p>
      <w:pPr>
        <w:pStyle w:val="Heading2"/>
      </w:pPr>
      <w:r>
        <w:t>Open inputs before launch</w:t>
      </w:r>
    </w:p>
    <w:p>
      <w:r>
        <w:t>Confirm Shoal Group versus Gabonn Associates; legal/public branding; official domain; phone/email/WhatsApp; map pin; unit data and prices; payment terms; staff/approvers; working hours and response targets; consent wording; retention rules; calendar/marketing accounts; approved image sequence; and ongoing hosting/software ownership.</w:t>
      </w:r>
    </w:p>
    <w:p>
      <w:pPr>
        <w:pStyle w:val="Heading2"/>
      </w:pPr>
      <w:r>
        <w:t>Source and interpretation</w:t>
      </w:r>
    </w:p>
    <w:p>
      <w:r>
        <w:t>Primary source: “Shoal Group EXPLORER TOWERS — Marketing, Lead Generation and Client Management Proposal by Bright Thoughts Services.pdf”, document dated 24 August 2026. Coverage references use the proposal’s printed section numbers, including its nonsequential closing sections.</w:t>
      </w:r>
    </w:p>
    <w:p>
      <w:r>
        <w:t>The proposal is authoritative for its stated services, financial figures and client responsibilities. This specification adds executable website behaviour, editing detail and acceptance criteria in response to the user’s request. Unconfirmed project facts remain unpublished until supplied and approved.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Website &amp; CRM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BRIGHT THOUGHTS SERVICES  /  EXPLORER TOWERS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5E6B7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5E6B7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142C4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142C4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42C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4" w:lineRule="auto" w:before="0"/>
      <w:contextualSpacing/>
    </w:pPr>
    <w:rPr>
      <w:rFonts w:asciiTheme="majorHAnsi" w:eastAsiaTheme="majorEastAsia" w:hAnsiTheme="majorHAnsi" w:cstheme="majorBidi" w:ascii="Calibri" w:hAnsi="Calibri"/>
      <w:color w:val="142C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64" w:lineRule="auto"/>
    </w:pPr>
    <w:rPr>
      <w:rFonts w:asciiTheme="majorHAnsi" w:eastAsiaTheme="majorEastAsia" w:hAnsiTheme="majorHAnsi" w:cstheme="majorBidi" w:ascii="Calibri" w:hAnsi="Calibri"/>
      <w:i/>
      <w:iCs/>
      <w:color w:val="5E6B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