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160"/>
      </w:pPr>
      <w:r>
        <w:t xml:space="preserve"/>
      </w:r>
    </w:p>
    <w:p>
      <w:pPr>
        <w:spacing w:after="80"/>
        <w:jc w:val="center"/>
      </w:pPr>
      <w:r>
        <w:rPr>
          <w:rFonts w:ascii="Arial" w:cs="Arial" w:eastAsia="Arial" w:hAnsi="Arial"/>
          <w:b/>
          <w:bCs/>
          <w:color w:val="888888"/>
          <w:sz w:val="18"/>
          <w:szCs w:val="18"/>
        </w:rPr>
        <w:t xml:space="preserve">GRADUATION PROJECT  4-MONTH EXECUTION PLAN</w:t>
      </w:r>
    </w:p>
    <w:p>
      <w:pPr>
        <w:spacing w:after="200"/>
        <w:jc w:val="center"/>
      </w:pPr>
      <w:r>
        <w:rPr>
          <w:rFonts w:ascii="Arial" w:cs="Arial" w:eastAsia="Arial" w:hAnsi="Arial"/>
          <w:b/>
          <w:bCs/>
          <w:color w:val="1F4E79"/>
          <w:sz w:val="48"/>
          <w:szCs w:val="48"/>
        </w:rPr>
        <w:t xml:space="preserve">Tail Latency (P99) Optimization</w:t>
      </w:r>
    </w:p>
    <w:p>
      <w:pPr>
        <w:pBdr>
          <w:bottom w:val="single" w:color="C55A11" w:sz="8" w:space="8"/>
        </w:pBdr>
        <w:spacing w:after="320"/>
        <w:jc w:val="center"/>
      </w:pPr>
      <w:r>
        <w:rPr>
          <w:rFonts w:ascii="Arial" w:cs="Arial" w:eastAsia="Arial" w:hAnsi="Arial"/>
          <w:b/>
          <w:bCs/>
          <w:color w:val="2E75B6"/>
          <w:sz w:val="28"/>
          <w:szCs w:val="28"/>
        </w:rPr>
        <w:t xml:space="preserve">in Serverless ML Delivery for Tabular Data</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000000"/>
                <w:sz w:val="18"/>
                <w:szCs w:val="18"/>
              </w:rPr>
              <w:t xml:space="preserve">Research Focus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ML Inference Delivery &amp; Serving Architecture</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000000"/>
                <w:sz w:val="18"/>
                <w:szCs w:val="18"/>
              </w:rPr>
              <w:t xml:space="preserve">Frameworks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XGBoost, ONNX Runtime, FastAPI, BentoML</w:t>
            </w:r>
          </w:p>
        </w:tc>
      </w:tr>
      <w:tr>
        <w:tc>
          <w:tcPr>
            <w:tcW w:type="dxa" w:w="312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000000"/>
                <w:sz w:val="18"/>
                <w:szCs w:val="18"/>
              </w:rPr>
              <w:t xml:space="preserve">Dataset</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Airline Dataset (115M records, mixed categorical/continuous)</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000000"/>
                <w:sz w:val="18"/>
                <w:szCs w:val="18"/>
              </w:rPr>
              <w:t xml:space="preserve">Core Metrics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P50 / P95 / P99 Tail Latency + Throughput (RPS)</w:t>
            </w:r>
          </w:p>
        </w:tc>
      </w:tr>
      <w:tr>
        <w:tc>
          <w:tcPr>
            <w:tcW w:type="dxa" w:w="312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000000"/>
                <w:sz w:val="18"/>
                <w:szCs w:val="18"/>
              </w:rPr>
              <w:t xml:space="preserve">Duration</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4 Months (16 Weeks)</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000000"/>
                <w:sz w:val="18"/>
                <w:szCs w:val="18"/>
              </w:rPr>
              <w:t xml:space="preserve">Academic Contribution</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Empirical characterization of when adaptive batching compresses P99 tail latency vs. standard async serving</w:t>
            </w:r>
          </w:p>
        </w:tc>
      </w:tr>
    </w:tbl>
    <w:p>
      <w:pPr>
        <w:spacing w:after="160"/>
      </w:pPr>
      <w:r>
        <w:t xml:space="preserve"/>
      </w:r>
    </w:p>
    <w:p>
      <w:pPr>
        <w:spacing w:after="160"/>
      </w:pPr>
      <w:r>
        <w:t xml:space="preserve"/>
      </w:r>
    </w:p>
    <w:p>
      <w:pPr>
        <w:pStyle w:val="Heading1"/>
        <w:pBdr>
          <w:bottom w:val="single" w:color="2E75B6" w:sz="6" w:space="6"/>
        </w:pBdr>
        <w:spacing w:before="360" w:after="120"/>
      </w:pPr>
      <w:r>
        <w:rPr>
          <w:rFonts w:ascii="Arial" w:cs="Arial" w:eastAsia="Arial" w:hAnsi="Arial"/>
          <w:b/>
          <w:bCs/>
          <w:color w:val="1F4E79"/>
          <w:sz w:val="28"/>
          <w:szCs w:val="28"/>
        </w:rPr>
        <w:t xml:space="preserve">Executive Summary</w:t>
      </w:r>
    </w:p>
    <w:p>
      <w:pPr>
        <w:spacing w:after="140"/>
      </w:pPr>
      <w:r>
        <w:rPr>
          <w:rFonts w:ascii="Arial" w:cs="Arial" w:eastAsia="Arial" w:hAnsi="Arial"/>
          <w:sz w:val="20"/>
          <w:szCs w:val="20"/>
        </w:rPr>
        <w:t xml:space="preserve">This plan structures the research and engineering effort required to complete Theme 2 as a rigorous, defensible graduation thesis. Given a background in MLOps and API design rather than deep ML engineering, the scope is intentionally grounded in delivery infrastructure, serving architecture, and empirical benchmarking.</w:t>
      </w:r>
    </w:p>
    <w:p>
      <w:pPr>
        <w:spacing w:after="140"/>
      </w:pPr>
      <w:r>
        <w:rPr>
          <w:rFonts w:ascii="Arial" w:cs="Arial" w:eastAsia="Arial" w:hAnsi="Arial"/>
          <w:sz w:val="20"/>
          <w:szCs w:val="20"/>
        </w:rPr>
        <w:t xml:space="preserve">The central research question is: does adaptive batching in a specialized ML server (BentoML) produce statistically superior P99 tail latency compared to a standard asynchronous web framework (FastAPI), and if so, under what traffic conditions and at what batch size thresholds?</w:t>
      </w:r>
    </w:p>
    <w:p>
      <w:pPr>
        <w:spacing w:after="140"/>
      </w:pPr>
      <w:r>
        <w:rPr>
          <w:rFonts w:ascii="Arial" w:cs="Arial" w:eastAsia="Arial" w:hAnsi="Arial"/>
          <w:sz w:val="20"/>
          <w:szCs w:val="20"/>
        </w:rPr>
        <w:t xml:space="preserve">The answer has direct industrial relevance for any team deciding how to serve tabular ML models at scale. The model being served is not the subject of study, it is the workload. The serving layer is the subject of study. This framing plays to your strengths and produces a thesis directly applicable to the engineering decisions MLOps engineers make every day.</w:t>
      </w:r>
    </w:p>
    <w:p>
      <w:pPr>
        <w:spacing w:after="160"/>
      </w:pPr>
      <w:r>
        <w:t xml:space="preserve"/>
      </w:r>
    </w:p>
    <w:p>
      <w:pPr>
        <w:pStyle w:val="Heading1"/>
        <w:pBdr>
          <w:bottom w:val="single" w:color="2E75B6" w:sz="6" w:space="6"/>
        </w:pBdr>
        <w:spacing w:before="360" w:after="120"/>
      </w:pPr>
      <w:r>
        <w:rPr>
          <w:rFonts w:ascii="Arial" w:cs="Arial" w:eastAsia="Arial" w:hAnsi="Arial"/>
          <w:b/>
          <w:bCs/>
          <w:color w:val="1F4E79"/>
          <w:sz w:val="28"/>
          <w:szCs w:val="28"/>
        </w:rPr>
        <w:t xml:space="preserve">Project Structure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360"/>
        <w:gridCol w:w="240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Phase</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Name</w:t>
            </w:r>
          </w:p>
        </w:tc>
        <w:tc>
          <w:tcPr>
            <w:tcW w:type="dxa" w:w="3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Core Focus</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Timeline</w:t>
            </w:r>
          </w:p>
        </w:tc>
      </w:tr>
      <w:tr>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000000"/>
                <w:sz w:val="18"/>
                <w:szCs w:val="18"/>
              </w:rPr>
              <w:t xml:space="preserve">1</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000000"/>
                <w:sz w:val="18"/>
                <w:szCs w:val="18"/>
              </w:rPr>
              <w:t xml:space="preserve">Foundations &amp; Environment</w:t>
            </w:r>
          </w:p>
        </w:tc>
        <w:tc>
          <w:tcPr>
            <w:tcW w:type="dxa" w:w="3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000000"/>
                <w:sz w:val="18"/>
                <w:szCs w:val="18"/>
              </w:rPr>
              <w:t xml:space="preserve">Literature review, toolchain setup, baseline model training</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000000"/>
                <w:sz w:val="18"/>
                <w:szCs w:val="18"/>
              </w:rPr>
              <w:t xml:space="preserve">Month 1 (Weeks 1-4)</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Pipeline Construction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FastAPI &amp; BentoML serving stacks, load testing harness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Month 2 (Weeks 5-8)</w:t>
            </w:r>
          </w:p>
        </w:tc>
      </w:tr>
      <w:tr>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000000"/>
                <w:sz w:val="18"/>
                <w:szCs w:val="18"/>
              </w:rPr>
              <w:t xml:space="preserve">3</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000000"/>
                <w:sz w:val="18"/>
                <w:szCs w:val="18"/>
              </w:rPr>
              <w:t xml:space="preserve">Benchmarking Experiments</w:t>
            </w:r>
          </w:p>
        </w:tc>
        <w:tc>
          <w:tcPr>
            <w:tcW w:type="dxa" w:w="3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000000"/>
                <w:sz w:val="18"/>
                <w:szCs w:val="18"/>
              </w:rPr>
              <w:t xml:space="preserve">Load testing, latency profiling, cold start characterization</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000000"/>
                <w:sz w:val="18"/>
                <w:szCs w:val="18"/>
              </w:rPr>
              <w:t xml:space="preserve">Month 3 (Weeks 9-12)</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Analysis &amp; Thesis Writing</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Statistical analysis, visualizations, final thesis document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Month 4 (Weeks 13-16)</w:t>
            </w:r>
          </w:p>
        </w:tc>
      </w:tr>
    </w:tbl>
    <w:p>
      <w:pPr>
        <w:spacing w:after="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80"/>
              <w:left w:type="dxa" w:w="280"/>
              <w:bottom w:type="dxa" w:w="180"/>
              <w:right w:type="dxa" w:w="280"/>
            </w:tcMar>
          </w:tcPr>
          <w:p>
            <w:r>
              <w:rPr>
                <w:rFonts w:ascii="Arial" w:cs="Arial" w:eastAsia="Arial" w:hAnsi="Arial"/>
                <w:b/>
                <w:bCs/>
                <w:color w:val="FFFFFF"/>
                <w:sz w:val="28"/>
                <w:szCs w:val="28"/>
              </w:rPr>
              <w:t xml:space="preserve">PHASE 1   </w:t>
            </w:r>
            <w:r>
              <w:rPr>
                <w:rFonts w:ascii="Arial" w:cs="Arial" w:eastAsia="Arial" w:hAnsi="Arial"/>
                <w:b/>
                <w:bCs/>
                <w:color w:val="FFFFFF"/>
                <w:sz w:val="28"/>
                <w:szCs w:val="28"/>
              </w:rPr>
              <w:t xml:space="preserve">Foundations &amp; Environment Setup</w:t>
            </w:r>
            <w:r>
              <w:rPr>
                <w:rFonts w:ascii="Arial" w:cs="Arial" w:eastAsia="Arial" w:hAnsi="Arial"/>
                <w:color w:val="DDDDDD"/>
                <w:sz w:val="20"/>
                <w:szCs w:val="20"/>
              </w:rPr>
              <w:t xml:space="preserve">        Month 1  |  Weeks 1-4</w:t>
            </w:r>
          </w:p>
        </w:tc>
      </w:tr>
    </w:tbl>
    <w:p>
      <w:pPr>
        <w:spacing w:after="160"/>
      </w:pPr>
      <w:r>
        <w:t xml:space="preserve"/>
      </w:r>
    </w:p>
    <w:p>
      <w:pPr>
        <w:spacing w:after="140"/>
      </w:pPr>
      <w:r>
        <w:rPr>
          <w:rFonts w:ascii="Arial" w:cs="Arial" w:eastAsia="Arial" w:hAnsi="Arial"/>
          <w:sz w:val="20"/>
          <w:szCs w:val="20"/>
        </w:rPr>
        <w:t xml:space="preserve">This phase establishes the academic and technical groundwork. The goal is to arrive at Month 2 with a clear thesis statement, a fully operational development environment, and a trained baseline model that will serve as the fixed artifact used by both delivery pipelines.</w:t>
      </w:r>
    </w:p>
    <w:p>
      <w:pPr>
        <w:spacing w:after="160"/>
      </w:pPr>
      <w:r>
        <w:t xml:space="preserve"/>
      </w:r>
    </w:p>
    <w:p>
      <w:pPr>
        <w:pStyle w:val="Heading2"/>
        <w:spacing w:before="280" w:after="80"/>
      </w:pPr>
      <w:r>
        <w:rPr>
          <w:rFonts w:ascii="Arial" w:cs="Arial" w:eastAsia="Arial" w:hAnsi="Arial"/>
          <w:b/>
          <w:bCs/>
          <w:color w:val="2E75B6"/>
          <w:sz w:val="22"/>
          <w:szCs w:val="22"/>
        </w:rPr>
        <w:t xml:space="preserve">Week 1 - Literature Review &amp; Thesis Scoping</w:t>
      </w:r>
    </w:p>
    <w:p>
      <w:pPr>
        <w:spacing w:after="140"/>
      </w:pPr>
      <w:r>
        <w:rPr>
          <w:rFonts w:ascii="Arial" w:cs="Arial" w:eastAsia="Arial" w:hAnsi="Arial"/>
          <w:sz w:val="20"/>
          <w:szCs w:val="20"/>
        </w:rPr>
        <w:t xml:space="preserve">The core academic work of this week is understanding the state of the art in ML serving and formalizing the research question. Since you are coming from an infrastructure background, this is also the week to build just enough ML intuition to speak confidently about the model you will deploy.</w:t>
      </w:r>
    </w:p>
    <w:p>
      <w:pPr>
        <w:pStyle w:val="ListParagraph"/>
        <w:numPr>
          <w:ilvl w:val="0"/>
          <w:numId w:val="2"/>
        </w:numPr>
        <w:spacing w:after="80"/>
      </w:pPr>
      <w:r>
        <w:rPr>
          <w:rFonts w:ascii="Arial" w:cs="Arial" w:eastAsia="Arial" w:hAnsi="Arial"/>
          <w:sz w:val="20"/>
          <w:szCs w:val="20"/>
        </w:rPr>
        <w:t xml:space="preserve">Read and annotate the BentoML documentation on adaptive batching, focusing on the scheduler internals</w:t>
      </w:r>
    </w:p>
    <w:p>
      <w:pPr>
        <w:pStyle w:val="ListParagraph"/>
        <w:numPr>
          <w:ilvl w:val="0"/>
          <w:numId w:val="2"/>
        </w:numPr>
        <w:spacing w:after="80"/>
      </w:pPr>
      <w:r>
        <w:rPr>
          <w:rFonts w:ascii="Arial" w:cs="Arial" w:eastAsia="Arial" w:hAnsi="Arial"/>
          <w:sz w:val="20"/>
          <w:szCs w:val="20"/>
        </w:rPr>
        <w:t xml:space="preserve">Study FastAPI's async request handling model (Starlette + Uvicorn) and compare it to synchronous WSGI serving</w:t>
      </w:r>
    </w:p>
    <w:p>
      <w:pPr>
        <w:pStyle w:val="ListParagraph"/>
        <w:numPr>
          <w:ilvl w:val="0"/>
          <w:numId w:val="2"/>
        </w:numPr>
        <w:spacing w:after="80"/>
      </w:pPr>
      <w:r>
        <w:rPr>
          <w:rFonts w:ascii="Arial" w:cs="Arial" w:eastAsia="Arial" w:hAnsi="Arial"/>
          <w:sz w:val="20"/>
          <w:szCs w:val="20"/>
        </w:rPr>
        <w:t xml:space="preserve">Review ONNX Runtime execution providers and understand the graph-level optimizations it applies: operator fusion, constant folding, memory layout optimization</w:t>
      </w:r>
    </w:p>
    <w:p>
      <w:pPr>
        <w:pStyle w:val="ListParagraph"/>
        <w:numPr>
          <w:ilvl w:val="0"/>
          <w:numId w:val="2"/>
        </w:numPr>
        <w:spacing w:after="80"/>
      </w:pPr>
      <w:r>
        <w:rPr>
          <w:rFonts w:ascii="Arial" w:cs="Arial" w:eastAsia="Arial" w:hAnsi="Arial"/>
          <w:sz w:val="20"/>
          <w:szCs w:val="20"/>
        </w:rPr>
        <w:t xml:space="preserve">Define the formal research hypothesis — e.g., 'Adaptive batching reduces P99 latency by X% compared to FastAPI under Y concurrent users'</w:t>
      </w:r>
    </w:p>
    <w:p>
      <w:pPr>
        <w:pStyle w:val="ListParagraph"/>
        <w:numPr>
          <w:ilvl w:val="0"/>
          <w:numId w:val="2"/>
        </w:numPr>
        <w:spacing w:after="80"/>
      </w:pPr>
      <w:r>
        <w:rPr>
          <w:rFonts w:ascii="Arial" w:cs="Arial" w:eastAsia="Arial" w:hAnsi="Arial"/>
          <w:sz w:val="20"/>
          <w:szCs w:val="20"/>
        </w:rPr>
        <w:t xml:space="preserve">Set up the project repository with a documented folder structure: /data, /models, /serving, /benchmarks, /analysis</w:t>
      </w:r>
    </w:p>
    <w:p>
      <w:pPr>
        <w:spacing w:after="160"/>
      </w:pPr>
      <w:r>
        <w:t xml:space="preserve"/>
      </w:r>
    </w:p>
    <w:p>
      <w:pPr>
        <w:pStyle w:val="Heading2"/>
        <w:spacing w:before="280" w:after="80"/>
      </w:pPr>
      <w:r>
        <w:rPr>
          <w:rFonts w:ascii="Arial" w:cs="Arial" w:eastAsia="Arial" w:hAnsi="Arial"/>
          <w:b/>
          <w:bCs/>
          <w:color w:val="2E75B6"/>
          <w:sz w:val="22"/>
          <w:szCs w:val="22"/>
        </w:rPr>
        <w:t xml:space="preserve">Week 2 - Dataset Acquisition &amp; Preprocessing Pipeline</w:t>
      </w:r>
    </w:p>
    <w:p>
      <w:pPr>
        <w:spacing w:after="140"/>
      </w:pPr>
      <w:r>
        <w:rPr>
          <w:rFonts w:ascii="Arial" w:cs="Arial" w:eastAsia="Arial" w:hAnsi="Arial"/>
          <w:sz w:val="20"/>
          <w:szCs w:val="20"/>
        </w:rPr>
        <w:t xml:space="preserve">The Airline dataset requires significant preprocessing due to its mix of categorical and continuous variables. This work must be done once and frozen so both serving pipelines receive identical, pre-processed input. This is a core reproducibility requirement.</w:t>
      </w:r>
    </w:p>
    <w:p>
      <w:pPr>
        <w:pStyle w:val="ListParagraph"/>
        <w:numPr>
          <w:ilvl w:val="0"/>
          <w:numId w:val="2"/>
        </w:numPr>
        <w:spacing w:after="80"/>
      </w:pPr>
      <w:r>
        <w:rPr>
          <w:rFonts w:ascii="Arial" w:cs="Arial" w:eastAsia="Arial" w:hAnsi="Arial"/>
          <w:sz w:val="20"/>
          <w:szCs w:val="20"/>
        </w:rPr>
        <w:t xml:space="preserve">Download the Airline dataset from the UCI or OpenML repository</w:t>
      </w:r>
    </w:p>
    <w:p>
      <w:pPr>
        <w:pStyle w:val="ListParagraph"/>
        <w:numPr>
          <w:ilvl w:val="0"/>
          <w:numId w:val="2"/>
        </w:numPr>
        <w:spacing w:after="80"/>
      </w:pPr>
      <w:r>
        <w:rPr>
          <w:rFonts w:ascii="Arial" w:cs="Arial" w:eastAsia="Arial" w:hAnsi="Arial"/>
          <w:sz w:val="20"/>
          <w:szCs w:val="20"/>
        </w:rPr>
        <w:t xml:space="preserve">Write and document a preprocessing script handling categorical encoding (one-hot or target encoding) and missing value imputation</w:t>
      </w:r>
    </w:p>
    <w:p>
      <w:pPr>
        <w:pStyle w:val="ListParagraph"/>
        <w:numPr>
          <w:ilvl w:val="0"/>
          <w:numId w:val="2"/>
        </w:numPr>
        <w:spacing w:after="80"/>
      </w:pPr>
      <w:r>
        <w:rPr>
          <w:rFonts w:ascii="Arial" w:cs="Arial" w:eastAsia="Arial" w:hAnsi="Arial"/>
          <w:sz w:val="20"/>
          <w:szCs w:val="20"/>
        </w:rPr>
        <w:t xml:space="preserve">Serialize the fitted preprocessor as a pipeline artifact using joblib — this preprocessor will be bundled into both serving stacks</w:t>
      </w:r>
    </w:p>
    <w:p>
      <w:pPr>
        <w:pStyle w:val="ListParagraph"/>
        <w:numPr>
          <w:ilvl w:val="0"/>
          <w:numId w:val="2"/>
        </w:numPr>
        <w:spacing w:after="80"/>
      </w:pPr>
      <w:r>
        <w:rPr>
          <w:rFonts w:ascii="Arial" w:cs="Arial" w:eastAsia="Arial" w:hAnsi="Arial"/>
          <w:sz w:val="20"/>
          <w:szCs w:val="20"/>
        </w:rPr>
        <w:t xml:space="preserve">Define the train/validation/test split with a fixed random seed for full reproducibility</w:t>
      </w:r>
    </w:p>
    <w:p>
      <w:pPr>
        <w:pStyle w:val="ListParagraph"/>
        <w:numPr>
          <w:ilvl w:val="0"/>
          <w:numId w:val="2"/>
        </w:numPr>
        <w:spacing w:after="80"/>
      </w:pPr>
      <w:r>
        <w:rPr>
          <w:rFonts w:ascii="Arial" w:cs="Arial" w:eastAsia="Arial" w:hAnsi="Arial"/>
          <w:sz w:val="20"/>
          <w:szCs w:val="20"/>
        </w:rPr>
        <w:t xml:space="preserve">Write data assertions that validate column names, dtypes, and shape — these catch configuration drift if the pipeline is ever re-run</w:t>
      </w:r>
    </w:p>
    <w:p>
      <w:pPr>
        <w:spacing w:after="160"/>
      </w:pPr>
      <w:r>
        <w:t xml:space="preserve"/>
      </w:r>
    </w:p>
    <w:p>
      <w:pPr>
        <w:pStyle w:val="Heading2"/>
        <w:spacing w:before="280" w:after="80"/>
      </w:pPr>
      <w:r>
        <w:rPr>
          <w:rFonts w:ascii="Arial" w:cs="Arial" w:eastAsia="Arial" w:hAnsi="Arial"/>
          <w:b/>
          <w:bCs/>
          <w:color w:val="2E75B6"/>
          <w:sz w:val="22"/>
          <w:szCs w:val="22"/>
        </w:rPr>
        <w:t xml:space="preserve">Week 3 - Model Training &amp; ONNX Export</w:t>
      </w:r>
    </w:p>
    <w:p>
      <w:pPr>
        <w:spacing w:after="140"/>
      </w:pPr>
      <w:r>
        <w:rPr>
          <w:rFonts w:ascii="Arial" w:cs="Arial" w:eastAsia="Arial" w:hAnsi="Arial"/>
          <w:sz w:val="20"/>
          <w:szCs w:val="20"/>
        </w:rPr>
        <w:t xml:space="preserve">You only train the model once. From this point forward, the model is a fixed artifact. Both delivery pipelines serve the exact same model, which is essential to isolate the variable being tested — the serving layer — from any model-level differences.</w:t>
      </w:r>
    </w:p>
    <w:p>
      <w:pPr>
        <w:pStyle w:val="ListParagraph"/>
        <w:numPr>
          <w:ilvl w:val="0"/>
          <w:numId w:val="2"/>
        </w:numPr>
        <w:spacing w:after="80"/>
      </w:pPr>
      <w:r>
        <w:rPr>
          <w:rFonts w:ascii="Arial" w:cs="Arial" w:eastAsia="Arial" w:hAnsi="Arial"/>
          <w:sz w:val="20"/>
          <w:szCs w:val="20"/>
        </w:rPr>
        <w:t xml:space="preserve">Train an XGBoost classifier on the preprocessed Airline dataset</w:t>
      </w:r>
    </w:p>
    <w:p>
      <w:pPr>
        <w:pStyle w:val="ListParagraph"/>
        <w:numPr>
          <w:ilvl w:val="0"/>
          <w:numId w:val="2"/>
        </w:numPr>
        <w:spacing w:after="80"/>
      </w:pPr>
      <w:r>
        <w:rPr>
          <w:rFonts w:ascii="Arial" w:cs="Arial" w:eastAsia="Arial" w:hAnsi="Arial"/>
          <w:sz w:val="20"/>
          <w:szCs w:val="20"/>
        </w:rPr>
        <w:t xml:space="preserve">Tune a small set of hyperparameters (n_estimators, max_depth, learning_rate) using cross-validation and document the chosen values</w:t>
      </w:r>
    </w:p>
    <w:p>
      <w:pPr>
        <w:pStyle w:val="ListParagraph"/>
        <w:numPr>
          <w:ilvl w:val="0"/>
          <w:numId w:val="2"/>
        </w:numPr>
        <w:spacing w:after="80"/>
      </w:pPr>
      <w:r>
        <w:rPr>
          <w:rFonts w:ascii="Arial" w:cs="Arial" w:eastAsia="Arial" w:hAnsi="Arial"/>
          <w:sz w:val="20"/>
          <w:szCs w:val="20"/>
        </w:rPr>
        <w:t xml:space="preserve">Record baseline accuracy metrics on the held-out test set: Accuracy, F1-Score, AUC-ROC</w:t>
      </w:r>
    </w:p>
    <w:p>
      <w:pPr>
        <w:pStyle w:val="ListParagraph"/>
        <w:numPr>
          <w:ilvl w:val="0"/>
          <w:numId w:val="2"/>
        </w:numPr>
        <w:spacing w:after="80"/>
      </w:pPr>
      <w:r>
        <w:rPr>
          <w:rFonts w:ascii="Arial" w:cs="Arial" w:eastAsia="Arial" w:hAnsi="Arial"/>
          <w:sz w:val="20"/>
          <w:szCs w:val="20"/>
        </w:rPr>
        <w:t xml:space="preserve">Export the trained model to ONNX format using the XGBoost native ONNX exporter</w:t>
      </w:r>
    </w:p>
    <w:p>
      <w:pPr>
        <w:pStyle w:val="ListParagraph"/>
        <w:numPr>
          <w:ilvl w:val="0"/>
          <w:numId w:val="2"/>
        </w:numPr>
        <w:spacing w:after="80"/>
      </w:pPr>
      <w:r>
        <w:rPr>
          <w:rFonts w:ascii="Arial" w:cs="Arial" w:eastAsia="Arial" w:hAnsi="Arial"/>
          <w:sz w:val="20"/>
          <w:szCs w:val="20"/>
        </w:rPr>
        <w:t xml:space="preserve">Validate ONNX model output against native XGBoost predictions on 1,000 test samples — numerical parity must be confirmed before proceeding (absolute tolerance 1e-5)</w:t>
      </w:r>
    </w:p>
    <w:p>
      <w:pPr>
        <w:spacing w:after="160"/>
      </w:pPr>
      <w:r>
        <w:t xml:space="preserve"/>
      </w:r>
    </w:p>
    <w:p>
      <w:pPr>
        <w:pStyle w:val="Heading2"/>
        <w:spacing w:before="280" w:after="80"/>
      </w:pPr>
      <w:r>
        <w:rPr>
          <w:rFonts w:ascii="Arial" w:cs="Arial" w:eastAsia="Arial" w:hAnsi="Arial"/>
          <w:b/>
          <w:bCs/>
          <w:color w:val="2E75B6"/>
          <w:sz w:val="22"/>
          <w:szCs w:val="22"/>
        </w:rPr>
        <w:t xml:space="preserve">Week 4 - Infrastructure &amp; Toolchain Validation</w:t>
      </w:r>
    </w:p>
    <w:p>
      <w:pPr>
        <w:spacing w:after="140"/>
      </w:pPr>
      <w:r>
        <w:rPr>
          <w:rFonts w:ascii="Arial" w:cs="Arial" w:eastAsia="Arial" w:hAnsi="Arial"/>
          <w:sz w:val="20"/>
          <w:szCs w:val="20"/>
        </w:rPr>
        <w:t xml:space="preserve">Before writing any benchmarking code, the measurement toolchain itself must be validated. An incorrect benchmarking setup produces invalid data, which invalidates the entire thesis.</w:t>
      </w:r>
    </w:p>
    <w:p>
      <w:pPr>
        <w:pStyle w:val="ListParagraph"/>
        <w:numPr>
          <w:ilvl w:val="0"/>
          <w:numId w:val="2"/>
        </w:numPr>
        <w:spacing w:after="80"/>
      </w:pPr>
      <w:r>
        <w:rPr>
          <w:rFonts w:ascii="Arial" w:cs="Arial" w:eastAsia="Arial" w:hAnsi="Arial"/>
          <w:sz w:val="20"/>
          <w:szCs w:val="20"/>
        </w:rPr>
        <w:t xml:space="preserve">Install and configure Locust as the primary load generator — never use time.time() wrappers for performance measurement</w:t>
      </w:r>
    </w:p>
    <w:p>
      <w:pPr>
        <w:pStyle w:val="ListParagraph"/>
        <w:numPr>
          <w:ilvl w:val="0"/>
          <w:numId w:val="2"/>
        </w:numPr>
        <w:spacing w:after="80"/>
      </w:pPr>
      <w:r>
        <w:rPr>
          <w:rFonts w:ascii="Arial" w:cs="Arial" w:eastAsia="Arial" w:hAnsi="Arial"/>
          <w:sz w:val="20"/>
          <w:szCs w:val="20"/>
        </w:rPr>
        <w:t xml:space="preserve">Write a minimal FastAPI endpoint and run a trial load test to confirm Locust histograms are recording correctly</w:t>
      </w:r>
    </w:p>
    <w:p>
      <w:pPr>
        <w:pStyle w:val="ListParagraph"/>
        <w:numPr>
          <w:ilvl w:val="0"/>
          <w:numId w:val="2"/>
        </w:numPr>
        <w:spacing w:after="80"/>
      </w:pPr>
      <w:r>
        <w:rPr>
          <w:rFonts w:ascii="Arial" w:cs="Arial" w:eastAsia="Arial" w:hAnsi="Arial"/>
          <w:sz w:val="20"/>
          <w:szCs w:val="20"/>
        </w:rPr>
        <w:t xml:space="preserve">Research and document BentoML adaptive batching configuration parameters: max_batch_size, max_latency_ms, dispatch_span</w:t>
      </w:r>
    </w:p>
    <w:p>
      <w:pPr>
        <w:pStyle w:val="ListParagraph"/>
        <w:numPr>
          <w:ilvl w:val="0"/>
          <w:numId w:val="2"/>
        </w:numPr>
        <w:spacing w:after="80"/>
      </w:pPr>
      <w:r>
        <w:rPr>
          <w:rFonts w:ascii="Arial" w:cs="Arial" w:eastAsia="Arial" w:hAnsi="Arial"/>
          <w:sz w:val="20"/>
          <w:szCs w:val="20"/>
        </w:rPr>
        <w:t xml:space="preserve">Set up a local Docker environment so both serving stacks can be launched reproducibly from a single docker-compose file</w:t>
      </w:r>
    </w:p>
    <w:p>
      <w:pPr>
        <w:pStyle w:val="ListParagraph"/>
        <w:numPr>
          <w:ilvl w:val="0"/>
          <w:numId w:val="2"/>
        </w:numPr>
        <w:spacing w:after="80"/>
      </w:pPr>
      <w:r>
        <w:rPr>
          <w:rFonts w:ascii="Arial" w:cs="Arial" w:eastAsia="Arial" w:hAnsi="Arial"/>
          <w:sz w:val="20"/>
          <w:szCs w:val="20"/>
        </w:rPr>
        <w:t xml:space="preserve">Write the formal benchmarking protocol document: warm-up phase (min 50 requests), measurement duration (60 seconds), concurrency levels (10, 50, 100, 200, 500 users), metrics to record (P50, P95, P99, RPS, error rate)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60"/>
        <w:gridCol w:w="3600"/>
      </w:tblGrid>
      <w:tr>
        <w:tc>
          <w:tcPr>
            <w:tcW w:type="dxa" w:w="9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Week</w:t>
            </w:r>
          </w:p>
        </w:tc>
        <w:tc>
          <w:tcPr>
            <w:tcW w:type="dxa" w:w="48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Activity</w:t>
            </w:r>
          </w:p>
        </w:tc>
        <w:tc>
          <w:tcPr>
            <w:tcW w:type="dxa" w:w="3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Deliverable</w:t>
            </w:r>
          </w:p>
        </w:tc>
      </w:tr>
      <w:tr>
        <w:tc>
          <w:tcPr>
            <w:tcW w:type="dxa" w:w="9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000000"/>
                <w:sz w:val="18"/>
                <w:szCs w:val="18"/>
              </w:rPr>
              <w:t xml:space="preserve">Wk 1</w:t>
            </w:r>
          </w:p>
        </w:tc>
        <w:tc>
          <w:tcPr>
            <w:tcW w:type="dxa" w:w="48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000000"/>
                <w:sz w:val="18"/>
                <w:szCs w:val="18"/>
              </w:rPr>
              <w:t xml:space="preserve">Literature review complete, thesis hypothesis defined</w:t>
            </w:r>
          </w:p>
        </w:tc>
        <w:tc>
          <w:tcPr>
            <w:tcW w:type="dxa" w:w="3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000000"/>
                <w:sz w:val="18"/>
                <w:szCs w:val="18"/>
              </w:rPr>
              <w:t xml:space="preserve">Hypothesis document (1-2 pages)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Wk 2</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Dataset downloaded, preprocessed, and frozen</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Preprocessor artifact + data validation script</w:t>
            </w:r>
          </w:p>
        </w:tc>
      </w:tr>
      <w:tr>
        <w:tc>
          <w:tcPr>
            <w:tcW w:type="dxa" w:w="9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000000"/>
                <w:sz w:val="18"/>
                <w:szCs w:val="18"/>
              </w:rPr>
              <w:t xml:space="preserve">Wk 3</w:t>
            </w:r>
          </w:p>
        </w:tc>
        <w:tc>
          <w:tcPr>
            <w:tcW w:type="dxa" w:w="48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000000"/>
                <w:sz w:val="18"/>
                <w:szCs w:val="18"/>
              </w:rPr>
              <w:t xml:space="preserve">XGBoost trained + ONNX export validated</w:t>
            </w:r>
          </w:p>
        </w:tc>
        <w:tc>
          <w:tcPr>
            <w:tcW w:type="dxa" w:w="3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000000"/>
                <w:sz w:val="18"/>
                <w:szCs w:val="18"/>
              </w:rPr>
              <w:t xml:space="preserve">model.onnx + parity validation report</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Wk 4</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Full toolchain operational, protocol documented</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Benchmarking protocol doc + Docker setup</w:t>
            </w:r>
          </w:p>
        </w:tc>
      </w:tr>
    </w:tbl>
    <w:p>
      <w:pPr>
        <w:spacing w:after="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80"/>
              <w:left w:type="dxa" w:w="280"/>
              <w:bottom w:type="dxa" w:w="180"/>
              <w:right w:type="dxa" w:w="280"/>
            </w:tcMar>
          </w:tcPr>
          <w:p>
            <w:r>
              <w:rPr>
                <w:rFonts w:ascii="Arial" w:cs="Arial" w:eastAsia="Arial" w:hAnsi="Arial"/>
                <w:b/>
                <w:bCs/>
                <w:color w:val="FFFFFF"/>
                <w:sz w:val="28"/>
                <w:szCs w:val="28"/>
              </w:rPr>
              <w:t xml:space="preserve">PHASE 2   </w:t>
            </w:r>
            <w:r>
              <w:rPr>
                <w:rFonts w:ascii="Arial" w:cs="Arial" w:eastAsia="Arial" w:hAnsi="Arial"/>
                <w:b/>
                <w:bCs/>
                <w:color w:val="FFFFFF"/>
                <w:sz w:val="28"/>
                <w:szCs w:val="28"/>
              </w:rPr>
              <w:t xml:space="preserve">Pipeline Construction</w:t>
            </w:r>
            <w:r>
              <w:rPr>
                <w:rFonts w:ascii="Arial" w:cs="Arial" w:eastAsia="Arial" w:hAnsi="Arial"/>
                <w:color w:val="DDDDDD"/>
                <w:sz w:val="20"/>
                <w:szCs w:val="20"/>
              </w:rPr>
              <w:t xml:space="preserve">        Month 2  |  Weeks 5-8</w:t>
            </w:r>
          </w:p>
        </w:tc>
      </w:tr>
    </w:tbl>
    <w:p>
      <w:pPr>
        <w:spacing w:after="160"/>
      </w:pPr>
      <w:r>
        <w:t xml:space="preserve"/>
      </w:r>
    </w:p>
    <w:p>
      <w:pPr>
        <w:spacing w:after="140"/>
      </w:pPr>
      <w:r>
        <w:rPr>
          <w:rFonts w:ascii="Arial" w:cs="Arial" w:eastAsia="Arial" w:hAnsi="Arial"/>
          <w:sz w:val="20"/>
          <w:szCs w:val="20"/>
        </w:rPr>
        <w:t xml:space="preserve">This is the core engineering phase. You are building two distinct, production-quality delivery pipelines that serve the same ONNX model artifact. Your API design background is a direct advantage here — the work is fundamentally about designing clean, observable, and reproducible service interfaces.</w:t>
      </w:r>
    </w:p>
    <w:p>
      <w:pPr>
        <w:spacing w:after="160"/>
      </w:pPr>
      <w:r>
        <w:t xml:space="preserve"/>
      </w:r>
    </w:p>
    <w:p>
      <w:pPr>
        <w:pStyle w:val="Heading2"/>
        <w:spacing w:before="280" w:after="80"/>
      </w:pPr>
      <w:r>
        <w:rPr>
          <w:rFonts w:ascii="Arial" w:cs="Arial" w:eastAsia="Arial" w:hAnsi="Arial"/>
          <w:b/>
          <w:bCs/>
          <w:color w:val="2E75B6"/>
          <w:sz w:val="22"/>
          <w:szCs w:val="22"/>
        </w:rPr>
        <w:t xml:space="preserve">Week 5 - FastAPI Pipeline Implementation</w:t>
      </w:r>
    </w:p>
    <w:p>
      <w:pPr>
        <w:spacing w:after="140"/>
      </w:pPr>
      <w:r>
        <w:rPr>
          <w:rFonts w:ascii="Arial" w:cs="Arial" w:eastAsia="Arial" w:hAnsi="Arial"/>
          <w:sz w:val="20"/>
          <w:szCs w:val="20"/>
        </w:rPr>
        <w:t xml:space="preserve">The FastAPI pipeline is the control condition in the experiment. The goal is a clean, minimal implementation that does not introduce unnecessary complexity or artificial disadvantages.</w:t>
      </w:r>
    </w:p>
    <w:p>
      <w:pPr>
        <w:pStyle w:val="ListParagraph"/>
        <w:numPr>
          <w:ilvl w:val="0"/>
          <w:numId w:val="2"/>
        </w:numPr>
        <w:spacing w:after="80"/>
      </w:pPr>
      <w:r>
        <w:rPr>
          <w:rFonts w:ascii="Arial" w:cs="Arial" w:eastAsia="Arial" w:hAnsi="Arial"/>
          <w:sz w:val="20"/>
          <w:szCs w:val="20"/>
        </w:rPr>
        <w:t xml:space="preserve">Implement a FastAPI application with a single POST /predict endpoint accepting a JSON payload representing one row of features</w:t>
      </w:r>
    </w:p>
    <w:p>
      <w:pPr>
        <w:pStyle w:val="ListParagraph"/>
        <w:numPr>
          <w:ilvl w:val="0"/>
          <w:numId w:val="2"/>
        </w:numPr>
        <w:spacing w:after="80"/>
      </w:pPr>
      <w:r>
        <w:rPr>
          <w:rFonts w:ascii="Arial" w:cs="Arial" w:eastAsia="Arial" w:hAnsi="Arial"/>
          <w:sz w:val="20"/>
          <w:szCs w:val="20"/>
        </w:rPr>
        <w:t xml:space="preserve">Load the ONNX model at application startup using onnxruntime.InferenceSession — measure and log the cold start initialization time</w:t>
      </w:r>
    </w:p>
    <w:p>
      <w:pPr>
        <w:pStyle w:val="ListParagraph"/>
        <w:numPr>
          <w:ilvl w:val="0"/>
          <w:numId w:val="2"/>
        </w:numPr>
        <w:spacing w:after="80"/>
      </w:pPr>
      <w:r>
        <w:rPr>
          <w:rFonts w:ascii="Arial" w:cs="Arial" w:eastAsia="Arial" w:hAnsi="Arial"/>
          <w:sz w:val="20"/>
          <w:szCs w:val="20"/>
        </w:rPr>
        <w:t xml:space="preserve">Implement input validation using Pydantic models — mirrors real production practice and ensures both pipelines receive identically validated input</w:t>
      </w:r>
    </w:p>
    <w:p>
      <w:pPr>
        <w:pStyle w:val="ListParagraph"/>
        <w:numPr>
          <w:ilvl w:val="0"/>
          <w:numId w:val="2"/>
        </w:numPr>
        <w:spacing w:after="80"/>
      </w:pPr>
      <w:r>
        <w:rPr>
          <w:rFonts w:ascii="Arial" w:cs="Arial" w:eastAsia="Arial" w:hAnsi="Arial"/>
          <w:sz w:val="20"/>
          <w:szCs w:val="20"/>
        </w:rPr>
        <w:t xml:space="preserve">Add structured logging with request IDs and server-side latency timestamps</w:t>
      </w:r>
    </w:p>
    <w:p>
      <w:pPr>
        <w:pStyle w:val="ListParagraph"/>
        <w:numPr>
          <w:ilvl w:val="0"/>
          <w:numId w:val="2"/>
        </w:numPr>
        <w:spacing w:after="80"/>
      </w:pPr>
      <w:r>
        <w:rPr>
          <w:rFonts w:ascii="Arial" w:cs="Arial" w:eastAsia="Arial" w:hAnsi="Arial"/>
          <w:sz w:val="20"/>
          <w:szCs w:val="20"/>
        </w:rPr>
        <w:t xml:space="preserve">Write a GET /health endpoint that the load tester probes to confirm readiness before the warm-up phase starts</w:t>
      </w:r>
    </w:p>
    <w:p>
      <w:pPr>
        <w:pStyle w:val="ListParagraph"/>
        <w:numPr>
          <w:ilvl w:val="0"/>
          <w:numId w:val="2"/>
        </w:numPr>
        <w:spacing w:after="80"/>
      </w:pPr>
      <w:r>
        <w:rPr>
          <w:rFonts w:ascii="Arial" w:cs="Arial" w:eastAsia="Arial" w:hAnsi="Arial"/>
          <w:sz w:val="20"/>
          <w:szCs w:val="20"/>
        </w:rPr>
        <w:t xml:space="preserve">Containerize with Docker — the image must start deterministically and expose a fixed port</w:t>
      </w:r>
    </w:p>
    <w:p>
      <w:pPr>
        <w:spacing w:after="160"/>
      </w:pPr>
      <w:r>
        <w:t xml:space="preserve"/>
      </w:r>
    </w:p>
    <w:p>
      <w:pPr>
        <w:pStyle w:val="Heading2"/>
        <w:spacing w:before="280" w:after="80"/>
      </w:pPr>
      <w:r>
        <w:rPr>
          <w:rFonts w:ascii="Arial" w:cs="Arial" w:eastAsia="Arial" w:hAnsi="Arial"/>
          <w:b/>
          <w:bCs/>
          <w:color w:val="2E75B6"/>
          <w:sz w:val="22"/>
          <w:szCs w:val="22"/>
        </w:rPr>
        <w:t xml:space="preserve">Week 6 - BentoML Pipeline Implementation</w:t>
      </w:r>
    </w:p>
    <w:p>
      <w:pPr>
        <w:spacing w:after="140"/>
      </w:pPr>
      <w:r>
        <w:rPr>
          <w:rFonts w:ascii="Arial" w:cs="Arial" w:eastAsia="Arial" w:hAnsi="Arial"/>
          <w:sz w:val="20"/>
          <w:szCs w:val="20"/>
        </w:rPr>
        <w:t xml:space="preserve">The BentoML pipeline is the treatment condition. The key engineering challenge is correctly configuring the adaptive batching engine, which is the primary mechanism under investigation.</w:t>
      </w:r>
    </w:p>
    <w:p>
      <w:pPr>
        <w:pStyle w:val="ListParagraph"/>
        <w:numPr>
          <w:ilvl w:val="0"/>
          <w:numId w:val="2"/>
        </w:numPr>
        <w:spacing w:after="80"/>
      </w:pPr>
      <w:r>
        <w:rPr>
          <w:rFonts w:ascii="Arial" w:cs="Arial" w:eastAsia="Arial" w:hAnsi="Arial"/>
          <w:sz w:val="20"/>
          <w:szCs w:val="20"/>
        </w:rPr>
        <w:t xml:space="preserve">Define a BentoML Service wrapping the ONNX Runtime session</w:t>
      </w:r>
    </w:p>
    <w:p>
      <w:pPr>
        <w:pStyle w:val="ListParagraph"/>
        <w:numPr>
          <w:ilvl w:val="0"/>
          <w:numId w:val="2"/>
        </w:numPr>
        <w:spacing w:after="80"/>
      </w:pPr>
      <w:r>
        <w:rPr>
          <w:rFonts w:ascii="Arial" w:cs="Arial" w:eastAsia="Arial" w:hAnsi="Arial"/>
          <w:sz w:val="20"/>
          <w:szCs w:val="20"/>
        </w:rPr>
        <w:t xml:space="preserve">Configure the @bentoml.api decorator with batching enabled — document every parameter choice with a rationale in code comments</w:t>
      </w:r>
    </w:p>
    <w:p>
      <w:pPr>
        <w:pStyle w:val="ListParagraph"/>
        <w:numPr>
          <w:ilvl w:val="0"/>
          <w:numId w:val="2"/>
        </w:numPr>
        <w:spacing w:after="80"/>
      </w:pPr>
      <w:r>
        <w:rPr>
          <w:rFonts w:ascii="Arial" w:cs="Arial" w:eastAsia="Arial" w:hAnsi="Arial"/>
          <w:sz w:val="20"/>
          <w:szCs w:val="20"/>
        </w:rPr>
        <w:t xml:space="preserve">Implement three explicit batching configurations as sub-experiments: small (max_batch_size=8), medium (max_batch_size=32), large (max_batch_size=128)</w:t>
      </w:r>
    </w:p>
    <w:p>
      <w:pPr>
        <w:pStyle w:val="ListParagraph"/>
        <w:numPr>
          <w:ilvl w:val="0"/>
          <w:numId w:val="2"/>
        </w:numPr>
        <w:spacing w:after="80"/>
      </w:pPr>
      <w:r>
        <w:rPr>
          <w:rFonts w:ascii="Arial" w:cs="Arial" w:eastAsia="Arial" w:hAnsi="Arial"/>
          <w:sz w:val="20"/>
          <w:szCs w:val="20"/>
        </w:rPr>
        <w:t xml:space="preserve">Match the FastAPI pipeline's logging format exactly — both pipelines must emit identical structured log fields so analysis scripts can process both outputs uniformly</w:t>
      </w:r>
    </w:p>
    <w:p>
      <w:pPr>
        <w:pStyle w:val="ListParagraph"/>
        <w:numPr>
          <w:ilvl w:val="0"/>
          <w:numId w:val="2"/>
        </w:numPr>
        <w:spacing w:after="80"/>
      </w:pPr>
      <w:r>
        <w:rPr>
          <w:rFonts w:ascii="Arial" w:cs="Arial" w:eastAsia="Arial" w:hAnsi="Arial"/>
          <w:sz w:val="20"/>
          <w:szCs w:val="20"/>
        </w:rPr>
        <w:t xml:space="preserve">Containerize on the same base image as the FastAPI container — this controls for OS and runtime version differences</w:t>
      </w:r>
    </w:p>
    <w:p>
      <w:pPr>
        <w:pStyle w:val="ListParagraph"/>
        <w:numPr>
          <w:ilvl w:val="0"/>
          <w:numId w:val="2"/>
        </w:numPr>
        <w:spacing w:after="80"/>
      </w:pPr>
      <w:r>
        <w:rPr>
          <w:rFonts w:ascii="Arial" w:cs="Arial" w:eastAsia="Arial" w:hAnsi="Arial"/>
          <w:sz w:val="20"/>
          <w:szCs w:val="20"/>
        </w:rPr>
        <w:t xml:space="preserve">Write an integration test sending 10 sequential requests to both containers and asserting output parity — this is a non-negotiable correctness gate before any benchmarking</w:t>
      </w:r>
    </w:p>
    <w:p>
      <w:pPr>
        <w:spacing w:after="160"/>
      </w:pPr>
      <w:r>
        <w:t xml:space="preserve"/>
      </w:r>
    </w:p>
    <w:p>
      <w:pPr>
        <w:pStyle w:val="Heading2"/>
        <w:spacing w:before="280" w:after="80"/>
      </w:pPr>
      <w:r>
        <w:rPr>
          <w:rFonts w:ascii="Arial" w:cs="Arial" w:eastAsia="Arial" w:hAnsi="Arial"/>
          <w:b/>
          <w:bCs/>
          <w:color w:val="2E75B6"/>
          <w:sz w:val="22"/>
          <w:szCs w:val="22"/>
        </w:rPr>
        <w:t xml:space="preserve">Week 7 - Load Testing Harness Construction</w:t>
      </w:r>
    </w:p>
    <w:p>
      <w:pPr>
        <w:spacing w:after="140"/>
      </w:pPr>
      <w:r>
        <w:rPr>
          <w:rFonts w:ascii="Arial" w:cs="Arial" w:eastAsia="Arial" w:hAnsi="Arial"/>
          <w:sz w:val="20"/>
          <w:szCs w:val="20"/>
        </w:rPr>
        <w:t xml:space="preserve">The load testing harness is itself an engineering artifact. It must implement the benchmarking protocol documented in Week 4, with particular attention to avoiding coordinated omission — the most common and consequential benchmarking error.</w:t>
      </w:r>
    </w:p>
    <w:p>
      <w:pPr>
        <w:pStyle w:val="ListParagraph"/>
        <w:numPr>
          <w:ilvl w:val="0"/>
          <w:numId w:val="2"/>
        </w:numPr>
        <w:spacing w:after="80"/>
      </w:pPr>
      <w:r>
        <w:rPr>
          <w:rFonts w:ascii="Arial" w:cs="Arial" w:eastAsia="Arial" w:hAnsi="Arial"/>
          <w:sz w:val="20"/>
          <w:szCs w:val="20"/>
        </w:rPr>
        <w:t xml:space="preserve">Implement the Locust load test as a Python file with a defined user class and task set</w:t>
      </w:r>
    </w:p>
    <w:p>
      <w:pPr>
        <w:pStyle w:val="ListParagraph"/>
        <w:numPr>
          <w:ilvl w:val="0"/>
          <w:numId w:val="2"/>
        </w:numPr>
        <w:spacing w:after="80"/>
      </w:pPr>
      <w:r>
        <w:rPr>
          <w:rFonts w:ascii="Arial" w:cs="Arial" w:eastAsia="Arial" w:hAnsi="Arial"/>
          <w:sz w:val="20"/>
          <w:szCs w:val="20"/>
        </w:rPr>
        <w:t xml:space="preserve">Configure Locust to use a constant-arrival-rate spawner — this prevents coordinated omission, where the tester backs off exactly when it should be recording a stall</w:t>
      </w:r>
    </w:p>
    <w:p>
      <w:pPr>
        <w:pStyle w:val="ListParagraph"/>
        <w:numPr>
          <w:ilvl w:val="0"/>
          <w:numId w:val="2"/>
        </w:numPr>
        <w:spacing w:after="80"/>
      </w:pPr>
      <w:r>
        <w:rPr>
          <w:rFonts w:ascii="Arial" w:cs="Arial" w:eastAsia="Arial" w:hAnsi="Arial"/>
          <w:sz w:val="20"/>
          <w:szCs w:val="20"/>
        </w:rPr>
        <w:t xml:space="preserve">Implement the warm-up phase programmatically: spawn 10 users, run for 30 seconds, then reset statistics before the measurement phase begins</w:t>
      </w:r>
    </w:p>
    <w:p>
      <w:pPr>
        <w:pStyle w:val="ListParagraph"/>
        <w:numPr>
          <w:ilvl w:val="0"/>
          <w:numId w:val="2"/>
        </w:numPr>
        <w:spacing w:after="80"/>
      </w:pPr>
      <w:r>
        <w:rPr>
          <w:rFonts w:ascii="Arial" w:cs="Arial" w:eastAsia="Arial" w:hAnsi="Arial"/>
          <w:sz w:val="20"/>
          <w:szCs w:val="20"/>
        </w:rPr>
        <w:t xml:space="preserve">Write a parameterized test runner script that iterates over all concurrency levels and saves raw latency histograms to CSV for each run</w:t>
      </w:r>
    </w:p>
    <w:p>
      <w:pPr>
        <w:pStyle w:val="ListParagraph"/>
        <w:numPr>
          <w:ilvl w:val="0"/>
          <w:numId w:val="2"/>
        </w:numPr>
        <w:spacing w:after="80"/>
      </w:pPr>
      <w:r>
        <w:rPr>
          <w:rFonts w:ascii="Arial" w:cs="Arial" w:eastAsia="Arial" w:hAnsi="Arial"/>
          <w:sz w:val="20"/>
          <w:szCs w:val="20"/>
        </w:rPr>
        <w:t xml:space="preserve">Validate the harness against both containers in isolation — RPS should scale approximately linearly with concurrency at low load (if it does not, the harness itself is the bottleneck)</w:t>
      </w:r>
    </w:p>
    <w:p>
      <w:pPr>
        <w:spacing w:after="160"/>
      </w:pPr>
      <w:r>
        <w:t xml:space="preserve"/>
      </w:r>
    </w:p>
    <w:p>
      <w:pPr>
        <w:pStyle w:val="Heading2"/>
        <w:spacing w:before="280" w:after="80"/>
      </w:pPr>
      <w:r>
        <w:rPr>
          <w:rFonts w:ascii="Arial" w:cs="Arial" w:eastAsia="Arial" w:hAnsi="Arial"/>
          <w:b/>
          <w:bCs/>
          <w:color w:val="2E75B6"/>
          <w:sz w:val="22"/>
          <w:szCs w:val="22"/>
        </w:rPr>
        <w:t xml:space="preserve">Week 8 - Integration, Reproducibility Audit &amp; Dry Run</w:t>
      </w:r>
    </w:p>
    <w:p>
      <w:pPr>
        <w:spacing w:after="140"/>
      </w:pPr>
      <w:r>
        <w:rPr>
          <w:rFonts w:ascii="Arial" w:cs="Arial" w:eastAsia="Arial" w:hAnsi="Arial"/>
          <w:sz w:val="20"/>
          <w:szCs w:val="20"/>
        </w:rPr>
        <w:t xml:space="preserve">Before running real experiments, perform a complete dry run of the entire benchmarking pipeline. The purpose is to catch configuration errors before they contaminate real data.</w:t>
      </w:r>
    </w:p>
    <w:p>
      <w:pPr>
        <w:pStyle w:val="ListParagraph"/>
        <w:numPr>
          <w:ilvl w:val="0"/>
          <w:numId w:val="2"/>
        </w:numPr>
        <w:spacing w:after="80"/>
      </w:pPr>
      <w:r>
        <w:rPr>
          <w:rFonts w:ascii="Arial" w:cs="Arial" w:eastAsia="Arial" w:hAnsi="Arial"/>
          <w:sz w:val="20"/>
          <w:szCs w:val="20"/>
        </w:rPr>
        <w:t xml:space="preserve">Run the full benchmarking suite end-to-end once for each pipeline at 100 concurrent users</w:t>
      </w:r>
    </w:p>
    <w:p>
      <w:pPr>
        <w:pStyle w:val="ListParagraph"/>
        <w:numPr>
          <w:ilvl w:val="0"/>
          <w:numId w:val="2"/>
        </w:numPr>
        <w:spacing w:after="80"/>
      </w:pPr>
      <w:r>
        <w:rPr>
          <w:rFonts w:ascii="Arial" w:cs="Arial" w:eastAsia="Arial" w:hAnsi="Arial"/>
          <w:sz w:val="20"/>
          <w:szCs w:val="20"/>
        </w:rPr>
        <w:t xml:space="preserve">Verify output CSV files contain all expected columns and that P99 values are numerically plausible</w:t>
      </w:r>
    </w:p>
    <w:p>
      <w:pPr>
        <w:pStyle w:val="ListParagraph"/>
        <w:numPr>
          <w:ilvl w:val="0"/>
          <w:numId w:val="2"/>
        </w:numPr>
        <w:spacing w:after="80"/>
      </w:pPr>
      <w:r>
        <w:rPr>
          <w:rFonts w:ascii="Arial" w:cs="Arial" w:eastAsia="Arial" w:hAnsi="Arial"/>
          <w:sz w:val="20"/>
          <w:szCs w:val="20"/>
        </w:rPr>
        <w:t xml:space="preserve">Check for warm-up contamination: plot the latency time-series and confirm there is no downward trend in the first minutes (which would indicate JIT compilation effects being included in measurements)</w:t>
      </w:r>
    </w:p>
    <w:p>
      <w:pPr>
        <w:pStyle w:val="ListParagraph"/>
        <w:numPr>
          <w:ilvl w:val="0"/>
          <w:numId w:val="2"/>
        </w:numPr>
        <w:spacing w:after="80"/>
      </w:pPr>
      <w:r>
        <w:rPr>
          <w:rFonts w:ascii="Arial" w:cs="Arial" w:eastAsia="Arial" w:hAnsi="Arial"/>
          <w:sz w:val="20"/>
          <w:szCs w:val="20"/>
        </w:rPr>
        <w:t xml:space="preserve">Write a README documenting exactly how to reproduce every experiment from scratch — another person should be able to replicate results using only the repository</w:t>
      </w:r>
    </w:p>
    <w:p>
      <w:pPr>
        <w:pStyle w:val="ListParagraph"/>
        <w:numPr>
          <w:ilvl w:val="0"/>
          <w:numId w:val="2"/>
        </w:numPr>
        <w:spacing w:after="80"/>
      </w:pPr>
      <w:r>
        <w:rPr>
          <w:rFonts w:ascii="Arial" w:cs="Arial" w:eastAsia="Arial" w:hAnsi="Arial"/>
          <w:sz w:val="20"/>
          <w:szCs w:val="20"/>
        </w:rPr>
        <w:t xml:space="preserve">Tag the repository at this commit as v1.0-baseline — this is the reproducibility anchor</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60"/>
        <w:gridCol w:w="3600"/>
      </w:tblGrid>
      <w:tr>
        <w:tc>
          <w:tcPr>
            <w:tcW w:type="dxa" w:w="9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Week</w:t>
            </w:r>
          </w:p>
        </w:tc>
        <w:tc>
          <w:tcPr>
            <w:tcW w:type="dxa" w:w="48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Activity</w:t>
            </w:r>
          </w:p>
        </w:tc>
        <w:tc>
          <w:tcPr>
            <w:tcW w:type="dxa" w:w="3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Deliverable</w:t>
            </w:r>
          </w:p>
        </w:tc>
      </w:tr>
      <w:tr>
        <w:tc>
          <w:tcPr>
            <w:tcW w:type="dxa" w:w="9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000000"/>
                <w:sz w:val="18"/>
                <w:szCs w:val="18"/>
              </w:rPr>
              <w:t xml:space="preserve">Wk 5</w:t>
            </w:r>
          </w:p>
        </w:tc>
        <w:tc>
          <w:tcPr>
            <w:tcW w:type="dxa" w:w="48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000000"/>
                <w:sz w:val="18"/>
                <w:szCs w:val="18"/>
              </w:rPr>
              <w:t xml:space="preserve">FastAPI pipeline implemented and containerized</w:t>
            </w:r>
          </w:p>
        </w:tc>
        <w:tc>
          <w:tcPr>
            <w:tcW w:type="dxa" w:w="3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000000"/>
                <w:sz w:val="18"/>
                <w:szCs w:val="18"/>
              </w:rPr>
              <w:t xml:space="preserve">fastapi-service Docker image + integration test</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Wk 6</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BentoML pipeline with 3 batching configurations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bentoml-service Docker image + parity test</w:t>
            </w:r>
          </w:p>
        </w:tc>
      </w:tr>
      <w:tr>
        <w:tc>
          <w:tcPr>
            <w:tcW w:type="dxa" w:w="9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000000"/>
                <w:sz w:val="18"/>
                <w:szCs w:val="18"/>
              </w:rPr>
              <w:t xml:space="preserve">Wk 7</w:t>
            </w:r>
          </w:p>
        </w:tc>
        <w:tc>
          <w:tcPr>
            <w:tcW w:type="dxa" w:w="48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000000"/>
                <w:sz w:val="18"/>
                <w:szCs w:val="18"/>
              </w:rPr>
              <w:t xml:space="preserve">Locust harness with constant-arrival-rate spawner</w:t>
            </w:r>
          </w:p>
        </w:tc>
        <w:tc>
          <w:tcPr>
            <w:tcW w:type="dxa" w:w="3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000000"/>
                <w:sz w:val="18"/>
                <w:szCs w:val="18"/>
              </w:rPr>
              <w:t xml:space="preserve">load-test runner script + sample CSVs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Wk 8</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Full dry run complete, repo documented</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v1.0-baseline git tag + reproducibility README</w:t>
            </w:r>
          </w:p>
        </w:tc>
      </w:tr>
    </w:tbl>
    <w:p>
      <w:pPr>
        <w:spacing w:after="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55A11" w:val="clear"/>
            <w:tcMar>
              <w:top w:type="dxa" w:w="180"/>
              <w:left w:type="dxa" w:w="280"/>
              <w:bottom w:type="dxa" w:w="180"/>
              <w:right w:type="dxa" w:w="280"/>
            </w:tcMar>
          </w:tcPr>
          <w:p>
            <w:r>
              <w:rPr>
                <w:rFonts w:ascii="Arial" w:cs="Arial" w:eastAsia="Arial" w:hAnsi="Arial"/>
                <w:b/>
                <w:bCs/>
                <w:color w:val="FFFFFF"/>
                <w:sz w:val="28"/>
                <w:szCs w:val="28"/>
              </w:rPr>
              <w:t xml:space="preserve">PHASE 3   </w:t>
            </w:r>
            <w:r>
              <w:rPr>
                <w:rFonts w:ascii="Arial" w:cs="Arial" w:eastAsia="Arial" w:hAnsi="Arial"/>
                <w:b/>
                <w:bCs/>
                <w:color w:val="FFFFFF"/>
                <w:sz w:val="28"/>
                <w:szCs w:val="28"/>
              </w:rPr>
              <w:t xml:space="preserve">Benchmarking Experiments</w:t>
            </w:r>
            <w:r>
              <w:rPr>
                <w:rFonts w:ascii="Arial" w:cs="Arial" w:eastAsia="Arial" w:hAnsi="Arial"/>
                <w:color w:val="DDDDDD"/>
                <w:sz w:val="20"/>
                <w:szCs w:val="20"/>
              </w:rPr>
              <w:t xml:space="preserve">        Month 3  |  Weeks 9-12</w:t>
            </w:r>
          </w:p>
        </w:tc>
      </w:tr>
    </w:tbl>
    <w:p>
      <w:pPr>
        <w:spacing w:after="160"/>
      </w:pPr>
      <w:r>
        <w:t xml:space="preserve"/>
      </w:r>
    </w:p>
    <w:p>
      <w:pPr>
        <w:spacing w:after="140"/>
      </w:pPr>
      <w:r>
        <w:rPr>
          <w:rFonts w:ascii="Arial" w:cs="Arial" w:eastAsia="Arial" w:hAnsi="Arial"/>
          <w:sz w:val="20"/>
          <w:szCs w:val="20"/>
        </w:rPr>
        <w:t xml:space="preserve">This is the data collection phase. Discipline is paramount: run experiments in a defined order, save every raw output, and resist analyzing while collecting. Mixing analysis with collection introduces confirmation bias and the temptation to re-run experiments until a better result appears.</w:t>
      </w:r>
    </w:p>
    <w:p>
      <w:pPr>
        <w:spacing w:after="160"/>
      </w:pPr>
      <w:r>
        <w:t xml:space="preserve"/>
      </w:r>
    </w:p>
    <w:p>
      <w:pPr>
        <w:pStyle w:val="Heading2"/>
        <w:spacing w:before="280" w:after="80"/>
      </w:pPr>
      <w:r>
        <w:rPr>
          <w:rFonts w:ascii="Arial" w:cs="Arial" w:eastAsia="Arial" w:hAnsi="Arial"/>
          <w:b/>
          <w:bCs/>
          <w:color w:val="2E75B6"/>
          <w:sz w:val="22"/>
          <w:szCs w:val="22"/>
        </w:rPr>
        <w:t xml:space="preserve">Week 9 - Experiment Set A: Baseline Latency Profiles</w:t>
      </w:r>
    </w:p>
    <w:p>
      <w:pPr>
        <w:spacing w:after="140"/>
      </w:pPr>
      <w:r>
        <w:rPr>
          <w:rFonts w:ascii="Arial" w:cs="Arial" w:eastAsia="Arial" w:hAnsi="Arial"/>
          <w:sz w:val="20"/>
          <w:szCs w:val="20"/>
        </w:rPr>
        <w:t xml:space="preserve">Establish the individual performance envelope of each pipeline in isolation. These results characterize each system without interaction effects and serve as the reference point for all subsequent comparisons.</w:t>
      </w:r>
    </w:p>
    <w:p>
      <w:pPr>
        <w:pStyle w:val="ListParagraph"/>
        <w:numPr>
          <w:ilvl w:val="0"/>
          <w:numId w:val="2"/>
        </w:numPr>
        <w:spacing w:after="80"/>
      </w:pPr>
      <w:r>
        <w:rPr>
          <w:rFonts w:ascii="Arial" w:cs="Arial" w:eastAsia="Arial" w:hAnsi="Arial"/>
          <w:sz w:val="20"/>
          <w:szCs w:val="20"/>
        </w:rPr>
        <w:t xml:space="preserve">Run FastAPI at each concurrency level (10, 50, 100, 200, 500) — 3 independent runs per level, 60 seconds each</w:t>
      </w:r>
    </w:p>
    <w:p>
      <w:pPr>
        <w:pStyle w:val="ListParagraph"/>
        <w:numPr>
          <w:ilvl w:val="0"/>
          <w:numId w:val="2"/>
        </w:numPr>
        <w:spacing w:after="80"/>
      </w:pPr>
      <w:r>
        <w:rPr>
          <w:rFonts w:ascii="Arial" w:cs="Arial" w:eastAsia="Arial" w:hAnsi="Arial"/>
          <w:sz w:val="20"/>
          <w:szCs w:val="20"/>
        </w:rPr>
        <w:t xml:space="preserve">Run BentoML with max_batch_size=8 at each concurrency level with the same protocol</w:t>
      </w:r>
    </w:p>
    <w:p>
      <w:pPr>
        <w:pStyle w:val="ListParagraph"/>
        <w:numPr>
          <w:ilvl w:val="0"/>
          <w:numId w:val="2"/>
        </w:numPr>
        <w:spacing w:after="80"/>
      </w:pPr>
      <w:r>
        <w:rPr>
          <w:rFonts w:ascii="Arial" w:cs="Arial" w:eastAsia="Arial" w:hAnsi="Arial"/>
          <w:sz w:val="20"/>
          <w:szCs w:val="20"/>
        </w:rPr>
        <w:t xml:space="preserve">Record for each run: P50, P95, P99 latency, mean RPS, error rate, and CPU/RAM utilization</w:t>
      </w:r>
    </w:p>
    <w:p>
      <w:pPr>
        <w:pStyle w:val="ListParagraph"/>
        <w:numPr>
          <w:ilvl w:val="0"/>
          <w:numId w:val="2"/>
        </w:numPr>
        <w:spacing w:after="80"/>
      </w:pPr>
      <w:r>
        <w:rPr>
          <w:rFonts w:ascii="Arial" w:cs="Arial" w:eastAsia="Arial" w:hAnsi="Arial"/>
          <w:sz w:val="20"/>
          <w:szCs w:val="20"/>
        </w:rPr>
        <w:t xml:space="preserve">Store all raw histogram data, not just summary statistics, for later statistical validation</w:t>
      </w:r>
    </w:p>
    <w:p>
      <w:pPr>
        <w:pStyle w:val="ListParagraph"/>
        <w:numPr>
          <w:ilvl w:val="0"/>
          <w:numId w:val="2"/>
        </w:numPr>
        <w:spacing w:after="80"/>
      </w:pPr>
      <w:r>
        <w:rPr>
          <w:rFonts w:ascii="Arial" w:cs="Arial" w:eastAsia="Arial" w:hAnsi="Arial"/>
          <w:sz w:val="20"/>
          <w:szCs w:val="20"/>
        </w:rPr>
        <w:t xml:space="preserve">Annotate anomalies immediately in a lab notebook: dropped connections, container restarts, unexpected spikes</w:t>
      </w:r>
    </w:p>
    <w:p>
      <w:pPr>
        <w:spacing w:after="160"/>
      </w:pPr>
      <w:r>
        <w:t xml:space="preserve"/>
      </w:r>
    </w:p>
    <w:p>
      <w:pPr>
        <w:pStyle w:val="Heading2"/>
        <w:spacing w:before="280" w:after="80"/>
      </w:pPr>
      <w:r>
        <w:rPr>
          <w:rFonts w:ascii="Arial" w:cs="Arial" w:eastAsia="Arial" w:hAnsi="Arial"/>
          <w:b/>
          <w:bCs/>
          <w:color w:val="2E75B6"/>
          <w:sz w:val="22"/>
          <w:szCs w:val="22"/>
        </w:rPr>
        <w:t xml:space="preserve">Week 10 - Experiment Set B: Batch Size Sensitivity</w:t>
      </w:r>
    </w:p>
    <w:p>
      <w:pPr>
        <w:spacing w:after="140"/>
      </w:pPr>
      <w:r>
        <w:rPr>
          <w:rFonts w:ascii="Arial" w:cs="Arial" w:eastAsia="Arial" w:hAnsi="Arial"/>
          <w:sz w:val="20"/>
          <w:szCs w:val="20"/>
        </w:rPr>
        <w:t xml:space="preserve">This set isolates the effect of BentoML's batch size parameter — the primary tunable variable in the treatment condition. The key insight to look for is that batch effectiveness is dependent on traffic volume.</w:t>
      </w:r>
    </w:p>
    <w:p>
      <w:pPr>
        <w:pStyle w:val="ListParagraph"/>
        <w:numPr>
          <w:ilvl w:val="0"/>
          <w:numId w:val="2"/>
        </w:numPr>
        <w:spacing w:after="80"/>
      </w:pPr>
      <w:r>
        <w:rPr>
          <w:rFonts w:ascii="Arial" w:cs="Arial" w:eastAsia="Arial" w:hAnsi="Arial"/>
          <w:sz w:val="20"/>
          <w:szCs w:val="20"/>
        </w:rPr>
        <w:t xml:space="preserve">Run BentoML with max_batch_size=32 at all concurrency levels — same 3-run protocol</w:t>
      </w:r>
    </w:p>
    <w:p>
      <w:pPr>
        <w:pStyle w:val="ListParagraph"/>
        <w:numPr>
          <w:ilvl w:val="0"/>
          <w:numId w:val="2"/>
        </w:numPr>
        <w:spacing w:after="80"/>
      </w:pPr>
      <w:r>
        <w:rPr>
          <w:rFonts w:ascii="Arial" w:cs="Arial" w:eastAsia="Arial" w:hAnsi="Arial"/>
          <w:sz w:val="20"/>
          <w:szCs w:val="20"/>
        </w:rPr>
        <w:t xml:space="preserve">Run BentoML with max_batch_size=128 at all concurrency levels</w:t>
      </w:r>
    </w:p>
    <w:p>
      <w:pPr>
        <w:pStyle w:val="ListParagraph"/>
        <w:numPr>
          <w:ilvl w:val="0"/>
          <w:numId w:val="2"/>
        </w:numPr>
        <w:spacing w:after="80"/>
      </w:pPr>
      <w:r>
        <w:rPr>
          <w:rFonts w:ascii="Arial" w:cs="Arial" w:eastAsia="Arial" w:hAnsi="Arial"/>
          <w:sz w:val="20"/>
          <w:szCs w:val="20"/>
        </w:rPr>
        <w:t xml:space="preserve">For each batch size, record the average actual batch fill rate — how full are batches in practice? A configured size of 128 under 10 concurrent users will rarely fill, which is itself an important finding</w:t>
      </w:r>
    </w:p>
    <w:p>
      <w:pPr>
        <w:pStyle w:val="ListParagraph"/>
        <w:numPr>
          <w:ilvl w:val="0"/>
          <w:numId w:val="2"/>
        </w:numPr>
        <w:spacing w:after="80"/>
      </w:pPr>
      <w:r>
        <w:rPr>
          <w:rFonts w:ascii="Arial" w:cs="Arial" w:eastAsia="Arial" w:hAnsi="Arial"/>
          <w:sz w:val="20"/>
          <w:szCs w:val="20"/>
        </w:rPr>
        <w:t xml:space="preserve">Compare P99 distributions across the three batch sizes at each concurrency level to identify the batch size sensitivity curve</w:t>
      </w:r>
    </w:p>
    <w:p>
      <w:pPr>
        <w:spacing w:after="160"/>
      </w:pPr>
      <w:r>
        <w:t xml:space="preserve"/>
      </w:r>
    </w:p>
    <w:p>
      <w:pPr>
        <w:pStyle w:val="Heading2"/>
        <w:spacing w:before="280" w:after="80"/>
      </w:pPr>
      <w:r>
        <w:rPr>
          <w:rFonts w:ascii="Arial" w:cs="Arial" w:eastAsia="Arial" w:hAnsi="Arial"/>
          <w:b/>
          <w:bCs/>
          <w:color w:val="2E75B6"/>
          <w:sz w:val="22"/>
          <w:szCs w:val="22"/>
        </w:rPr>
        <w:t xml:space="preserve">Week 11 - Experiment Set C: Cold Start Characterization</w:t>
      </w:r>
    </w:p>
    <w:p>
      <w:pPr>
        <w:spacing w:after="140"/>
      </w:pPr>
      <w:r>
        <w:rPr>
          <w:rFonts w:ascii="Arial" w:cs="Arial" w:eastAsia="Arial" w:hAnsi="Arial"/>
          <w:sz w:val="20"/>
          <w:szCs w:val="20"/>
        </w:rPr>
        <w:t xml:space="preserve">Cold starts are the specific failure mode of serverless and auto-scaling deployments. This experiment set quantifies the magnitude of the problem and measures how well each framework mitigates it.</w:t>
      </w:r>
    </w:p>
    <w:p>
      <w:pPr>
        <w:pStyle w:val="ListParagraph"/>
        <w:numPr>
          <w:ilvl w:val="0"/>
          <w:numId w:val="2"/>
        </w:numPr>
        <w:spacing w:after="80"/>
      </w:pPr>
      <w:r>
        <w:rPr>
          <w:rFonts w:ascii="Arial" w:cs="Arial" w:eastAsia="Arial" w:hAnsi="Arial"/>
          <w:sz w:val="20"/>
          <w:szCs w:val="20"/>
        </w:rPr>
        <w:t xml:space="preserve">Design a cold start test: stop the container, start it, send a request immediately, record end-to-end latency — repeat 20 times per pipeline</w:t>
      </w:r>
    </w:p>
    <w:p>
      <w:pPr>
        <w:pStyle w:val="ListParagraph"/>
        <w:numPr>
          <w:ilvl w:val="0"/>
          <w:numId w:val="2"/>
        </w:numPr>
        <w:spacing w:after="80"/>
      </w:pPr>
      <w:r>
        <w:rPr>
          <w:rFonts w:ascii="Arial" w:cs="Arial" w:eastAsia="Arial" w:hAnsi="Arial"/>
          <w:sz w:val="20"/>
          <w:szCs w:val="20"/>
        </w:rPr>
        <w:t xml:space="preserve">Measure JIT warm-up: log per-request latency for the first 200 requests after a cold start and plot the convergence curve</w:t>
      </w:r>
    </w:p>
    <w:p>
      <w:pPr>
        <w:pStyle w:val="ListParagraph"/>
        <w:numPr>
          <w:ilvl w:val="0"/>
          <w:numId w:val="2"/>
        </w:numPr>
        <w:spacing w:after="80"/>
      </w:pPr>
      <w:r>
        <w:rPr>
          <w:rFonts w:ascii="Arial" w:cs="Arial" w:eastAsia="Arial" w:hAnsi="Arial"/>
          <w:sz w:val="20"/>
          <w:szCs w:val="20"/>
        </w:rPr>
        <w:t xml:space="preserve">Measure ONNX session initialization time: record the time from container start to first-request-ready for both pipelines</w:t>
      </w:r>
    </w:p>
    <w:p>
      <w:pPr>
        <w:pStyle w:val="ListParagraph"/>
        <w:numPr>
          <w:ilvl w:val="0"/>
          <w:numId w:val="2"/>
        </w:numPr>
        <w:spacing w:after="80"/>
      </w:pPr>
      <w:r>
        <w:rPr>
          <w:rFonts w:ascii="Arial" w:cs="Arial" w:eastAsia="Arial" w:hAnsi="Arial"/>
          <w:sz w:val="20"/>
          <w:szCs w:val="20"/>
        </w:rPr>
        <w:t xml:space="preserve">Intentionally run contaminated benchmarks (without warm-up) and compare them to clean benchmarks from Week 9 — this quantifies the measurement error that naive benchmarking introduces, which is itself valuable academic content</w:t>
      </w:r>
    </w:p>
    <w:p>
      <w:pPr>
        <w:spacing w:after="160"/>
      </w:pPr>
      <w:r>
        <w:t xml:space="preserve"/>
      </w:r>
    </w:p>
    <w:p>
      <w:pPr>
        <w:pStyle w:val="Heading2"/>
        <w:spacing w:before="280" w:after="80"/>
      </w:pPr>
      <w:r>
        <w:rPr>
          <w:rFonts w:ascii="Arial" w:cs="Arial" w:eastAsia="Arial" w:hAnsi="Arial"/>
          <w:b/>
          <w:bCs/>
          <w:color w:val="2E75B6"/>
          <w:sz w:val="22"/>
          <w:szCs w:val="22"/>
        </w:rPr>
        <w:t xml:space="preserve">Week 12 - Data Validation &amp; Experiment Integrity Check</w:t>
      </w:r>
    </w:p>
    <w:p>
      <w:pPr>
        <w:spacing w:after="140"/>
      </w:pPr>
      <w:r>
        <w:rPr>
          <w:rFonts w:ascii="Arial" w:cs="Arial" w:eastAsia="Arial" w:hAnsi="Arial"/>
          <w:sz w:val="20"/>
          <w:szCs w:val="20"/>
        </w:rPr>
        <w:t xml:space="preserve">Before moving to analysis, verify the integrity of all collected data. This is the most important quality gate in the project — invalid data produces invalid findings.</w:t>
      </w:r>
    </w:p>
    <w:p>
      <w:pPr>
        <w:pStyle w:val="ListParagraph"/>
        <w:numPr>
          <w:ilvl w:val="0"/>
          <w:numId w:val="2"/>
        </w:numPr>
        <w:spacing w:after="80"/>
      </w:pPr>
      <w:r>
        <w:rPr>
          <w:rFonts w:ascii="Arial" w:cs="Arial" w:eastAsia="Arial" w:hAnsi="Arial"/>
          <w:sz w:val="20"/>
          <w:szCs w:val="20"/>
        </w:rPr>
        <w:t xml:space="preserve">Check statistical consistency across 3 independent runs per experiment: coefficient of variation (CV) should be below 15% for stable metrics; outlier runs must be flagged and investigated, not silently discarded</w:t>
      </w:r>
    </w:p>
    <w:p>
      <w:pPr>
        <w:pStyle w:val="ListParagraph"/>
        <w:numPr>
          <w:ilvl w:val="0"/>
          <w:numId w:val="2"/>
        </w:numPr>
        <w:spacing w:after="80"/>
      </w:pPr>
      <w:r>
        <w:rPr>
          <w:rFonts w:ascii="Arial" w:cs="Arial" w:eastAsia="Arial" w:hAnsi="Arial"/>
          <w:sz w:val="20"/>
          <w:szCs w:val="20"/>
        </w:rPr>
        <w:t xml:space="preserve">Confirm hardware consistency: verify CPU frequency scaling was disabled (performance governor), check for thermal throttling in system logs</w:t>
      </w:r>
    </w:p>
    <w:p>
      <w:pPr>
        <w:pStyle w:val="ListParagraph"/>
        <w:numPr>
          <w:ilvl w:val="0"/>
          <w:numId w:val="2"/>
        </w:numPr>
        <w:spacing w:after="80"/>
      </w:pPr>
      <w:r>
        <w:rPr>
          <w:rFonts w:ascii="Arial" w:cs="Arial" w:eastAsia="Arial" w:hAnsi="Arial"/>
          <w:sz w:val="20"/>
          <w:szCs w:val="20"/>
        </w:rPr>
        <w:t xml:space="preserve">Re-run any experiment where the error rate exceeded 1% — a high error rate indicates system saturation, not a valid performance measurement</w:t>
      </w:r>
    </w:p>
    <w:p>
      <w:pPr>
        <w:pStyle w:val="ListParagraph"/>
        <w:numPr>
          <w:ilvl w:val="0"/>
          <w:numId w:val="2"/>
        </w:numPr>
        <w:spacing w:after="80"/>
      </w:pPr>
      <w:r>
        <w:rPr>
          <w:rFonts w:ascii="Arial" w:cs="Arial" w:eastAsia="Arial" w:hAnsi="Arial"/>
          <w:sz w:val="20"/>
          <w:szCs w:val="20"/>
        </w:rPr>
        <w:t xml:space="preserve">Produce a data manifest: a structured CSV listing every experiment, its parameters, output file location, run timestamps, and a pass/fail quality flag</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60"/>
        <w:gridCol w:w="3600"/>
      </w:tblGrid>
      <w:tr>
        <w:tc>
          <w:tcPr>
            <w:tcW w:type="dxa" w:w="9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Week</w:t>
            </w:r>
          </w:p>
        </w:tc>
        <w:tc>
          <w:tcPr>
            <w:tcW w:type="dxa" w:w="48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Activity</w:t>
            </w:r>
          </w:p>
        </w:tc>
        <w:tc>
          <w:tcPr>
            <w:tcW w:type="dxa" w:w="3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Deliverable</w:t>
            </w:r>
          </w:p>
        </w:tc>
      </w:tr>
      <w:tr>
        <w:tc>
          <w:tcPr>
            <w:tcW w:type="dxa" w:w="9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000000"/>
                <w:sz w:val="18"/>
                <w:szCs w:val="18"/>
              </w:rPr>
              <w:t xml:space="preserve">Wk 9</w:t>
            </w:r>
          </w:p>
        </w:tc>
        <w:tc>
          <w:tcPr>
            <w:tcW w:type="dxa" w:w="48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000000"/>
                <w:sz w:val="18"/>
                <w:szCs w:val="18"/>
              </w:rPr>
              <w:t xml:space="preserve">Experiment Set A: baseline profiles complete</w:t>
            </w:r>
          </w:p>
        </w:tc>
        <w:tc>
          <w:tcPr>
            <w:tcW w:type="dxa" w:w="3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000000"/>
                <w:sz w:val="18"/>
                <w:szCs w:val="18"/>
              </w:rPr>
              <w:t xml:space="preserve">Raw CSVs for FastAPI + BentoML (batch=8)</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Wk 10</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Experiment Set B: batch sensitivity complete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Raw CSVs for batch=32 and batch=128</w:t>
            </w:r>
          </w:p>
        </w:tc>
      </w:tr>
      <w:tr>
        <w:tc>
          <w:tcPr>
            <w:tcW w:type="dxa" w:w="9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000000"/>
                <w:sz w:val="18"/>
                <w:szCs w:val="18"/>
              </w:rPr>
              <w:t xml:space="preserve">Wk 11</w:t>
            </w:r>
          </w:p>
        </w:tc>
        <w:tc>
          <w:tcPr>
            <w:tcW w:type="dxa" w:w="48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000000"/>
                <w:sz w:val="18"/>
                <w:szCs w:val="18"/>
              </w:rPr>
              <w:t xml:space="preserve">Experiment Set C: cold start data complete</w:t>
            </w:r>
          </w:p>
        </w:tc>
        <w:tc>
          <w:tcPr>
            <w:tcW w:type="dxa" w:w="3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000000"/>
                <w:sz w:val="18"/>
                <w:szCs w:val="18"/>
              </w:rPr>
              <w:t xml:space="preserve">Cold start latency logs + warm-up curves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Wk 12</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Data integrity validated, manifest finalized</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Data manifest + quality-flagged dataset</w:t>
            </w:r>
          </w:p>
        </w:tc>
      </w:tr>
    </w:tbl>
    <w:p>
      <w:pPr>
        <w:spacing w:after="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5623" w:val="clear"/>
            <w:tcMar>
              <w:top w:type="dxa" w:w="180"/>
              <w:left w:type="dxa" w:w="280"/>
              <w:bottom w:type="dxa" w:w="180"/>
              <w:right w:type="dxa" w:w="280"/>
            </w:tcMar>
          </w:tcPr>
          <w:p>
            <w:r>
              <w:rPr>
                <w:rFonts w:ascii="Arial" w:cs="Arial" w:eastAsia="Arial" w:hAnsi="Arial"/>
                <w:b/>
                <w:bCs/>
                <w:color w:val="FFFFFF"/>
                <w:sz w:val="28"/>
                <w:szCs w:val="28"/>
              </w:rPr>
              <w:t xml:space="preserve">PHASE 4   </w:t>
            </w:r>
            <w:r>
              <w:rPr>
                <w:rFonts w:ascii="Arial" w:cs="Arial" w:eastAsia="Arial" w:hAnsi="Arial"/>
                <w:b/>
                <w:bCs/>
                <w:color w:val="FFFFFF"/>
                <w:sz w:val="28"/>
                <w:szCs w:val="28"/>
              </w:rPr>
              <w:t xml:space="preserve">Analysis, Visualizations &amp; Thesis Writing</w:t>
            </w:r>
            <w:r>
              <w:rPr>
                <w:rFonts w:ascii="Arial" w:cs="Arial" w:eastAsia="Arial" w:hAnsi="Arial"/>
                <w:color w:val="DDDDDD"/>
                <w:sz w:val="20"/>
                <w:szCs w:val="20"/>
              </w:rPr>
              <w:t xml:space="preserve">        Month 4  |  Weeks 13-16</w:t>
            </w:r>
          </w:p>
        </w:tc>
      </w:tr>
    </w:tbl>
    <w:p>
      <w:pPr>
        <w:spacing w:after="160"/>
      </w:pPr>
      <w:r>
        <w:t xml:space="preserve"/>
      </w:r>
    </w:p>
    <w:p>
      <w:pPr>
        <w:spacing w:after="140"/>
      </w:pPr>
      <w:r>
        <w:rPr>
          <w:rFonts w:ascii="Arial" w:cs="Arial" w:eastAsia="Arial" w:hAnsi="Arial"/>
          <w:sz w:val="20"/>
          <w:szCs w:val="20"/>
        </w:rPr>
        <w:t xml:space="preserve">The final phase transforms collected data into a defensible academic thesis. The contribution is not simply that BentoML is faster or slower — it is a precise, quantified characterization of when, why, and by how much, accompanied by a clear engineering recommendation.</w:t>
      </w:r>
    </w:p>
    <w:p>
      <w:pPr>
        <w:spacing w:after="160"/>
      </w:pPr>
      <w:r>
        <w:t xml:space="preserve"/>
      </w:r>
    </w:p>
    <w:p>
      <w:pPr>
        <w:pStyle w:val="Heading2"/>
        <w:spacing w:before="280" w:after="80"/>
      </w:pPr>
      <w:r>
        <w:rPr>
          <w:rFonts w:ascii="Arial" w:cs="Arial" w:eastAsia="Arial" w:hAnsi="Arial"/>
          <w:b/>
          <w:bCs/>
          <w:color w:val="2E75B6"/>
          <w:sz w:val="22"/>
          <w:szCs w:val="22"/>
        </w:rPr>
        <w:t xml:space="preserve">Week 13 - Statistical Analysis</w:t>
      </w:r>
    </w:p>
    <w:p>
      <w:pPr>
        <w:spacing w:after="140"/>
      </w:pPr>
      <w:r>
        <w:rPr>
          <w:rFonts w:ascii="Arial" w:cs="Arial" w:eastAsia="Arial" w:hAnsi="Arial"/>
          <w:sz w:val="20"/>
          <w:szCs w:val="20"/>
        </w:rPr>
        <w:t xml:space="preserve">Raw latency numbers are observations, not findings. Statistical analysis is required to determine whether observed differences are real or measurement noise, and to quantify the magnitude of effects.</w:t>
      </w:r>
    </w:p>
    <w:p>
      <w:pPr>
        <w:pStyle w:val="ListParagraph"/>
        <w:numPr>
          <w:ilvl w:val="0"/>
          <w:numId w:val="2"/>
        </w:numPr>
        <w:spacing w:after="80"/>
      </w:pPr>
      <w:r>
        <w:rPr>
          <w:rFonts w:ascii="Arial" w:cs="Arial" w:eastAsia="Arial" w:hAnsi="Arial"/>
          <w:sz w:val="20"/>
          <w:szCs w:val="20"/>
        </w:rPr>
        <w:t xml:space="preserve">Use Python with pandas, scipy, and matplotlib/seaborn — keep everything in reproducible Jupyter notebooks committed to the repository</w:t>
      </w:r>
    </w:p>
    <w:p>
      <w:pPr>
        <w:pStyle w:val="ListParagraph"/>
        <w:numPr>
          <w:ilvl w:val="0"/>
          <w:numId w:val="2"/>
        </w:numPr>
        <w:spacing w:after="80"/>
      </w:pPr>
      <w:r>
        <w:rPr>
          <w:rFonts w:ascii="Arial" w:cs="Arial" w:eastAsia="Arial" w:hAnsi="Arial"/>
          <w:sz w:val="20"/>
          <w:szCs w:val="20"/>
        </w:rPr>
        <w:t xml:space="preserve">Apply the Mann-Whitney U test (non-parametric, appropriate for latency distributions which are not normally distributed) to determine whether FastAPI and BentoML P99 values are statistically significantly different at each concurrency level</w:t>
      </w:r>
    </w:p>
    <w:p>
      <w:pPr>
        <w:pStyle w:val="ListParagraph"/>
        <w:numPr>
          <w:ilvl w:val="0"/>
          <w:numId w:val="2"/>
        </w:numPr>
        <w:spacing w:after="80"/>
      </w:pPr>
      <w:r>
        <w:rPr>
          <w:rFonts w:ascii="Arial" w:cs="Arial" w:eastAsia="Arial" w:hAnsi="Arial"/>
          <w:sz w:val="20"/>
          <w:szCs w:val="20"/>
        </w:rPr>
        <w:t xml:space="preserve">Compute effect size using Cliff's delta — statistical significance alone is insufficient; a 2ms difference may be significant but not practically meaningful</w:t>
      </w:r>
    </w:p>
    <w:p>
      <w:pPr>
        <w:pStyle w:val="ListParagraph"/>
        <w:numPr>
          <w:ilvl w:val="0"/>
          <w:numId w:val="2"/>
        </w:numPr>
        <w:spacing w:after="80"/>
      </w:pPr>
      <w:r>
        <w:rPr>
          <w:rFonts w:ascii="Arial" w:cs="Arial" w:eastAsia="Arial" w:hAnsi="Arial"/>
          <w:sz w:val="20"/>
          <w:szCs w:val="20"/>
        </w:rPr>
        <w:t xml:space="preserve">Identify the concurrency crossover point: the precise concurrent user count at which BentoML's P99 first becomes lower than FastAPI's P99</w:t>
      </w:r>
    </w:p>
    <w:p>
      <w:pPr>
        <w:pStyle w:val="ListParagraph"/>
        <w:numPr>
          <w:ilvl w:val="0"/>
          <w:numId w:val="2"/>
        </w:numPr>
        <w:spacing w:after="80"/>
      </w:pPr>
      <w:r>
        <w:rPr>
          <w:rFonts w:ascii="Arial" w:cs="Arial" w:eastAsia="Arial" w:hAnsi="Arial"/>
          <w:sz w:val="20"/>
          <w:szCs w:val="20"/>
        </w:rPr>
        <w:t xml:space="preserve">Characterize the batch fill rate vs. P99 relationship — this is likely the most original finding and should be presented carefully</w:t>
      </w:r>
    </w:p>
    <w:p>
      <w:pPr>
        <w:spacing w:after="160"/>
      </w:pPr>
      <w:r>
        <w:t xml:space="preserve"/>
      </w:r>
    </w:p>
    <w:p>
      <w:pPr>
        <w:pStyle w:val="Heading2"/>
        <w:spacing w:before="280" w:after="80"/>
      </w:pPr>
      <w:r>
        <w:rPr>
          <w:rFonts w:ascii="Arial" w:cs="Arial" w:eastAsia="Arial" w:hAnsi="Arial"/>
          <w:b/>
          <w:bCs/>
          <w:color w:val="2E75B6"/>
          <w:sz w:val="22"/>
          <w:szCs w:val="22"/>
        </w:rPr>
        <w:t xml:space="preserve">Week 14 - Visualizations &amp; Results Chapter</w:t>
      </w:r>
    </w:p>
    <w:p>
      <w:pPr>
        <w:spacing w:after="140"/>
      </w:pPr>
      <w:r>
        <w:rPr>
          <w:rFonts w:ascii="Arial" w:cs="Arial" w:eastAsia="Arial" w:hAnsi="Arial"/>
          <w:sz w:val="20"/>
          <w:szCs w:val="20"/>
        </w:rPr>
        <w:t xml:space="preserve">Visualizations carry the empirical weight of the thesis. They must be publication-quality, clearly labeled, and interpretable without reading surrounding text. Produce all figures as vector SVG or 300dpi PNG.</w:t>
      </w:r>
    </w:p>
    <w:p>
      <w:pPr>
        <w:pStyle w:val="ListParagraph"/>
        <w:numPr>
          <w:ilvl w:val="0"/>
          <w:numId w:val="2"/>
        </w:numPr>
        <w:spacing w:after="80"/>
      </w:pPr>
      <w:r>
        <w:rPr>
          <w:rFonts w:ascii="Arial" w:cs="Arial" w:eastAsia="Arial" w:hAnsi="Arial"/>
          <w:sz w:val="20"/>
          <w:szCs w:val="20"/>
        </w:rPr>
        <w:t xml:space="preserve">P99 Latency vs. Concurrency Line Chart: FastAPI, BentoML(8), BentoML(32), BentoML(128) on one plot with confidence bands from the 3 independent runs</w:t>
      </w:r>
    </w:p>
    <w:p>
      <w:pPr>
        <w:pStyle w:val="ListParagraph"/>
        <w:numPr>
          <w:ilvl w:val="0"/>
          <w:numId w:val="2"/>
        </w:numPr>
        <w:spacing w:after="80"/>
      </w:pPr>
      <w:r>
        <w:rPr>
          <w:rFonts w:ascii="Arial" w:cs="Arial" w:eastAsia="Arial" w:hAnsi="Arial"/>
          <w:sz w:val="20"/>
          <w:szCs w:val="20"/>
        </w:rPr>
        <w:t xml:space="preserve">Latency Distribution Box Plots: side-by-side at the 3 most revealing concurrency levels (low, crossover, saturation)</w:t>
      </w:r>
    </w:p>
    <w:p>
      <w:pPr>
        <w:pStyle w:val="ListParagraph"/>
        <w:numPr>
          <w:ilvl w:val="0"/>
          <w:numId w:val="2"/>
        </w:numPr>
        <w:spacing w:after="80"/>
      </w:pPr>
      <w:r>
        <w:rPr>
          <w:rFonts w:ascii="Arial" w:cs="Arial" w:eastAsia="Arial" w:hAnsi="Arial"/>
          <w:sz w:val="20"/>
          <w:szCs w:val="20"/>
        </w:rPr>
        <w:t xml:space="preserve">Throughput (RPS) vs. Concurrency: same four configurations — this shows the throughput/latency trade-off explicitly</w:t>
      </w:r>
    </w:p>
    <w:p>
      <w:pPr>
        <w:pStyle w:val="ListParagraph"/>
        <w:numPr>
          <w:ilvl w:val="0"/>
          <w:numId w:val="2"/>
        </w:numPr>
        <w:spacing w:after="80"/>
      </w:pPr>
      <w:r>
        <w:rPr>
          <w:rFonts w:ascii="Arial" w:cs="Arial" w:eastAsia="Arial" w:hAnsi="Arial"/>
          <w:sz w:val="20"/>
          <w:szCs w:val="20"/>
        </w:rPr>
        <w:t xml:space="preserve">Cold Start Convergence Curve: per-request latency over the first 200 requests after cold start, with the warm-up threshold annotated</w:t>
      </w:r>
    </w:p>
    <w:p>
      <w:pPr>
        <w:pStyle w:val="ListParagraph"/>
        <w:numPr>
          <w:ilvl w:val="0"/>
          <w:numId w:val="2"/>
        </w:numPr>
        <w:spacing w:after="80"/>
      </w:pPr>
      <w:r>
        <w:rPr>
          <w:rFonts w:ascii="Arial" w:cs="Arial" w:eastAsia="Arial" w:hAnsi="Arial"/>
          <w:sz w:val="20"/>
          <w:szCs w:val="20"/>
        </w:rPr>
        <w:t xml:space="preserve">Batch Fill Rate Heatmap: batch size configuration vs. concurrency level, showing average fill percentage — the mechanistic explanation for the observed P99 behavior</w:t>
      </w:r>
    </w:p>
    <w:p>
      <w:pPr>
        <w:pStyle w:val="ListParagraph"/>
        <w:numPr>
          <w:ilvl w:val="0"/>
          <w:numId w:val="2"/>
        </w:numPr>
        <w:spacing w:after="80"/>
      </w:pPr>
      <w:r>
        <w:rPr>
          <w:rFonts w:ascii="Arial" w:cs="Arial" w:eastAsia="Arial" w:hAnsi="Arial"/>
          <w:sz w:val="20"/>
          <w:szCs w:val="20"/>
        </w:rPr>
        <w:t xml:space="preserve">Write the Results chapter: present findings without interpretation using precise language, e.g., 'BentoML with batch size 32 reduced P99 latency by 34% vs. FastAPI at 200 concurrent users (p&lt;0.01, Cliff's delta=0.71)'</w:t>
      </w:r>
    </w:p>
    <w:p>
      <w:pPr>
        <w:spacing w:after="160"/>
      </w:pPr>
      <w:r>
        <w:t xml:space="preserve"/>
      </w:r>
    </w:p>
    <w:p>
      <w:pPr>
        <w:pStyle w:val="Heading2"/>
        <w:spacing w:before="280" w:after="80"/>
      </w:pPr>
      <w:r>
        <w:rPr>
          <w:rFonts w:ascii="Arial" w:cs="Arial" w:eastAsia="Arial" w:hAnsi="Arial"/>
          <w:b/>
          <w:bCs/>
          <w:color w:val="2E75B6"/>
          <w:sz w:val="22"/>
          <w:szCs w:val="22"/>
        </w:rPr>
        <w:t xml:space="preserve">Week 15 - Discussion, Conclusion &amp; Architecture Blueprint</w:t>
      </w:r>
    </w:p>
    <w:p>
      <w:pPr>
        <w:spacing w:after="140"/>
      </w:pPr>
      <w:r>
        <w:rPr>
          <w:rFonts w:ascii="Arial" w:cs="Arial" w:eastAsia="Arial" w:hAnsi="Arial"/>
          <w:sz w:val="20"/>
          <w:szCs w:val="20"/>
        </w:rPr>
        <w:t xml:space="preserve">This is the intellectual core of the thesis — explaining why the results occurred and what practitioners should do with this knowledge.</w:t>
      </w:r>
    </w:p>
    <w:p>
      <w:pPr>
        <w:pStyle w:val="ListParagraph"/>
        <w:numPr>
          <w:ilvl w:val="0"/>
          <w:numId w:val="2"/>
        </w:numPr>
        <w:spacing w:after="80"/>
      </w:pPr>
      <w:r>
        <w:rPr>
          <w:rFonts w:ascii="Arial" w:cs="Arial" w:eastAsia="Arial" w:hAnsi="Arial"/>
          <w:sz w:val="20"/>
          <w:szCs w:val="20"/>
        </w:rPr>
        <w:t xml:space="preserve">Discussion: explain the mechanism — why does adaptive batching compress the P99 tail? Connect it to queuing theory: batching converts many small dispatch calls into fewer, larger operations, reducing scheduling jitter and enabling more predictable hardware utilization</w:t>
      </w:r>
    </w:p>
    <w:p>
      <w:pPr>
        <w:pStyle w:val="ListParagraph"/>
        <w:numPr>
          <w:ilvl w:val="0"/>
          <w:numId w:val="2"/>
        </w:numPr>
        <w:spacing w:after="80"/>
      </w:pPr>
      <w:r>
        <w:rPr>
          <w:rFonts w:ascii="Arial" w:cs="Arial" w:eastAsia="Arial" w:hAnsi="Arial"/>
          <w:sz w:val="20"/>
          <w:szCs w:val="20"/>
        </w:rPr>
        <w:t xml:space="preserve">Limitations: acknowledge that results were obtained on a single machine without network overhead; real serverless environments add cold start variance from network-attached storage and container image pulling</w:t>
      </w:r>
    </w:p>
    <w:p>
      <w:pPr>
        <w:pStyle w:val="ListParagraph"/>
        <w:numPr>
          <w:ilvl w:val="0"/>
          <w:numId w:val="2"/>
        </w:numPr>
        <w:spacing w:after="80"/>
      </w:pPr>
      <w:r>
        <w:rPr>
          <w:rFonts w:ascii="Arial" w:cs="Arial" w:eastAsia="Arial" w:hAnsi="Arial"/>
          <w:sz w:val="20"/>
          <w:szCs w:val="20"/>
        </w:rPr>
        <w:t xml:space="preserve">Architecture Blueprint: produce a decision flowchart for practitioners — 'If your SLA requires P99 &lt; X ms and you expect Y concurrent users, use configuration Z'</w:t>
      </w:r>
    </w:p>
    <w:p>
      <w:pPr>
        <w:pStyle w:val="ListParagraph"/>
        <w:numPr>
          <w:ilvl w:val="0"/>
          <w:numId w:val="2"/>
        </w:numPr>
        <w:spacing w:after="80"/>
      </w:pPr>
      <w:r>
        <w:rPr>
          <w:rFonts w:ascii="Arial" w:cs="Arial" w:eastAsia="Arial" w:hAnsi="Arial"/>
          <w:sz w:val="20"/>
          <w:szCs w:val="20"/>
        </w:rPr>
        <w:t xml:space="preserve">Conclusion: answer the original research question directly and explicitly — do not leave it implicit</w:t>
      </w:r>
    </w:p>
    <w:p>
      <w:pPr>
        <w:pStyle w:val="ListParagraph"/>
        <w:numPr>
          <w:ilvl w:val="0"/>
          <w:numId w:val="2"/>
        </w:numPr>
        <w:spacing w:after="80"/>
      </w:pPr>
      <w:r>
        <w:rPr>
          <w:rFonts w:ascii="Arial" w:cs="Arial" w:eastAsia="Arial" w:hAnsi="Arial"/>
          <w:sz w:val="20"/>
          <w:szCs w:val="20"/>
        </w:rPr>
        <w:t xml:space="preserve">Future Work: note natural extensions such as testing Triton Inference Server, adding network latency simulation, or testing with model ensembles</w:t>
      </w:r>
    </w:p>
    <w:p>
      <w:pPr>
        <w:spacing w:after="160"/>
      </w:pPr>
      <w:r>
        <w:t xml:space="preserve"/>
      </w:r>
    </w:p>
    <w:p>
      <w:pPr>
        <w:pStyle w:val="Heading2"/>
        <w:spacing w:before="280" w:after="80"/>
      </w:pPr>
      <w:r>
        <w:rPr>
          <w:rFonts w:ascii="Arial" w:cs="Arial" w:eastAsia="Arial" w:hAnsi="Arial"/>
          <w:b/>
          <w:bCs/>
          <w:color w:val="2E75B6"/>
          <w:sz w:val="22"/>
          <w:szCs w:val="22"/>
        </w:rPr>
        <w:t xml:space="preserve">Week 16 - Final Review, Formatting &amp; Submission</w:t>
      </w:r>
    </w:p>
    <w:p>
      <w:pPr>
        <w:spacing w:after="140"/>
      </w:pPr>
      <w:r>
        <w:rPr>
          <w:rFonts w:ascii="Arial" w:cs="Arial" w:eastAsia="Arial" w:hAnsi="Arial"/>
          <w:sz w:val="20"/>
          <w:szCs w:val="20"/>
        </w:rPr>
        <w:t xml:space="preserve">The final week is about polish, coherence, and correctness. No new findings should be introduced at this stage.</w:t>
      </w:r>
    </w:p>
    <w:p>
      <w:pPr>
        <w:pStyle w:val="ListParagraph"/>
        <w:numPr>
          <w:ilvl w:val="0"/>
          <w:numId w:val="2"/>
        </w:numPr>
        <w:spacing w:after="80"/>
      </w:pPr>
      <w:r>
        <w:rPr>
          <w:rFonts w:ascii="Arial" w:cs="Arial" w:eastAsia="Arial" w:hAnsi="Arial"/>
          <w:sz w:val="20"/>
          <w:szCs w:val="20"/>
        </w:rPr>
        <w:t xml:space="preserve">Complete Introduction and Background chapters, ensuring they frame exactly the hypothesis your experiments tested</w:t>
      </w:r>
    </w:p>
    <w:p>
      <w:pPr>
        <w:pStyle w:val="ListParagraph"/>
        <w:numPr>
          <w:ilvl w:val="0"/>
          <w:numId w:val="2"/>
        </w:numPr>
        <w:spacing w:after="80"/>
      </w:pPr>
      <w:r>
        <w:rPr>
          <w:rFonts w:ascii="Arial" w:cs="Arial" w:eastAsia="Arial" w:hAnsi="Arial"/>
          <w:sz w:val="20"/>
          <w:szCs w:val="20"/>
        </w:rPr>
        <w:t xml:space="preserve">Verify all figures are referenced in-text and have proper captions and axis labels</w:t>
      </w:r>
    </w:p>
    <w:p>
      <w:pPr>
        <w:pStyle w:val="ListParagraph"/>
        <w:numPr>
          <w:ilvl w:val="0"/>
          <w:numId w:val="2"/>
        </w:numPr>
        <w:spacing w:after="80"/>
      </w:pPr>
      <w:r>
        <w:rPr>
          <w:rFonts w:ascii="Arial" w:cs="Arial" w:eastAsia="Arial" w:hAnsi="Arial"/>
          <w:sz w:val="20"/>
          <w:szCs w:val="20"/>
        </w:rPr>
        <w:t xml:space="preserve">Confirm all citations follow the format required by your institution (ACM, IEEE, or ABNT)</w:t>
      </w:r>
    </w:p>
    <w:p>
      <w:pPr>
        <w:pStyle w:val="ListParagraph"/>
        <w:numPr>
          <w:ilvl w:val="0"/>
          <w:numId w:val="2"/>
        </w:numPr>
        <w:spacing w:after="80"/>
      </w:pPr>
      <w:r>
        <w:rPr>
          <w:rFonts w:ascii="Arial" w:cs="Arial" w:eastAsia="Arial" w:hAnsi="Arial"/>
          <w:sz w:val="20"/>
          <w:szCs w:val="20"/>
        </w:rPr>
        <w:t xml:space="preserve">Final reproducibility check: clone the repository to a clean environment and verify all experiments can be re-run from scratch</w:t>
      </w:r>
    </w:p>
    <w:p>
      <w:pPr>
        <w:pStyle w:val="ListParagraph"/>
        <w:numPr>
          <w:ilvl w:val="0"/>
          <w:numId w:val="2"/>
        </w:numPr>
        <w:spacing w:after="80"/>
      </w:pPr>
      <w:r>
        <w:rPr>
          <w:rFonts w:ascii="Arial" w:cs="Arial" w:eastAsia="Arial" w:hAnsi="Arial"/>
          <w:sz w:val="20"/>
          <w:szCs w:val="20"/>
        </w:rPr>
        <w:t xml:space="preserve">Submission: thesis document + repository link with access granted to the evaluation committee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60"/>
        <w:gridCol w:w="3600"/>
      </w:tblGrid>
      <w:tr>
        <w:tc>
          <w:tcPr>
            <w:tcW w:type="dxa" w:w="9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Week</w:t>
            </w:r>
          </w:p>
        </w:tc>
        <w:tc>
          <w:tcPr>
            <w:tcW w:type="dxa" w:w="48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Activity</w:t>
            </w:r>
          </w:p>
        </w:tc>
        <w:tc>
          <w:tcPr>
            <w:tcW w:type="dxa" w:w="3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Deliverable</w:t>
            </w:r>
          </w:p>
        </w:tc>
      </w:tr>
      <w:tr>
        <w:tc>
          <w:tcPr>
            <w:tcW w:type="dxa" w:w="9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000000"/>
                <w:sz w:val="18"/>
                <w:szCs w:val="18"/>
              </w:rPr>
              <w:t xml:space="preserve">Wk 13</w:t>
            </w:r>
          </w:p>
        </w:tc>
        <w:tc>
          <w:tcPr>
            <w:tcW w:type="dxa" w:w="48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000000"/>
                <w:sz w:val="18"/>
                <w:szCs w:val="18"/>
              </w:rPr>
              <w:t xml:space="preserve">Statistical analysis complete</w:t>
            </w:r>
          </w:p>
        </w:tc>
        <w:tc>
          <w:tcPr>
            <w:tcW w:type="dxa" w:w="3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000000"/>
                <w:sz w:val="18"/>
                <w:szCs w:val="18"/>
              </w:rPr>
              <w:t xml:space="preserve">Analysis notebook + significance tables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Wk 14</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All figures produced + Results chapter written</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5 publication-quality figures + Results chapter</w:t>
            </w:r>
          </w:p>
        </w:tc>
      </w:tr>
      <w:tr>
        <w:tc>
          <w:tcPr>
            <w:tcW w:type="dxa" w:w="9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000000"/>
                <w:sz w:val="18"/>
                <w:szCs w:val="18"/>
              </w:rPr>
              <w:t xml:space="preserve">Wk 15</w:t>
            </w:r>
          </w:p>
        </w:tc>
        <w:tc>
          <w:tcPr>
            <w:tcW w:type="dxa" w:w="48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000000"/>
                <w:sz w:val="18"/>
                <w:szCs w:val="18"/>
              </w:rPr>
              <w:t xml:space="preserve">Discussion, Blueprint and Conclusion written</w:t>
            </w:r>
          </w:p>
        </w:tc>
        <w:tc>
          <w:tcPr>
            <w:tcW w:type="dxa" w:w="3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000000"/>
                <w:sz w:val="18"/>
                <w:szCs w:val="18"/>
              </w:rPr>
              <w:t xml:space="preserve">Architecture decision flowchart + full draft</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Wk 16</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Final review, polish, submission</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Final thesis document + clean repository</w:t>
            </w:r>
          </w:p>
        </w:tc>
      </w:tr>
    </w:tbl>
    <w:p>
      <w:pPr>
        <w:spacing w:after="160"/>
      </w:pPr>
      <w:r>
        <w:t xml:space="preserve"/>
      </w:r>
    </w:p>
    <w:p>
      <w:r>
        <w:br w:type="page"/>
      </w:r>
    </w:p>
    <w:p>
      <w:pPr>
        <w:pStyle w:val="Heading1"/>
        <w:pBdr>
          <w:bottom w:val="single" w:color="2E75B6" w:sz="6" w:space="6"/>
        </w:pBdr>
        <w:spacing w:before="360" w:after="120"/>
      </w:pPr>
      <w:r>
        <w:rPr>
          <w:rFonts w:ascii="Arial" w:cs="Arial" w:eastAsia="Arial" w:hAnsi="Arial"/>
          <w:b/>
          <w:bCs/>
          <w:color w:val="1F4E79"/>
          <w:sz w:val="28"/>
          <w:szCs w:val="28"/>
        </w:rPr>
        <w:t xml:space="preserve">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200"/>
        <w:gridCol w:w="2880"/>
        <w:gridCol w:w="2160"/>
      </w:tblGrid>
      <w:tr>
        <w:tc>
          <w:tcPr>
            <w:tcW w:type="dxa" w:w="312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Risk</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Likelihood</w:t>
            </w:r>
          </w:p>
        </w:tc>
        <w:tc>
          <w:tcPr>
            <w:tcW w:type="dxa" w:w="28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Mitigation</w:t>
            </w:r>
          </w:p>
        </w:tc>
        <w:tc>
          <w:tcPr>
            <w:tcW w:type="dxa" w:w="2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Fallback</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000000"/>
                <w:sz w:val="18"/>
                <w:szCs w:val="18"/>
              </w:rPr>
              <w:t xml:space="preserve">BentoML adaptive batching config underdocumented or behaves unexpectedly</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000000"/>
                <w:sz w:val="18"/>
                <w:szCs w:val="18"/>
              </w:rPr>
              <w:t xml:space="preserve">Medium</w:t>
            </w:r>
          </w:p>
        </w:tc>
        <w:tc>
          <w:tcPr>
            <w:tcW w:type="dxa" w:w="28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000000"/>
                <w:sz w:val="18"/>
                <w:szCs w:val="18"/>
              </w:rPr>
              <w:t xml:space="preserve">Allocate all of Week 6 to config testing; use BentoML GitHub Discussions for community support</w:t>
            </w:r>
          </w:p>
        </w:tc>
        <w:tc>
          <w:tcPr>
            <w:tcW w:type="dxa" w:w="2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000000"/>
                <w:sz w:val="18"/>
                <w:szCs w:val="18"/>
              </w:rPr>
              <w:t xml:space="preserve">Use fixed-batch BentoML mode instead of adaptive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Airline dataset preprocessing too complex to iterate on quickly</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Low-Med</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Use a 10% stratified sample during development; switch to full dataset for final experiments only</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Replace with the Higgs dataset (no categoricals, simpler preprocessing)</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000000"/>
                <w:sz w:val="18"/>
                <w:szCs w:val="18"/>
              </w:rPr>
              <w:t xml:space="preserve">Hardware inconsistency between runs (thermal throttling, background processes)</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000000"/>
                <w:sz w:val="18"/>
                <w:szCs w:val="18"/>
              </w:rPr>
              <w:t xml:space="preserve">Medium</w:t>
            </w:r>
          </w:p>
        </w:tc>
        <w:tc>
          <w:tcPr>
            <w:tcW w:type="dxa" w:w="28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000000"/>
                <w:sz w:val="18"/>
                <w:szCs w:val="18"/>
              </w:rPr>
              <w:t xml:space="preserve">Disable CPU frequency scaling; run experiments at night; monitor CPU/RAM with psutil in background</w:t>
            </w:r>
          </w:p>
        </w:tc>
        <w:tc>
          <w:tcPr>
            <w:tcW w:type="dxa" w:w="2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000000"/>
                <w:sz w:val="18"/>
                <w:szCs w:val="18"/>
              </w:rPr>
              <w:t xml:space="preserve">Report confidence intervals and flag high-variance runs explicitly in the thesis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ONNX export produces numerically different predictions from native XGBoost</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Low</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Validate parity on 1,000 samples in Week 3 with absolute tolerance 1e-5</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Deploy native XGBoost (not ONNX) in both pipelines to preserve comparison validity</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000000"/>
                <w:sz w:val="18"/>
                <w:szCs w:val="18"/>
              </w:rPr>
              <w:t xml:space="preserve">Results are not statistically significant — no clear winner found</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000000"/>
                <w:sz w:val="18"/>
                <w:szCs w:val="18"/>
              </w:rPr>
              <w:t xml:space="preserve">Low-Med</w:t>
            </w:r>
          </w:p>
        </w:tc>
        <w:tc>
          <w:tcPr>
            <w:tcW w:type="dxa" w:w="28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000000"/>
                <w:sz w:val="18"/>
                <w:szCs w:val="18"/>
              </w:rPr>
              <w:t xml:space="preserve">A null result is valid: document the conditions under which both approaches are equivalent — this is a real finding</w:t>
            </w:r>
          </w:p>
        </w:tc>
        <w:tc>
          <w:tcPr>
            <w:tcW w:type="dxa" w:w="2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000000"/>
                <w:sz w:val="18"/>
                <w:szCs w:val="18"/>
              </w:rPr>
              <w:t xml:space="preserve">Narrow scope to cold start behavior only, where differences are likely larger and clearer</w:t>
            </w:r>
          </w:p>
        </w:tc>
      </w:tr>
    </w:tbl>
    <w:p>
      <w:pPr>
        <w:spacing w:after="160"/>
      </w:pPr>
      <w:r>
        <w:t xml:space="preserve"/>
      </w:r>
    </w:p>
    <w:p>
      <w:pPr>
        <w:pStyle w:val="Heading1"/>
        <w:pBdr>
          <w:bottom w:val="single" w:color="2E75B6" w:sz="6" w:space="6"/>
        </w:pBdr>
        <w:spacing w:before="360" w:after="120"/>
      </w:pPr>
      <w:r>
        <w:rPr>
          <w:rFonts w:ascii="Arial" w:cs="Arial" w:eastAsia="Arial" w:hAnsi="Arial"/>
          <w:b/>
          <w:bCs/>
          <w:color w:val="1F4E79"/>
          <w:sz w:val="28"/>
          <w:szCs w:val="28"/>
        </w:rPr>
        <w:t xml:space="preserve">Technical Dependencies</w:t>
      </w:r>
    </w:p>
    <w:p>
      <w:pPr>
        <w:spacing w:after="140"/>
      </w:pPr>
      <w:r>
        <w:rPr>
          <w:rFonts w:ascii="Arial" w:cs="Arial" w:eastAsia="Arial" w:hAnsi="Arial"/>
          <w:sz w:val="20"/>
          <w:szCs w:val="20"/>
        </w:rPr>
        <w:t xml:space="preserve">All tools are open-source and free for academic use. Pin versions in requirements.txt at the start of Phase 1 and do not upgrade them during the project.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Tool</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Version</w:t>
            </w:r>
          </w:p>
        </w:tc>
        <w:tc>
          <w:tcPr>
            <w:tcW w:type="dxa" w:w="5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Purpose</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000000"/>
                <w:sz w:val="18"/>
                <w:szCs w:val="18"/>
              </w:rPr>
              <w:t xml:space="preserve">XGBoost</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000000"/>
                <w:sz w:val="18"/>
                <w:szCs w:val="18"/>
              </w:rPr>
              <w:t xml:space="preserve">&gt;= 2.0</w:t>
            </w:r>
          </w:p>
        </w:tc>
        <w:tc>
          <w:tcPr>
            <w:tcW w:type="dxa" w:w="5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000000"/>
                <w:sz w:val="18"/>
                <w:szCs w:val="18"/>
              </w:rPr>
              <w:t xml:space="preserve">Model training — native ONNX export supported in 2.x</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ONNX Runtime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&gt;= 1.17</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Model inference engine in both serving pipelines</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000000"/>
                <w:sz w:val="18"/>
                <w:szCs w:val="18"/>
              </w:rPr>
              <w:t xml:space="preserve">FastAPI + Uvicorn</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000000"/>
                <w:sz w:val="18"/>
                <w:szCs w:val="18"/>
              </w:rPr>
              <w:t xml:space="preserve">&gt;= 0.110</w:t>
            </w:r>
          </w:p>
        </w:tc>
        <w:tc>
          <w:tcPr>
            <w:tcW w:type="dxa" w:w="5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000000"/>
                <w:sz w:val="18"/>
                <w:szCs w:val="18"/>
              </w:rPr>
              <w:t xml:space="preserve">Async web framework for the baseline (control) pipeline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BentoML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&gt;= 1.2</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Specialized ML server with adaptive batching (treatment pipeline)</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000000"/>
                <w:sz w:val="18"/>
                <w:szCs w:val="18"/>
              </w:rPr>
              <w:t xml:space="preserve">Locust</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000000"/>
                <w:sz w:val="18"/>
                <w:szCs w:val="18"/>
              </w:rPr>
              <w:t xml:space="preserve">&gt;= 2.x</w:t>
            </w:r>
          </w:p>
        </w:tc>
        <w:tc>
          <w:tcPr>
            <w:tcW w:type="dxa" w:w="5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000000"/>
                <w:sz w:val="18"/>
                <w:szCs w:val="18"/>
              </w:rPr>
              <w:t xml:space="preserve">Load generation with constant-arrival-rate scheduling (prevents coordinated omission)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Docker + Compose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&gt;= 25</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Containerized, reproducible deployment of both pipelines</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000000"/>
                <w:sz w:val="18"/>
                <w:szCs w:val="18"/>
              </w:rPr>
              <w:t xml:space="preserve">scipy + pandas + seaborn</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000000"/>
                <w:sz w:val="18"/>
                <w:szCs w:val="18"/>
              </w:rPr>
              <w:t xml:space="preserve">latest stable</w:t>
            </w:r>
          </w:p>
        </w:tc>
        <w:tc>
          <w:tcPr>
            <w:tcW w:type="dxa" w:w="5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000000"/>
                <w:sz w:val="18"/>
                <w:szCs w:val="18"/>
              </w:rPr>
              <w:t xml:space="preserve">Statistical analysis (Mann-Whitney U, Cliff's delta) and publication-quality visualizations</w:t>
            </w:r>
          </w:p>
        </w:tc>
      </w:tr>
    </w:tbl>
    <w:p>
      <w:pPr>
        <w:spacing w:after="160"/>
      </w:pPr>
      <w:r>
        <w:t xml:space="preserve"/>
      </w:r>
    </w:p>
    <w:p>
      <w:pPr>
        <w:pStyle w:val="Heading1"/>
        <w:pBdr>
          <w:bottom w:val="single" w:color="2E75B6" w:sz="6" w:space="6"/>
        </w:pBdr>
        <w:spacing w:before="360" w:after="120"/>
      </w:pPr>
      <w:r>
        <w:rPr>
          <w:rFonts w:ascii="Arial" w:cs="Arial" w:eastAsia="Arial" w:hAnsi="Arial"/>
          <w:b/>
          <w:bCs/>
          <w:color w:val="1F4E79"/>
          <w:sz w:val="28"/>
          <w:szCs w:val="28"/>
        </w:rPr>
        <w:t xml:space="preserve">Final Note</w:t>
      </w:r>
    </w:p>
    <w:p>
      <w:pPr>
        <w:spacing w:after="140"/>
      </w:pPr>
      <w:r>
        <w:rPr>
          <w:rFonts w:ascii="Arial" w:cs="Arial" w:eastAsia="Arial" w:hAnsi="Arial"/>
          <w:sz w:val="20"/>
          <w:szCs w:val="20"/>
        </w:rPr>
        <w:t xml:space="preserve">The most important principle to carry through this project: the serving layer is the subject of study, not the model. You are doing systems research using an ML model as a realistic workload. Keep this framing front and center in every chapter, and the contribution will be clear, defensible, and directly applicable to the kind of engineering decisions MLOps engineers make every day.</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Graduation Project Plan  |  Theme 2: Tail Latency (P99) Optimization  |  Page </w:t>
    </w:r>
    <w:r>
      <w:rPr>
        <w:rFonts w:ascii="Arial" w:cs="Arial" w:eastAsia="Arial" w:hAnsi="Arial"/>
        <w:sz w:val="16"/>
        <w:szCs w:val="1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28"/>
      <w:szCs w:val="28"/>
    </w:rPr>
  </w:style>
  <w:style w:type="paragraph" w:styleId="Heading2">
    <w:name w:val="Heading 2"/>
    <w:basedOn w:val="Normal"/>
    <w:next w:val="Normal"/>
    <w:qFormat/>
    <w:pPr>
      <w:spacing w:before="280" w:after="8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2026-03-06T15:32:09.204Z</dcterms:created>
  <dcterms:modified xsi:type="dcterms:W3CDTF">2026-03-06T15:32:09.205Z</dcterms:modified>
</cp:coreProperties>
</file>

<file path=docProps/custom.xml><?xml version="1.0" encoding="utf-8"?>
<Properties xmlns="http://schemas.openxmlformats.org/officeDocument/2006/custom-properties" xmlns:vt="http://schemas.openxmlformats.org/officeDocument/2006/docPropsVTypes"/>
</file>