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60"/>
        <w:jc w:val="center"/>
      </w:pPr>
      <w:r>
        <w:rPr>
          <w:rFonts w:ascii="Arial" w:cs="Arial" w:eastAsia="Arial" w:hAnsi="Arial"/>
          <w:b/>
          <w:bCs/>
          <w:color w:val="1F3864"/>
          <w:sz w:val="72"/>
          <w:szCs w:val="72"/>
        </w:rPr>
        <w:t xml:space="preserve">AV Bridge</w:t>
      </w:r>
    </w:p>
    <w:p>
      <w:pPr>
        <w:spacing w:after="80"/>
        <w:jc w:val="center"/>
      </w:pPr>
      <w:r>
        <w:rPr>
          <w:rFonts w:ascii="Arial" w:cs="Arial" w:eastAsia="Arial" w:hAnsi="Arial"/>
          <w:color w:val="2E5FA3"/>
          <w:sz w:val="40"/>
          <w:szCs w:val="40"/>
        </w:rPr>
        <w:t xml:space="preserve">On-Premises AV Device Gateway</w:t>
      </w:r>
    </w:p>
    <w:p>
      <w:pPr>
        <w:spacing w:after="1200"/>
        <w:jc w:val="center"/>
      </w:pPr>
      <w:r>
        <w:rPr>
          <w:rFonts w:ascii="Arial" w:cs="Arial" w:eastAsia="Arial" w:hAnsi="Arial"/>
          <w:color w:val="404040"/>
          <w:sz w:val="28"/>
          <w:szCs w:val="28"/>
        </w:rPr>
        <w:t xml:space="preserve">Solution Architecture, Technical Design &amp; Delivery Plan</w:t>
      </w:r>
    </w:p>
    <w:tbl>
      <w:tblPr>
        <w:tblW w:type="dxa" w:w="57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360"/>
      </w:tblGrid>
      <w:tr>
        <w:tc>
          <w:tcPr>
            <w:tcW w:type="dxa" w:w="2400"/>
            <w:tcBorders>
              <w:top w:val="none" w:color="FFFFFF" w:sz="0"/>
              <w:left w:val="none" w:color="FFFFFF" w:sz="0"/>
              <w:bottom w:val="none" w:color="FFFFFF" w:sz="0"/>
              <w:right w:val="none" w:color="FFFFFF" w:sz="0"/>
            </w:tcBorders>
            <w:tcMar>
              <w:top w:type="dxa" w:w="80"/>
              <w:start w:type="dxa" w:w="120"/>
              <w:bottom w:type="dxa" w:w="80"/>
              <w:end w:type="dxa" w:w="120"/>
            </w:tcMar>
          </w:tcPr>
          <w:p>
            <w:pPr>
              <w:spacing w:after="0"/>
            </w:pPr>
            <w:r>
              <w:rPr>
                <w:rFonts w:ascii="Arial" w:cs="Arial" w:eastAsia="Arial" w:hAnsi="Arial"/>
                <w:b/>
                <w:bCs/>
                <w:sz w:val="22"/>
                <w:szCs w:val="22"/>
              </w:rPr>
              <w:t xml:space="preserve">Document type</w:t>
            </w:r>
          </w:p>
        </w:tc>
        <w:tc>
          <w:tcPr>
            <w:tcW w:type="dxa" w:w="3360"/>
            <w:tcBorders>
              <w:top w:val="none" w:color="FFFFFF" w:sz="0"/>
              <w:left w:val="none" w:color="FFFFFF" w:sz="0"/>
              <w:bottom w:val="none" w:color="FFFFFF" w:sz="0"/>
              <w:right w:val="none" w:color="FFFFFF" w:sz="0"/>
            </w:tcBorders>
            <w:tcMar>
              <w:top w:type="dxa" w:w="80"/>
              <w:start w:type="dxa" w:w="120"/>
              <w:bottom w:type="dxa" w:w="80"/>
              <w:end w:type="dxa" w:w="120"/>
            </w:tcMar>
          </w:tcPr>
          <w:p>
            <w:pPr>
              <w:spacing w:after="0"/>
            </w:pPr>
            <w:r>
              <w:rPr>
                <w:rFonts w:ascii="Arial" w:cs="Arial" w:eastAsia="Arial" w:hAnsi="Arial"/>
                <w:sz w:val="22"/>
                <w:szCs w:val="22"/>
              </w:rPr>
              <w:t xml:space="preserve">Solution Architecture &amp; Delivery Proposal</w:t>
            </w:r>
          </w:p>
        </w:tc>
      </w:tr>
      <w:tr>
        <w:tc>
          <w:tcPr>
            <w:tcW w:type="dxa" w:w="2400"/>
            <w:tcBorders>
              <w:top w:val="none" w:color="FFFFFF" w:sz="0"/>
              <w:left w:val="none" w:color="FFFFFF" w:sz="0"/>
              <w:bottom w:val="none" w:color="FFFFFF" w:sz="0"/>
              <w:right w:val="none" w:color="FFFFFF" w:sz="0"/>
            </w:tcBorders>
            <w:tcMar>
              <w:top w:type="dxa" w:w="80"/>
              <w:start w:type="dxa" w:w="120"/>
              <w:bottom w:type="dxa" w:w="80"/>
              <w:end w:type="dxa" w:w="120"/>
            </w:tcMar>
          </w:tcPr>
          <w:p>
            <w:pPr>
              <w:spacing w:after="0"/>
            </w:pPr>
            <w:r>
              <w:rPr>
                <w:rFonts w:ascii="Arial" w:cs="Arial" w:eastAsia="Arial" w:hAnsi="Arial"/>
                <w:b/>
                <w:bCs/>
                <w:sz w:val="22"/>
                <w:szCs w:val="22"/>
              </w:rPr>
              <w:t xml:space="preserve">Prepared for</w:t>
            </w:r>
          </w:p>
        </w:tc>
        <w:tc>
          <w:tcPr>
            <w:tcW w:type="dxa" w:w="3360"/>
            <w:tcBorders>
              <w:top w:val="none" w:color="FFFFFF" w:sz="0"/>
              <w:left w:val="none" w:color="FFFFFF" w:sz="0"/>
              <w:bottom w:val="none" w:color="FFFFFF" w:sz="0"/>
              <w:right w:val="none" w:color="FFFFFF" w:sz="0"/>
            </w:tcBorders>
            <w:tcMar>
              <w:top w:type="dxa" w:w="80"/>
              <w:start w:type="dxa" w:w="120"/>
              <w:bottom w:type="dxa" w:w="80"/>
              <w:end w:type="dxa" w:w="120"/>
            </w:tcMar>
          </w:tcPr>
          <w:p>
            <w:pPr>
              <w:spacing w:after="0"/>
            </w:pPr>
            <w:r>
              <w:rPr>
                <w:rFonts w:ascii="Arial" w:cs="Arial" w:eastAsia="Arial" w:hAnsi="Arial"/>
                <w:sz w:val="22"/>
                <w:szCs w:val="22"/>
              </w:rPr>
              <w:t xml:space="preserve">Management &amp; Solution Architecture Review</w:t>
            </w:r>
          </w:p>
        </w:tc>
      </w:tr>
      <w:tr>
        <w:tc>
          <w:tcPr>
            <w:tcW w:type="dxa" w:w="2400"/>
            <w:tcBorders>
              <w:top w:val="none" w:color="FFFFFF" w:sz="0"/>
              <w:left w:val="none" w:color="FFFFFF" w:sz="0"/>
              <w:bottom w:val="none" w:color="FFFFFF" w:sz="0"/>
              <w:right w:val="none" w:color="FFFFFF" w:sz="0"/>
            </w:tcBorders>
            <w:tcMar>
              <w:top w:type="dxa" w:w="80"/>
              <w:start w:type="dxa" w:w="120"/>
              <w:bottom w:type="dxa" w:w="80"/>
              <w:end w:type="dxa" w:w="120"/>
            </w:tcMar>
          </w:tcPr>
          <w:p>
            <w:pPr>
              <w:spacing w:after="0"/>
            </w:pPr>
            <w:r>
              <w:rPr>
                <w:rFonts w:ascii="Arial" w:cs="Arial" w:eastAsia="Arial" w:hAnsi="Arial"/>
                <w:b/>
                <w:bCs/>
                <w:sz w:val="22"/>
                <w:szCs w:val="22"/>
              </w:rPr>
              <w:t xml:space="preserve">Status</w:t>
            </w:r>
          </w:p>
        </w:tc>
        <w:tc>
          <w:tcPr>
            <w:tcW w:type="dxa" w:w="3360"/>
            <w:tcBorders>
              <w:top w:val="none" w:color="FFFFFF" w:sz="0"/>
              <w:left w:val="none" w:color="FFFFFF" w:sz="0"/>
              <w:bottom w:val="none" w:color="FFFFFF" w:sz="0"/>
              <w:right w:val="none" w:color="FFFFFF" w:sz="0"/>
            </w:tcBorders>
            <w:tcMar>
              <w:top w:type="dxa" w:w="80"/>
              <w:start w:type="dxa" w:w="120"/>
              <w:bottom w:type="dxa" w:w="80"/>
              <w:end w:type="dxa" w:w="120"/>
            </w:tcMar>
          </w:tcPr>
          <w:p>
            <w:pPr>
              <w:spacing w:after="0"/>
            </w:pPr>
            <w:r>
              <w:rPr>
                <w:rFonts w:ascii="Arial" w:cs="Arial" w:eastAsia="Arial" w:hAnsi="Arial"/>
                <w:sz w:val="22"/>
                <w:szCs w:val="22"/>
              </w:rPr>
              <w:t xml:space="preserve">Draft — for review</w:t>
            </w:r>
          </w:p>
        </w:tc>
      </w:tr>
      <w:tr>
        <w:tc>
          <w:tcPr>
            <w:tcW w:type="dxa" w:w="2400"/>
            <w:tcBorders>
              <w:top w:val="none" w:color="FFFFFF" w:sz="0"/>
              <w:left w:val="none" w:color="FFFFFF" w:sz="0"/>
              <w:bottom w:val="none" w:color="FFFFFF" w:sz="0"/>
              <w:right w:val="none" w:color="FFFFFF" w:sz="0"/>
            </w:tcBorders>
            <w:tcMar>
              <w:top w:type="dxa" w:w="80"/>
              <w:start w:type="dxa" w:w="120"/>
              <w:bottom w:type="dxa" w:w="80"/>
              <w:end w:type="dxa" w:w="120"/>
            </w:tcMar>
          </w:tcPr>
          <w:p>
            <w:pPr>
              <w:spacing w:after="0"/>
            </w:pPr>
            <w:r>
              <w:rPr>
                <w:rFonts w:ascii="Arial" w:cs="Arial" w:eastAsia="Arial" w:hAnsi="Arial"/>
                <w:b/>
                <w:bCs/>
                <w:sz w:val="22"/>
                <w:szCs w:val="22"/>
              </w:rPr>
              <w:t xml:space="preserve">Version</w:t>
            </w:r>
          </w:p>
        </w:tc>
        <w:tc>
          <w:tcPr>
            <w:tcW w:type="dxa" w:w="3360"/>
            <w:tcBorders>
              <w:top w:val="none" w:color="FFFFFF" w:sz="0"/>
              <w:left w:val="none" w:color="FFFFFF" w:sz="0"/>
              <w:bottom w:val="none" w:color="FFFFFF" w:sz="0"/>
              <w:right w:val="none" w:color="FFFFFF" w:sz="0"/>
            </w:tcBorders>
            <w:tcMar>
              <w:top w:type="dxa" w:w="80"/>
              <w:start w:type="dxa" w:w="120"/>
              <w:bottom w:type="dxa" w:w="80"/>
              <w:end w:type="dxa" w:w="120"/>
            </w:tcMar>
          </w:tcPr>
          <w:p>
            <w:pPr>
              <w:spacing w:after="0"/>
            </w:pPr>
            <w:r>
              <w:rPr>
                <w:rFonts w:ascii="Arial" w:cs="Arial" w:eastAsia="Arial" w:hAnsi="Arial"/>
                <w:sz w:val="22"/>
                <w:szCs w:val="22"/>
              </w:rPr>
              <w:t xml:space="preserve">1.0</w:t>
            </w:r>
          </w:p>
        </w:tc>
      </w:tr>
    </w:tbl>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1. Executive Summary</w:t>
      </w:r>
    </w:p>
    <w:p>
      <w:pPr>
        <w:spacing w:after="120"/>
      </w:pPr>
      <w:r>
        <w:rPr>
          <w:rFonts w:ascii="Arial" w:cs="Arial" w:eastAsia="Arial" w:hAnsi="Arial"/>
          <w:sz w:val="22"/>
          <w:szCs w:val="22"/>
        </w:rPr>
        <w:t xml:space="preserve">AV Bridge is a purpose-built, on-premises software gateway that provides bidirectional communication between audio-visual devices on a customer's local network and a centralised cloud management portal. It is designed to replace proprietary, high-cost AV management platforms such as Utelogy with a vendor-agnostic, maintainable, and scalable alternative built on open standards.</w:t>
      </w:r>
    </w:p>
    <w:p>
      <w:pPr>
        <w:spacing w:after="120"/>
      </w:pPr>
      <w:r>
        <w:rPr>
          <w:rFonts w:ascii="Arial" w:cs="Arial" w:eastAsia="Arial" w:hAnsi="Arial"/>
          <w:sz w:val="22"/>
          <w:szCs w:val="22"/>
        </w:rPr>
        <w:t xml:space="preserve">The solution addresses a clear operational need: field engineers and remote operations teams require real-time visibility of AV device health, the ability to send control commands to devices from a central portal, and automated alerting when devices go offline or degrade — without requiring physical site visits for routine monitoring and management.</w:t>
      </w:r>
    </w:p>
    <w:p>
      <w:pPr>
        <w:spacing w:after="0" w:before="0"/>
      </w:pPr>
      <w:r>
        <w:rPr>
          <w:rFonts w:ascii="Arial" w:cs="Arial" w:eastAsia="Arial" w:hAnsi="Arial"/>
          <w:sz w:val="22"/>
          <w:szCs w:val="22"/>
        </w:rPr>
        <w:t xml:space="preserve"/>
      </w:r>
    </w:p>
    <w:p>
      <w:pPr>
        <w:pStyle w:val="Heading2"/>
        <w:spacing w:after="160" w:before="300"/>
      </w:pPr>
      <w:r>
        <w:rPr>
          <w:rFonts w:ascii="Arial" w:cs="Arial" w:eastAsia="Arial" w:hAnsi="Arial"/>
          <w:b/>
          <w:bCs/>
          <w:color w:val="2E5FA3"/>
          <w:sz w:val="28"/>
          <w:szCs w:val="28"/>
        </w:rPr>
        <w:t xml:space="preserve">Key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6240"/>
      </w:tblGrid>
      <w:tr>
        <w:tc>
          <w:tcPr>
            <w:tcW w:type="dxa" w:w="312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Outcome</w:t>
            </w:r>
          </w:p>
        </w:tc>
        <w:tc>
          <w:tcPr>
            <w:tcW w:type="dxa" w:w="62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Vendor agnostic</w:t>
            </w:r>
          </w:p>
        </w:tc>
        <w:tc>
          <w:tcPr>
            <w:tcW w:type="dxa" w:w="62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Supports REST, WebSocket, Telnet/TCP and RS-232/Serial protocols — covers displays, video conferencing systems, audio DSPs, and PTZ cameras. Validated against Biamp Tesira (TTP over Telnet), Sony Bravia Professional Displays (JSON-RPC REST with PSK authentication), and Poly G7500 video codecs (VideoOS REST API with session-based authentication).</w:t>
            </w:r>
          </w:p>
        </w:tc>
      </w:tr>
      <w:tr>
        <w:tc>
          <w:tcPr>
            <w:tcW w:type="dxa" w:w="31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Bidirectional control</w:t>
            </w:r>
          </w:p>
        </w:tc>
        <w:tc>
          <w:tcPr>
            <w:tcW w:type="dxa" w:w="62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Commands flow from cloud portal to device; telemetry and events flow from device to cloud. Both paths are authenticated and encrypted.</w:t>
            </w:r>
          </w:p>
        </w:tc>
      </w:tr>
      <w:tr>
        <w:tc>
          <w:tcPr>
            <w:tcW w:type="dxa" w:w="31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Self-managing fleet</w:t>
            </w:r>
          </w:p>
        </w:tc>
        <w:tc>
          <w:tcPr>
            <w:tcW w:type="dxa" w:w="62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Each site self-updates nightly, performs health checks, and rolls back automatically on failure — minimising operational overhead across 10+ sites.</w:t>
            </w:r>
          </w:p>
        </w:tc>
      </w:tr>
      <w:tr>
        <w:tc>
          <w:tcPr>
            <w:tcW w:type="dxa" w:w="31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Resilient by design</w:t>
            </w:r>
          </w:p>
        </w:tc>
        <w:tc>
          <w:tcPr>
            <w:tcW w:type="dxa" w:w="62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Exponential backoff reconnect, local state persistence, and cloud retry logic ensure the service continues operating through transient failures.</w:t>
            </w:r>
          </w:p>
        </w:tc>
      </w:tr>
      <w:tr>
        <w:tc>
          <w:tcPr>
            <w:tcW w:type="dxa" w:w="31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Observable</w:t>
            </w:r>
          </w:p>
        </w:tc>
        <w:tc>
          <w:tcPr>
            <w:tcW w:type="dxa" w:w="62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Prometheus-compatible metrics, Grafana dashboards, and Alertmanager rules provide fleet-wide visibility from a single pane of glass.</w:t>
            </w:r>
          </w:p>
        </w:tc>
      </w:tr>
      <w:tr>
        <w:tc>
          <w:tcPr>
            <w:tcW w:type="dxa" w:w="31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Secure</w:t>
            </w:r>
          </w:p>
        </w:tc>
        <w:tc>
          <w:tcPr>
            <w:tcW w:type="dxa" w:w="62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Bearer token API authentication, HMAC-signed webhook callbacks, TLS support, and hardened systemd service configuration with minimal OS privileges.</w:t>
            </w:r>
          </w:p>
        </w:tc>
      </w:tr>
    </w:tbl>
    <w:p>
      <w:pPr>
        <w:spacing w:after="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2. Problem Statement</w:t>
      </w:r>
    </w:p>
    <w:p>
      <w:pPr>
        <w:pStyle w:val="Heading2"/>
        <w:spacing w:after="160" w:before="300"/>
      </w:pPr>
      <w:r>
        <w:rPr>
          <w:rFonts w:ascii="Arial" w:cs="Arial" w:eastAsia="Arial" w:hAnsi="Arial"/>
          <w:b/>
          <w:bCs/>
          <w:color w:val="2E5FA3"/>
          <w:sz w:val="28"/>
          <w:szCs w:val="28"/>
        </w:rPr>
        <w:t xml:space="preserve">2.1 Current landscape</w:t>
      </w:r>
    </w:p>
    <w:p>
      <w:pPr>
        <w:spacing w:after="120"/>
      </w:pPr>
      <w:r>
        <w:rPr>
          <w:rFonts w:ascii="Arial" w:cs="Arial" w:eastAsia="Arial" w:hAnsi="Arial"/>
          <w:sz w:val="22"/>
          <w:szCs w:val="22"/>
        </w:rPr>
        <w:t xml:space="preserve">Managing AV estates across multiple physical sites presents significant operational challenges. Field engineers must identify device faults, initiate support calls, and often attend sites in person — all for issues that could be diagnosed and in many cases resolved remotely. Existing commercial platforms such as Utelogy require Windows-based server infrastructure, proprietary licensing, and significant configuration overhead per site.</w:t>
      </w:r>
    </w:p>
    <w:p>
      <w:pPr>
        <w:spacing w:after="120"/>
      </w:pPr>
      <w:r>
        <w:rPr>
          <w:rFonts w:ascii="Arial" w:cs="Arial" w:eastAsia="Arial" w:hAnsi="Arial"/>
          <w:sz w:val="22"/>
          <w:szCs w:val="22"/>
        </w:rPr>
        <w:t xml:space="preserve">Furthermore, these platforms offer limited flexibility for integration with bespoke cloud portals and do not expose the programmatic APIs required for custom monitoring, scheduling, and field engineer dispatch workflows.</w:t>
      </w:r>
    </w:p>
    <w:p>
      <w:pPr>
        <w:spacing w:after="0" w:before="0"/>
      </w:pPr>
      <w:r>
        <w:rPr>
          <w:rFonts w:ascii="Arial" w:cs="Arial" w:eastAsia="Arial" w:hAnsi="Arial"/>
          <w:sz w:val="22"/>
          <w:szCs w:val="22"/>
        </w:rPr>
        <w:t xml:space="preserve"/>
      </w:r>
    </w:p>
    <w:p>
      <w:pPr>
        <w:pStyle w:val="Heading2"/>
        <w:spacing w:after="160" w:before="300"/>
      </w:pPr>
      <w:r>
        <w:rPr>
          <w:rFonts w:ascii="Arial" w:cs="Arial" w:eastAsia="Arial" w:hAnsi="Arial"/>
          <w:b/>
          <w:bCs/>
          <w:color w:val="2E5FA3"/>
          <w:sz w:val="28"/>
          <w:szCs w:val="28"/>
        </w:rPr>
        <w:t xml:space="preserve">2.2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
        <w:gridCol w:w="5580"/>
        <w:gridCol w:w="1620"/>
        <w:gridCol w:w="1620"/>
      </w:tblGrid>
      <w:tr>
        <w:tc>
          <w:tcPr>
            <w:tcW w:type="dxa" w:w="5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w:t>
            </w:r>
          </w:p>
        </w:tc>
        <w:tc>
          <w:tcPr>
            <w:tcW w:type="dxa" w:w="558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Requirement</w:t>
            </w:r>
          </w:p>
        </w:tc>
        <w:tc>
          <w:tcPr>
            <w:tcW w:type="dxa" w:w="162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Priority</w:t>
            </w:r>
          </w:p>
        </w:tc>
        <w:tc>
          <w:tcPr>
            <w:tcW w:type="dxa" w:w="162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Category</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R1</w:t>
            </w:r>
          </w:p>
        </w:tc>
        <w:tc>
          <w:tcPr>
            <w:tcW w:type="dxa" w:w="55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Communicate with AV devices over REST, WebSocket, Telnet, and RS-232/Serial</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Must have</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Functional</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R2</w:t>
            </w:r>
          </w:p>
        </w:tc>
        <w:tc>
          <w:tcPr>
            <w:tcW w:type="dxa" w:w="55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Support display, conferencing, audio DSP, and camera device types</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Must have</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Functional</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R3</w:t>
            </w:r>
          </w:p>
        </w:tc>
        <w:tc>
          <w:tcPr>
            <w:tcW w:type="dxa" w:w="55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Push telemetry and device events to a cloud portal via HTTPS webhook</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Must have</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Functional</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R4</w:t>
            </w:r>
          </w:p>
        </w:tc>
        <w:tc>
          <w:tcPr>
            <w:tcW w:type="dxa" w:w="55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Accept inbound commands from the cloud portal to control devices</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Must have</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Functional</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R5</w:t>
            </w:r>
          </w:p>
        </w:tc>
        <w:tc>
          <w:tcPr>
            <w:tcW w:type="dxa" w:w="55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Authenticate all API traffic with bearer token and HMAC signature verification</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Must have</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Security</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R6</w:t>
            </w:r>
          </w:p>
        </w:tc>
        <w:tc>
          <w:tcPr>
            <w:tcW w:type="dxa" w:w="55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Run as a hardened Linux systemd daemon with minimal OS privileges</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Must have</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Operational</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R7</w:t>
            </w:r>
          </w:p>
        </w:tc>
        <w:tc>
          <w:tcPr>
            <w:tcW w:type="dxa" w:w="55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Self-update to new releases without manual intervention</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Must have</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Operational</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R8</w:t>
            </w:r>
          </w:p>
        </w:tc>
        <w:tc>
          <w:tcPr>
            <w:tcW w:type="dxa" w:w="55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Automatically reconnect to devices after transient failures</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Must have</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Resilience</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R9</w:t>
            </w:r>
          </w:p>
        </w:tc>
        <w:tc>
          <w:tcPr>
            <w:tcW w:type="dxa" w:w="55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Persist device state across service restarts</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Should have</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Resilience</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R10</w:t>
            </w:r>
          </w:p>
        </w:tc>
        <w:tc>
          <w:tcPr>
            <w:tcW w:type="dxa" w:w="55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Fire alerts to the cloud when devices go offline or degrade beyond thresholds</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Should have</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Monitoring</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R11</w:t>
            </w:r>
          </w:p>
        </w:tc>
        <w:tc>
          <w:tcPr>
            <w:tcW w:type="dxa" w:w="55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Expose Prometheus-compatible metrics for fleet observability</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Should have</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Monitoring</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R12</w:t>
            </w:r>
          </w:p>
        </w:tc>
        <w:tc>
          <w:tcPr>
            <w:tcW w:type="dxa" w:w="55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Support TLS for the local API server</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Should have</w:t>
            </w:r>
          </w:p>
        </w:tc>
        <w:tc>
          <w:tcPr>
            <w:tcW w:type="dxa" w:w="16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Security</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R13</w:t>
            </w:r>
          </w:p>
        </w:tc>
        <w:tc>
          <w:tcPr>
            <w:tcW w:type="dxa" w:w="55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Be deployable across 10+ sites via automated tooling</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Must have</w:t>
            </w:r>
          </w:p>
        </w:tc>
        <w:tc>
          <w:tcPr>
            <w:tcW w:type="dxa" w:w="16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Operational</w:t>
            </w:r>
          </w:p>
        </w:tc>
      </w:tr>
    </w:tbl>
    <w:p>
      <w:pPr>
        <w:spacing w:after="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3. Solution Overview</w:t>
      </w:r>
    </w:p>
    <w:p>
      <w:pPr>
        <w:spacing w:after="120"/>
      </w:pPr>
      <w:r>
        <w:rPr>
          <w:rFonts w:ascii="Arial" w:cs="Arial" w:eastAsia="Arial" w:hAnsi="Arial"/>
          <w:sz w:val="22"/>
          <w:szCs w:val="22"/>
        </w:rPr>
        <w:t xml:space="preserve">AV Bridge is a lightweight Go service that runs as a Linux systemd daemon on a server within the customer's network. It maintains persistent connections to all local AV devices, polls them for telemetry, drains asynchronous events, and pushes aggregated data to the cloud portal on a configurable interval. The cloud portal can send commands back down to devices via the local REST API.</w:t>
      </w:r>
    </w:p>
    <w:p>
      <w:pPr>
        <w:spacing w:after="0" w:before="0"/>
      </w:pPr>
      <w:r>
        <w:rPr>
          <w:rFonts w:ascii="Arial" w:cs="Arial" w:eastAsia="Arial" w:hAnsi="Arial"/>
          <w:sz w:val="22"/>
          <w:szCs w:val="22"/>
        </w:rPr>
        <w:t xml:space="preserve"/>
      </w:r>
    </w:p>
    <w:p>
      <w:pPr>
        <w:pStyle w:val="Heading2"/>
        <w:spacing w:after="160" w:before="300"/>
      </w:pPr>
      <w:r>
        <w:rPr>
          <w:rFonts w:ascii="Arial" w:cs="Arial" w:eastAsia="Arial" w:hAnsi="Arial"/>
          <w:b/>
          <w:bCs/>
          <w:color w:val="2E5FA3"/>
          <w:sz w:val="28"/>
          <w:szCs w:val="28"/>
        </w:rPr>
        <w:t xml:space="preserve">3.1 Component architecture</w:t>
      </w:r>
    </w:p>
    <w:p>
      <w:pPr>
        <w:spacing w:after="120"/>
      </w:pPr>
      <w:r>
        <w:rPr>
          <w:rFonts w:ascii="Arial" w:cs="Arial" w:eastAsia="Arial" w:hAnsi="Arial"/>
          <w:sz w:val="22"/>
          <w:szCs w:val="22"/>
        </w:rPr>
        <w:t xml:space="preserve">The on-premises service is structured around five internal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7200"/>
      </w:tblGrid>
      <w:tr>
        <w:tc>
          <w:tcPr>
            <w:tcW w:type="dxa" w:w="216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Component</w:t>
            </w:r>
          </w:p>
        </w:tc>
        <w:tc>
          <w:tcPr>
            <w:tcW w:type="dxa" w:w="72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Responsibility</w:t>
            </w:r>
          </w:p>
        </w:tc>
      </w:tr>
      <w:tr>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Hub</w:t>
            </w:r>
          </w:p>
        </w:tc>
        <w:tc>
          <w:tcPr>
            <w:tcW w:type="dxa" w:w="72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Central coordinator. Manages device lifecycle — connects, polls, drains events, persists state, and triggers reconnects. All device adapters are managed here.</w:t>
            </w:r>
          </w:p>
        </w:tc>
      </w:tr>
      <w:tr>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Device adapters</w:t>
            </w:r>
          </w:p>
        </w:tc>
        <w:tc>
          <w:tcPr>
            <w:tcW w:type="dxa" w:w="72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Protocol-specific drivers implementing a common Device interface. Four base adapters cover the transport layer (REST, WebSocket, Telnet, Serial), with vendor-specific adapters extending these for devices with non-standard authentication or control models. Current vendor adapters: TesiraAdapter (Telnet + TTP subscription model), SonyBraviaAdapter (REST + PSK header auth), PolyG7500Adapter (REST + session/XSRF token lifecycle). New adapters can be added without touching the hub.</w:t>
            </w:r>
          </w:p>
        </w:tc>
      </w:tr>
      <w:tr>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Cloud publisher</w:t>
            </w:r>
          </w:p>
        </w:tc>
        <w:tc>
          <w:tcPr>
            <w:tcW w:type="dxa" w:w="72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Buffers telemetry and events in memory and flushes them to the cloud webhook on a configurable interval. Retries with backoff on failure. Performs a final flush on graceful shutdown.</w:t>
            </w:r>
          </w:p>
        </w:tc>
      </w:tr>
      <w:tr>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Alert engine</w:t>
            </w:r>
          </w:p>
        </w:tc>
        <w:tc>
          <w:tcPr>
            <w:tcW w:type="dxa" w:w="72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Evaluates device health on a 60-second loop. Fires critical/warning/info alerts to the cloud when devices breach configured thresholds. Suppresses repeat alerts until the cooldown period elapses.</w:t>
            </w:r>
          </w:p>
        </w:tc>
      </w:tr>
      <w:tr>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Local API server</w:t>
            </w:r>
          </w:p>
        </w:tc>
        <w:tc>
          <w:tcPr>
            <w:tcW w:type="dxa" w:w="72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Exposes a REST and WebSocket API on the customer's network. Allows the cloud portal to query device status, push commands, and stream real-time events. Protected by bearer token authentication and optional TLS.</w:t>
            </w:r>
          </w:p>
        </w:tc>
      </w:tr>
      <w:tr>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State store</w:t>
            </w:r>
          </w:p>
        </w:tc>
        <w:tc>
          <w:tcPr>
            <w:tcW w:type="dxa" w:w="72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Lightweight JSON file store providing persistence across restarts. Records last-seen timestamps, device status history, and alert send history for deduplication.</w:t>
            </w:r>
          </w:p>
        </w:tc>
      </w:tr>
    </w:tbl>
    <w:p>
      <w:pPr>
        <w:spacing w:after="0" w:before="0"/>
      </w:pPr>
      <w:r>
        <w:rPr>
          <w:rFonts w:ascii="Arial" w:cs="Arial" w:eastAsia="Arial" w:hAnsi="Arial"/>
          <w:sz w:val="22"/>
          <w:szCs w:val="22"/>
        </w:rPr>
        <w:t xml:space="preserve"/>
      </w:r>
    </w:p>
    <w:p>
      <w:pPr>
        <w:pStyle w:val="Heading2"/>
        <w:spacing w:after="160" w:before="300"/>
      </w:pPr>
      <w:r>
        <w:rPr>
          <w:rFonts w:ascii="Arial" w:cs="Arial" w:eastAsia="Arial" w:hAnsi="Arial"/>
          <w:b/>
          <w:bCs/>
          <w:color w:val="2E5FA3"/>
          <w:sz w:val="28"/>
          <w:szCs w:val="28"/>
        </w:rPr>
        <w:t xml:space="preserve">3.2 Technology choices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160"/>
        <w:gridCol w:w="5400"/>
      </w:tblGrid>
      <w:tr>
        <w:tc>
          <w:tcPr>
            <w:tcW w:type="dxa" w:w="18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Concern</w:t>
            </w:r>
          </w:p>
        </w:tc>
        <w:tc>
          <w:tcPr>
            <w:tcW w:type="dxa" w:w="216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Choice</w:t>
            </w:r>
          </w:p>
        </w:tc>
        <w:tc>
          <w:tcPr>
            <w:tcW w:type="dxa" w:w="54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Rationale</w:t>
            </w:r>
          </w:p>
        </w:tc>
      </w:tr>
      <w:tr>
        <w:tc>
          <w:tcPr>
            <w:tcW w:type="dxa" w:w="1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Runtime language</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Go 1.22</w:t>
            </w:r>
          </w:p>
        </w:tc>
        <w:tc>
          <w:tcPr>
            <w:tcW w:type="dxa" w:w="5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Compiles to a single static binary with no runtime dependencies. Low memory footprint (typically &lt;30 MB RSS), excellent concurrency primitives for managing many device connections, and fast cold-start — critical for auto-update and restart scenarios.</w:t>
            </w:r>
          </w:p>
        </w:tc>
      </w:tr>
      <w:tr>
        <w:tc>
          <w:tcPr>
            <w:tcW w:type="dxa" w:w="18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Deployment model</w:t>
            </w:r>
          </w:p>
        </w:tc>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Linux systemd daemon</w:t>
            </w:r>
          </w:p>
        </w:tc>
        <w:tc>
          <w:tcPr>
            <w:tcW w:type="dxa" w:w="5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Systemd is the de facto init system on all major Linux distributions. It provides automatic restart on failure, structured logging to journald, secure service sandboxing, and standardised management tooling. No container runtime required on the customer's server.</w:t>
            </w:r>
          </w:p>
        </w:tc>
      </w:tr>
      <w:tr>
        <w:tc>
          <w:tcPr>
            <w:tcW w:type="dxa" w:w="1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Protocol support</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REST, WebSocket, Telnet, RS-232</w:t>
            </w:r>
          </w:p>
        </w:tc>
        <w:tc>
          <w:tcPr>
            <w:tcW w:type="dxa" w:w="5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These four protocols cover the majority of the commercial AV device market. REST covers modern IP-connected devices including Sony Bravia Professional Displays (JSON-RPC) and Poly G7500 codecs (VideoOS REST). WebSocket covers real-time platforms. Telnet/TCP covers DSPs such as Biamp Tesira (Tesira Text Protocol). RS-232/Serial covers legacy cameras and displays. Vendor-specific adapters handle auth quirks: PSK headers for Sony, session cookies and XSRF tokens for Poly, and TTP subscriptions for Tesira.</w:t>
            </w:r>
          </w:p>
        </w:tc>
      </w:tr>
      <w:tr>
        <w:tc>
          <w:tcPr>
            <w:tcW w:type="dxa" w:w="18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Cloud integration</w:t>
            </w:r>
          </w:p>
        </w:tc>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HTTPS webhook (push)</w:t>
            </w:r>
          </w:p>
        </w:tc>
        <w:tc>
          <w:tcPr>
            <w:tcW w:type="dxa" w:w="5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Push-based outbound webhook requires no inbound firewall rule changes at the customer site. The cloud portal receives a batch payload every 30 seconds, reducing infrastructure load compared to per-event streaming while remaining timely for operational purposes.</w:t>
            </w:r>
          </w:p>
        </w:tc>
      </w:tr>
      <w:tr>
        <w:tc>
          <w:tcPr>
            <w:tcW w:type="dxa" w:w="1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Provisioning</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Ansible</w:t>
            </w:r>
          </w:p>
        </w:tc>
        <w:tc>
          <w:tcPr>
            <w:tcW w:type="dxa" w:w="5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Idempotent, agentless, and SSH-based. Supports rolling deployments across a fleet and integrates cleanly with ansible-vault for secret management. No persistent agent process required on managed hosts.</w:t>
            </w:r>
          </w:p>
        </w:tc>
      </w:tr>
      <w:tr>
        <w:tc>
          <w:tcPr>
            <w:tcW w:type="dxa" w:w="18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Observability</w:t>
            </w:r>
          </w:p>
        </w:tc>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Prometheus + Grafana</w:t>
            </w:r>
          </w:p>
        </w:tc>
        <w:tc>
          <w:tcPr>
            <w:tcW w:type="dxa" w:w="5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Industry-standard open-source tooling with a strong ecosystem. Prometheus text format requires no external library — AV Bridge implements it directly. Grafana provides a managed dashboard and alerting layer compatible with Grafana Cloud for remote fleets.</w:t>
            </w:r>
          </w:p>
        </w:tc>
      </w:tr>
      <w:tr>
        <w:tc>
          <w:tcPr>
            <w:tcW w:type="dxa" w:w="1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Secret management</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ansible-vault / env file</w:t>
            </w:r>
          </w:p>
        </w:tc>
        <w:tc>
          <w:tcPr>
            <w:tcW w:type="dxa" w:w="5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Secrets are never written into config files. The service reads them from an environment file at /etc/av-bridge/env, which is readable only by root and the av-bridge system user. For larger deployments, the same pattern integrates with HashiCorp Vault or AWS SSM Parameter Store.</w:t>
            </w:r>
          </w:p>
        </w:tc>
      </w:tr>
    </w:tbl>
    <w:p>
      <w:pPr>
        <w:spacing w:after="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4. AWS Cloud Architecture</w:t>
      </w:r>
    </w:p>
    <w:p>
      <w:pPr>
        <w:spacing w:after="120"/>
      </w:pPr>
      <w:r>
        <w:rPr>
          <w:rFonts w:ascii="Arial" w:cs="Arial" w:eastAsia="Arial" w:hAnsi="Arial"/>
          <w:sz w:val="22"/>
          <w:szCs w:val="22"/>
        </w:rPr>
        <w:t xml:space="preserve">The cloud-side components that receive data from AV Bridge sites and serve the management portal are hosted on AWS. The architecture is designed for high availability within a single region, GDPR-compliant data residency in eu-west-2 (London), and a separation between the ingest path (high throughput, write-heavy) and the portal path (lower volume, read-heavy).</w:t>
      </w:r>
    </w:p>
    <w:p>
      <w:pPr>
        <w:spacing w:after="0" w:before="0"/>
      </w:pPr>
      <w:r>
        <w:rPr>
          <w:rFonts w:ascii="Arial" w:cs="Arial" w:eastAsia="Arial" w:hAnsi="Arial"/>
          <w:sz w:val="22"/>
          <w:szCs w:val="22"/>
        </w:rPr>
        <w:t xml:space="preserve"/>
      </w:r>
    </w:p>
    <w:p>
      <w:pPr>
        <w:pStyle w:val="Heading2"/>
        <w:spacing w:after="160" w:before="300"/>
      </w:pPr>
      <w:r>
        <w:rPr>
          <w:rFonts w:ascii="Arial" w:cs="Arial" w:eastAsia="Arial" w:hAnsi="Arial"/>
          <w:b/>
          <w:bCs/>
          <w:color w:val="2E5FA3"/>
          <w:sz w:val="28"/>
          <w:szCs w:val="28"/>
        </w:rPr>
        <w:t xml:space="preserve">4.1 Architecture diagram</w:t>
      </w:r>
    </w:p>
    <w:p>
      <w:pPr>
        <w:spacing w:after="0" w:before="0"/>
      </w:pPr>
      <w:r>
        <w:rPr>
          <w:rFonts w:ascii="Arial" w:cs="Arial" w:eastAsia="Arial" w:hAnsi="Arial"/>
          <w:sz w:val="22"/>
          <w:szCs w:val="22"/>
        </w:rPr>
        <w:t xml:space="preserve"/>
      </w:r>
    </w:p>
    <w:p>
      <w:pPr>
        <w:spacing w:after="120" w:before="120"/>
        <w:jc w:val="center"/>
      </w:pPr>
      <w:r>
        <w:drawing>
          <wp:inline xmlns:wp="http://schemas.openxmlformats.org/drawingml/2006/wordprocessingDrawing" distT="0" distB="0" distL="0" distR="0">
            <wp:extent cx="5943600" cy="3813810"/>
            <wp:effectExtent l="0" t="0" r="0" b="0"/>
            <wp:docPr id="1" name="network-diagram" descr="Network architecture diagram showing customer site AV devices connecting through av-bridge to the AWS cloud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work-diagram.png"/>
                    <pic:cNvPicPr/>
                  </pic:nvPicPr>
                  <pic:blipFill>
                    <a:blip xmlns:r="http://schemas.openxmlformats.org/officeDocument/2006/relationships" r:embed="rId10"/>
                    <a:stretch>
                      <a:fillRect/>
                    </a:stretch>
                  </pic:blipFill>
                  <pic:spPr>
                    <a:xfrm>
                      <a:off x="0" y="0"/>
                      <a:ext cx="5943600" cy="3813810"/>
                    </a:xfrm>
                    <a:prstGeom prst="rect">
                      <a:avLst/>
                    </a:prstGeom>
                  </pic:spPr>
                </pic:pic>
              </a:graphicData>
            </a:graphic>
          </wp:inline>
        </w:drawing>
      </w:r>
    </w:p>
    <w:p>
      <w:pPr>
        <w:spacing w:after="200" w:before="80"/>
        <w:jc w:val="center"/>
      </w:pPr>
      <w:r>
        <w:rPr>
          <w:rFonts w:ascii="Arial" w:cs="Arial" w:eastAsia="Arial" w:hAnsi="Arial"/>
          <w:i/>
          <w:iCs/>
          <w:sz w:val="18"/>
          <w:szCs w:val="18"/>
          <w:color w:val="555555"/>
        </w:rPr>
        <w:t xml:space="preserve">Figure 1 — Network architecture: Customer site AV devices → av-bridge daemon → Internet (HTTPS/TLS 1.3) → AWS eu-west-2</w:t>
      </w:r>
    </w:p>
    <w:p>
      <w:pPr>
        <w:pStyle w:val="Heading2"/>
        <w:spacing w:after="160" w:before="300"/>
      </w:pPr>
      <w:r>
        <w:rPr>
          <w:rFonts w:ascii="Arial" w:cs="Arial" w:eastAsia="Arial" w:hAnsi="Arial"/>
          <w:b/>
          <w:bCs/>
          <w:color w:val="2E5FA3"/>
          <w:sz w:val="28"/>
          <w:szCs w:val="28"/>
        </w:rPr>
        <w:t xml:space="preserve">4.2 AWS services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160"/>
        <w:gridCol w:w="4800"/>
      </w:tblGrid>
      <w:tr>
        <w:tc>
          <w:tcPr>
            <w:tcW w:type="dxa" w:w="24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Service</w:t>
            </w:r>
          </w:p>
        </w:tc>
        <w:tc>
          <w:tcPr>
            <w:tcW w:type="dxa" w:w="216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Role</w:t>
            </w:r>
          </w:p>
        </w:tc>
        <w:tc>
          <w:tcPr>
            <w:tcW w:type="dxa" w:w="48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Justification</w:t>
            </w:r>
          </w:p>
        </w:tc>
      </w:tr>
      <w:tr>
        <w:tc>
          <w:tcPr>
            <w:tcW w:type="dxa" w:w="2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ALB + ACM + WAF</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Edge / ingress</w:t>
            </w:r>
          </w:p>
        </w:tc>
        <w:tc>
          <w:tcPr>
            <w:tcW w:type="dxa" w:w="4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Terminates TLS with ACM-managed certificates. WAF provides rate limiting, IP allowlisting for known site egress IPs, and protection against common web attacks on the ingest endpoint.</w:t>
            </w:r>
          </w:p>
        </w:tc>
      </w:tr>
      <w:tr>
        <w:tc>
          <w:tcPr>
            <w:tcW w:type="dxa" w:w="2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ECS Fargate</w:t>
            </w:r>
          </w:p>
        </w:tc>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Compute</w:t>
            </w:r>
          </w:p>
        </w:tc>
        <w:tc>
          <w:tcPr>
            <w:tcW w:type="dxa" w:w="48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Serverless container runtime removes EC2 fleet management. Auto-scales per CPU/memory metrics. Two separate services (ingest, portal API) can scale independently. Multi-AZ by default.</w:t>
            </w:r>
          </w:p>
        </w:tc>
      </w:tr>
      <w:tr>
        <w:tc>
          <w:tcPr>
            <w:tcW w:type="dxa" w:w="2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SQS (x2)</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Message buffer</w:t>
            </w:r>
          </w:p>
        </w:tc>
        <w:tc>
          <w:tcPr>
            <w:tcW w:type="dxa" w:w="4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Decouples ingest from processing, absorbing bursty webhook traffic from many sites arriving simultaneously. Dead-letter queues (DLQ) capture failed messages for inspection. Provides at-least-once delivery guarantee.</w:t>
            </w:r>
          </w:p>
        </w:tc>
      </w:tr>
      <w:tr>
        <w:tc>
          <w:tcPr>
            <w:tcW w:type="dxa" w:w="2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Lambda</w:t>
            </w:r>
          </w:p>
        </w:tc>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Event processor</w:t>
            </w:r>
          </w:p>
        </w:tc>
        <w:tc>
          <w:tcPr>
            <w:tcW w:type="dxa" w:w="48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Processes telemetry from the SQS queue asynchronously. Normalises payloads, writes to RDS and S3, evaluates alert rules, and publishes to SNS. Scales to zero when idle.</w:t>
            </w:r>
          </w:p>
        </w:tc>
      </w:tr>
      <w:tr>
        <w:tc>
          <w:tcPr>
            <w:tcW w:type="dxa" w:w="2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RDS Aurora PostgreSQL</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Primary database</w:t>
            </w:r>
          </w:p>
        </w:tc>
        <w:tc>
          <w:tcPr>
            <w:tcW w:type="dxa" w:w="4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Multi-AZ cluster in private subnet. Stores device registry, site configuration, current device status, and alert history. Aurora provides automatic failover in typically under 30 seconds.</w:t>
            </w:r>
          </w:p>
        </w:tc>
      </w:tr>
      <w:tr>
        <w:tc>
          <w:tcPr>
            <w:tcW w:type="dxa" w:w="2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S3</w:t>
            </w:r>
          </w:p>
        </w:tc>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Telemetry archive</w:t>
            </w:r>
          </w:p>
        </w:tc>
        <w:tc>
          <w:tcPr>
            <w:tcW w:type="dxa" w:w="48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Raw webhook payloads stored as compressed JSON. Lifecycle policy moves objects to S3 Glacier Instant Retrieval after 90 days. Provides an audit trail and enables historical analysis.</w:t>
            </w:r>
          </w:p>
        </w:tc>
      </w:tr>
      <w:tr>
        <w:tc>
          <w:tcPr>
            <w:tcW w:type="dxa" w:w="2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SNS</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Alert fan-out</w:t>
            </w:r>
          </w:p>
        </w:tc>
        <w:tc>
          <w:tcPr>
            <w:tcW w:type="dxa" w:w="4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Receives alert events from Lambda. Fan-out subscriptions deliver to email, Slack (via Lambda HTTP target), PagerDuty, and mobile push. Separating fan-out from processing allows adding notification channels without changing Lambda code.</w:t>
            </w:r>
          </w:p>
        </w:tc>
      </w:tr>
      <w:tr>
        <w:tc>
          <w:tcPr>
            <w:tcW w:type="dxa" w:w="2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Secrets Manager</w:t>
            </w:r>
          </w:p>
        </w:tc>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Secret storage</w:t>
            </w:r>
          </w:p>
        </w:tc>
        <w:tc>
          <w:tcPr>
            <w:tcW w:type="dxa" w:w="48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Stores API keys, HMAC secrets, and database credentials. ECS tasks retrieve secrets at launch via IAM role. Ansible deployment retrieves site-specific secrets during provisioning via IAM.</w:t>
            </w:r>
          </w:p>
        </w:tc>
      </w:tr>
      <w:tr>
        <w:tc>
          <w:tcPr>
            <w:tcW w:type="dxa" w:w="2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CloudWatch + AMP</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Metrics</w:t>
            </w:r>
          </w:p>
        </w:tc>
        <w:tc>
          <w:tcPr>
            <w:tcW w:type="dxa" w:w="4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Amazon Managed Prometheus (AMP) receives remote_write from Grafana Alloy running alongside each av-bridge instance. CloudWatch captures ECS and Lambda operational metrics. Grafana Cloud dashboards unify both sources.</w:t>
            </w:r>
          </w:p>
        </w:tc>
      </w:tr>
      <w:tr>
        <w:tc>
          <w:tcPr>
            <w:tcW w:type="dxa" w:w="2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VPC / Security Groups</w:t>
            </w:r>
          </w:p>
        </w:tc>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Network isolation</w:t>
            </w:r>
          </w:p>
        </w:tc>
        <w:tc>
          <w:tcPr>
            <w:tcW w:type="dxa" w:w="48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ECS tasks and RDS run in private subnets with no direct internet access. Outbound traffic via NAT Gateway. Security groups are least-privilege: ingest service accepts only ALB traffic; RDS accepts only ECS security group.</w:t>
            </w:r>
          </w:p>
        </w:tc>
      </w:tr>
    </w:tbl>
    <w:p>
      <w:pPr>
        <w:spacing w:after="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5. Data Flows</w:t>
      </w:r>
    </w:p>
    <w:p>
      <w:pPr>
        <w:pStyle w:val="Heading2"/>
        <w:spacing w:after="160" w:before="300"/>
      </w:pPr>
      <w:r>
        <w:rPr>
          <w:rFonts w:ascii="Arial" w:cs="Arial" w:eastAsia="Arial" w:hAnsi="Arial"/>
          <w:b/>
          <w:bCs/>
          <w:color w:val="2E5FA3"/>
          <w:sz w:val="28"/>
          <w:szCs w:val="28"/>
        </w:rPr>
        <w:t xml:space="preserve">5.1 Telemetry ingest path (on-prem →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
        <w:gridCol w:w="3600"/>
        <w:gridCol w:w="5220"/>
      </w:tblGrid>
      <w:tr>
        <w:tc>
          <w:tcPr>
            <w:tcW w:type="dxa" w:w="5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w:t>
            </w:r>
          </w:p>
        </w:tc>
        <w:tc>
          <w:tcPr>
            <w:tcW w:type="dxa" w:w="36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Step</w:t>
            </w:r>
          </w:p>
        </w:tc>
        <w:tc>
          <w:tcPr>
            <w:tcW w:type="dxa" w:w="522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Detail</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1</w:t>
            </w:r>
          </w:p>
        </w:tc>
        <w:tc>
          <w:tcPr>
            <w:tcW w:type="dxa" w:w="36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av-bridge polls devices (configurable interval, default 60s)</w:t>
            </w:r>
          </w:p>
        </w:tc>
        <w:tc>
          <w:tcPr>
            <w:tcW w:type="dxa" w:w="52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Each device adapter calls its protocol-specific poll method and returns a Telemetry struct containing status, metrics, and tags.</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2</w:t>
            </w:r>
          </w:p>
        </w:tc>
        <w:tc>
          <w:tcPr>
            <w:tcW w:type="dxa" w:w="36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Telemetry and events buffered in memory</w:t>
            </w:r>
          </w:p>
        </w:tc>
        <w:tc>
          <w:tcPr>
            <w:tcW w:type="dxa" w:w="52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The cloud publisher accumulates payloads in a thread-safe buffer for the push interval (default 30s).</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3</w:t>
            </w:r>
          </w:p>
        </w:tc>
        <w:tc>
          <w:tcPr>
            <w:tcW w:type="dxa" w:w="36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Batch POST to ALB webhook endpoint</w:t>
            </w:r>
          </w:p>
        </w:tc>
        <w:tc>
          <w:tcPr>
            <w:tcW w:type="dxa" w:w="52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 single JSON payload containing all buffered telemetry and events is sent via HTTPS. The payload is signed with an HMAC-SHA256 signature in the X-Signature header.</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4</w:t>
            </w:r>
          </w:p>
        </w:tc>
        <w:tc>
          <w:tcPr>
            <w:tcW w:type="dxa" w:w="36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ALB routes to Ingest ECS service</w:t>
            </w:r>
          </w:p>
        </w:tc>
        <w:tc>
          <w:tcPr>
            <w:tcW w:type="dxa" w:w="52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WAF evaluates the request. ALB forwards to a healthy Ingest container. TLS is terminated at the ALB.</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5</w:t>
            </w:r>
          </w:p>
        </w:tc>
        <w:tc>
          <w:tcPr>
            <w:tcW w:type="dxa" w:w="36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Ingest service validates and enqueues</w:t>
            </w:r>
          </w:p>
        </w:tc>
        <w:tc>
          <w:tcPr>
            <w:tcW w:type="dxa" w:w="52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HMAC signature is verified against the site's stored secret from Secrets Manager. Valid payloads are written to the SQS Telemetry Queue.</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6</w:t>
            </w:r>
          </w:p>
        </w:tc>
        <w:tc>
          <w:tcPr>
            <w:tcW w:type="dxa" w:w="36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Lambda processor consumes queue</w:t>
            </w:r>
          </w:p>
        </w:tc>
        <w:tc>
          <w:tcPr>
            <w:tcW w:type="dxa" w:w="52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Lambda polls SQS, normalises the payload, writes structured records to RDS Aurora, and stores the raw payload in S3.</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7</w:t>
            </w:r>
          </w:p>
        </w:tc>
        <w:tc>
          <w:tcPr>
            <w:tcW w:type="dxa" w:w="36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Alert evaluation</w:t>
            </w:r>
          </w:p>
        </w:tc>
        <w:tc>
          <w:tcPr>
            <w:tcW w:type="dxa" w:w="52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If any device status in the payload is offline or degraded, Lambda checks against stored thresholds and publishes an alert event to SNS if the cooldown has elapsed.</w:t>
            </w:r>
          </w:p>
        </w:tc>
      </w:tr>
    </w:tbl>
    <w:p>
      <w:pPr>
        <w:spacing w:after="0" w:before="0"/>
      </w:pPr>
      <w:r>
        <w:rPr>
          <w:rFonts w:ascii="Arial" w:cs="Arial" w:eastAsia="Arial" w:hAnsi="Arial"/>
          <w:sz w:val="22"/>
          <w:szCs w:val="22"/>
        </w:rPr>
        <w:t xml:space="preserve"/>
      </w:r>
    </w:p>
    <w:p>
      <w:pPr>
        <w:pStyle w:val="Heading2"/>
        <w:spacing w:after="160" w:before="300"/>
      </w:pPr>
      <w:r>
        <w:rPr>
          <w:rFonts w:ascii="Arial" w:cs="Arial" w:eastAsia="Arial" w:hAnsi="Arial"/>
          <w:b/>
          <w:bCs/>
          <w:color w:val="2E5FA3"/>
          <w:sz w:val="28"/>
          <w:szCs w:val="28"/>
        </w:rPr>
        <w:t xml:space="preserve">5.2 Command dispatch path (cloud → on-prem)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
        <w:gridCol w:w="3600"/>
        <w:gridCol w:w="5220"/>
      </w:tblGrid>
      <w:tr>
        <w:tc>
          <w:tcPr>
            <w:tcW w:type="dxa" w:w="5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w:t>
            </w:r>
          </w:p>
        </w:tc>
        <w:tc>
          <w:tcPr>
            <w:tcW w:type="dxa" w:w="36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Step</w:t>
            </w:r>
          </w:p>
        </w:tc>
        <w:tc>
          <w:tcPr>
            <w:tcW w:type="dxa" w:w="522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Detail</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1</w:t>
            </w:r>
          </w:p>
        </w:tc>
        <w:tc>
          <w:tcPr>
            <w:tcW w:type="dxa" w:w="36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Operator issues command in portal UI</w:t>
            </w:r>
          </w:p>
        </w:tc>
        <w:tc>
          <w:tcPr>
            <w:tcW w:type="dxa" w:w="52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Portal frontend calls the Portal API with the target site ID, device ID, command name, and optional arguments.</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2</w:t>
            </w:r>
          </w:p>
        </w:tc>
        <w:tc>
          <w:tcPr>
            <w:tcW w:type="dxa" w:w="36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Portal API authenticates and enqueues</w:t>
            </w:r>
          </w:p>
        </w:tc>
        <w:tc>
          <w:tcPr>
            <w:tcW w:type="dxa" w:w="52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API validates the operator's session, resolves the site's av-bridge endpoint from RDS, and writes the command to the SQS Command Queue.</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3</w:t>
            </w:r>
          </w:p>
        </w:tc>
        <w:tc>
          <w:tcPr>
            <w:tcW w:type="dxa" w:w="36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Lambda command dispatcher polls queue</w:t>
            </w:r>
          </w:p>
        </w:tc>
        <w:tc>
          <w:tcPr>
            <w:tcW w:type="dxa" w:w="52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 separate Lambda function polls the Command Queue and forwards each command to the target site via HTTPS POST to the av-bridge local API.</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4</w:t>
            </w:r>
          </w:p>
        </w:tc>
        <w:tc>
          <w:tcPr>
            <w:tcW w:type="dxa" w:w="36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av-bridge local API receives command</w:t>
            </w:r>
          </w:p>
        </w:tc>
        <w:tc>
          <w:tcPr>
            <w:tcW w:type="dxa" w:w="52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Bearer token is verified. The hub dispatches the command to the appropriate device adapter.</w:t>
            </w:r>
          </w:p>
        </w:tc>
      </w:tr>
      <w:tr>
        <w:tc>
          <w:tcPr>
            <w:tcW w:type="dxa" w:w="5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5</w:t>
            </w:r>
          </w:p>
        </w:tc>
        <w:tc>
          <w:tcPr>
            <w:tcW w:type="dxa" w:w="36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Adapter sends command to device</w:t>
            </w:r>
          </w:p>
        </w:tc>
        <w:tc>
          <w:tcPr>
            <w:tcW w:type="dxa" w:w="522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The adapter translates the named command to the device-specific protocol (HTTP call, WebSocket message, Telnet string, or serial bytes).</w:t>
            </w:r>
          </w:p>
        </w:tc>
      </w:tr>
      <w:tr>
        <w:tc>
          <w:tcPr>
            <w:tcW w:type="dxa" w:w="5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6</w:t>
            </w:r>
          </w:p>
        </w:tc>
        <w:tc>
          <w:tcPr>
            <w:tcW w:type="dxa" w:w="36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Response returned to cloud</w:t>
            </w:r>
          </w:p>
        </w:tc>
        <w:tc>
          <w:tcPr>
            <w:tcW w:type="dxa" w:w="522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The device response is returned to the Lambda function, which writes the result back to RDS and optionally notifies the portal via WebSocket push.</w:t>
            </w:r>
          </w:p>
        </w:tc>
      </w:tr>
    </w:tbl>
    <w:p>
      <w:pPr>
        <w:spacing w:after="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6. Security Design</w:t>
      </w:r>
    </w:p>
    <w:p>
      <w:pPr>
        <w:pStyle w:val="Heading2"/>
        <w:spacing w:after="160" w:before="300"/>
      </w:pPr>
      <w:r>
        <w:rPr>
          <w:rFonts w:ascii="Arial" w:cs="Arial" w:eastAsia="Arial" w:hAnsi="Arial"/>
          <w:b/>
          <w:bCs/>
          <w:color w:val="2E5FA3"/>
          <w:sz w:val="28"/>
          <w:szCs w:val="28"/>
        </w:rPr>
        <w:t xml:space="preserve">6.1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160"/>
        <w:gridCol w:w="4800"/>
      </w:tblGrid>
      <w:tr>
        <w:tc>
          <w:tcPr>
            <w:tcW w:type="dxa" w:w="24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Layer</w:t>
            </w:r>
          </w:p>
        </w:tc>
        <w:tc>
          <w:tcPr>
            <w:tcW w:type="dxa" w:w="216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Control</w:t>
            </w:r>
          </w:p>
        </w:tc>
        <w:tc>
          <w:tcPr>
            <w:tcW w:type="dxa" w:w="48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Implementation</w:t>
            </w:r>
          </w:p>
        </w:tc>
      </w:tr>
      <w:tr>
        <w:tc>
          <w:tcPr>
            <w:tcW w:type="dxa" w:w="2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Transport</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TLS 1.3 everywhere</w:t>
            </w:r>
          </w:p>
        </w:tc>
        <w:tc>
          <w:tcPr>
            <w:tcW w:type="dxa" w:w="4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ALB terminates TLS using ACM-managed certificates. av-bridge optionally runs its local API over TLS for sites that require encrypted internal traffic. All cloud SDK calls use TLS by default.</w:t>
            </w:r>
          </w:p>
        </w:tc>
      </w:tr>
      <w:tr>
        <w:tc>
          <w:tcPr>
            <w:tcW w:type="dxa" w:w="2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Authentication (ingest)</w:t>
            </w:r>
          </w:p>
        </w:tc>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HMAC-SHA256 signature</w:t>
            </w:r>
          </w:p>
        </w:tc>
        <w:tc>
          <w:tcPr>
            <w:tcW w:type="dxa" w:w="48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Each site has a unique HMAC secret stored in AWS Secrets Manager. The av-bridge daemon signs every webhook payload. The ingest service verifies the signature before accepting the payload.</w:t>
            </w:r>
          </w:p>
        </w:tc>
      </w:tr>
      <w:tr>
        <w:tc>
          <w:tcPr>
            <w:tcW w:type="dxa" w:w="2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Authentication (local API)</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Bearer token</w:t>
            </w:r>
          </w:p>
        </w:tc>
        <w:tc>
          <w:tcPr>
            <w:tcW w:type="dxa" w:w="4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Static bearer tokens stored in /etc/av-bridge/env (readable only by root and av-bridge user). Optional: API key rotation via Ansible re-deploy or cloud-triggered config update.</w:t>
            </w:r>
          </w:p>
        </w:tc>
      </w:tr>
      <w:tr>
        <w:tc>
          <w:tcPr>
            <w:tcW w:type="dxa" w:w="2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Network</w:t>
            </w:r>
          </w:p>
        </w:tc>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WAF + security groups</w:t>
            </w:r>
          </w:p>
        </w:tc>
        <w:tc>
          <w:tcPr>
            <w:tcW w:type="dxa" w:w="48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WAF rate-limits ingest endpoints and can IP-allowlist known site egress addresses. ECS tasks and RDS are in private subnets. Tailscale mesh VPN provides authenticated remote access without inbound firewall rules.</w:t>
            </w:r>
          </w:p>
        </w:tc>
      </w:tr>
      <w:tr>
        <w:tc>
          <w:tcPr>
            <w:tcW w:type="dxa" w:w="2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Secrets</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AWS Secrets Manager</w:t>
            </w:r>
          </w:p>
        </w:tc>
        <w:tc>
          <w:tcPr>
            <w:tcW w:type="dxa" w:w="4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No secrets in source control or config files. On-prem secrets are in /etc/av-bridge/env (mode 640). Cloud service credentials are injected at ECS task launch via IAM role.</w:t>
            </w:r>
          </w:p>
        </w:tc>
      </w:tr>
      <w:tr>
        <w:tc>
          <w:tcPr>
            <w:tcW w:type="dxa" w:w="2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Least privilege</w:t>
            </w:r>
          </w:p>
        </w:tc>
        <w:tc>
          <w:tcPr>
            <w:tcW w:type="dxa" w:w="21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IAM + systemd hardening</w:t>
            </w:r>
          </w:p>
        </w:tc>
        <w:tc>
          <w:tcPr>
            <w:tcW w:type="dxa" w:w="48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IAM roles are scoped per service (ingest cannot read portal data; Lambda cannot write to S3 directly). The av-bridge systemd unit sets NoNewPrivileges, ProtectSystem=strict, PrivateTmp, and CapabilityBoundingSet=.</w:t>
            </w:r>
          </w:p>
        </w:tc>
      </w:tr>
      <w:tr>
        <w:tc>
          <w:tcPr>
            <w:tcW w:type="dxa" w:w="2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Audit</w:t>
            </w:r>
          </w:p>
        </w:tc>
        <w:tc>
          <w:tcPr>
            <w:tcW w:type="dxa" w:w="21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Structured JSON logging</w:t>
            </w:r>
          </w:p>
        </w:tc>
        <w:tc>
          <w:tcPr>
            <w:tcW w:type="dxa" w:w="48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All API requests, command dispatches, and alert events are logged in structured JSON to CloudWatch Logs and journald. Logs are retained for 90 days minimum.</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5FA3" w:sz="4"/>
              <w:left w:val="single" w:color="2E5FA3" w:sz="4"/>
              <w:bottom w:val="single" w:color="BFBFBF" w:sz="1"/>
              <w:right w:val="single" w:color="BFBFBF" w:sz="1"/>
            </w:tcBorders>
            <w:shd w:fill="D4EDDA" w:val="clear"/>
            <w:tcMar>
              <w:top w:type="dxa" w:w="120"/>
              <w:left w:type="dxa" w:w="160"/>
              <w:bottom w:type="dxa" w:w="120"/>
              <w:right w:type="dxa" w:w="160"/>
            </w:tcMar>
          </w:tcPr>
          <w:p>
            <w:pPr>
              <w:spacing w:after="60"/>
            </w:pPr>
            <w:r>
              <w:rPr>
                <w:rFonts w:ascii="Arial" w:cs="Arial" w:eastAsia="Arial" w:hAnsi="Arial"/>
                <w:b/>
                <w:bCs/>
                <w:color w:val="2E5FA3"/>
                <w:sz w:val="20"/>
                <w:szCs w:val="20"/>
              </w:rPr>
              <w:t xml:space="preserve">GDPR Note</w:t>
            </w:r>
          </w:p>
          <w:p>
            <w:pPr>
              <w:spacing w:after="0"/>
            </w:pPr>
            <w:r>
              <w:rPr>
                <w:rFonts w:ascii="Arial" w:cs="Arial" w:eastAsia="Arial" w:hAnsi="Arial"/>
                <w:sz w:val="20"/>
                <w:szCs w:val="20"/>
              </w:rPr>
              <w:t xml:space="preserve">All AWS infrastructure is provisioned in eu-west-2 (London). No telemetry data leaves the UK/EU jurisdiction. S3 bucket policies enforce region restrictions. Data retention policies (90 days active, Glacier after 90 days, deletion after 7 years) are configured via S3 lifecycle rules and RDS automated backup settings.</w:t>
            </w:r>
          </w:p>
        </w:tc>
      </w:tr>
    </w:tbl>
    <w:p>
      <w:pPr>
        <w:spacing w:after="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7. Delivery Plan</w:t>
      </w:r>
    </w:p>
    <w:p>
      <w:pPr>
        <w:spacing w:after="120"/>
      </w:pPr>
      <w:r>
        <w:rPr>
          <w:rFonts w:ascii="Arial" w:cs="Arial" w:eastAsia="Arial" w:hAnsi="Arial"/>
          <w:sz w:val="22"/>
          <w:szCs w:val="22"/>
        </w:rPr>
        <w:t xml:space="preserve">The project is structured into four delivery phases over an estimated 18 weeks. Each phase produces working, deployable software — there is no big-bang release.</w:t>
      </w:r>
    </w:p>
    <w:p>
      <w:pPr>
        <w:spacing w:after="0" w:before="0"/>
      </w:pPr>
      <w:r>
        <w:rPr>
          <w:rFonts w:ascii="Arial" w:cs="Arial" w:eastAsia="Arial" w:hAnsi="Arial"/>
          <w:sz w:val="22"/>
          <w:szCs w:val="22"/>
        </w:rPr>
        <w:t xml:space="preserve"/>
      </w:r>
    </w:p>
    <w:p>
      <w:pPr>
        <w:pStyle w:val="Heading2"/>
        <w:spacing w:after="160" w:before="300"/>
      </w:pPr>
      <w:r>
        <w:rPr>
          <w:rFonts w:ascii="Arial" w:cs="Arial" w:eastAsia="Arial" w:hAnsi="Arial"/>
          <w:b/>
          <w:bCs/>
          <w:color w:val="2E5FA3"/>
          <w:sz w:val="28"/>
          <w:szCs w:val="28"/>
        </w:rPr>
        <w:t xml:space="preserve">7.1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2880"/>
        <w:gridCol w:w="3600"/>
        <w:gridCol w:w="1440"/>
      </w:tblGrid>
      <w:tr>
        <w:tc>
          <w:tcPr>
            <w:tcW w:type="dxa" w:w="14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Phase</w:t>
            </w:r>
          </w:p>
        </w:tc>
        <w:tc>
          <w:tcPr>
            <w:tcW w:type="dxa" w:w="288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Name</w:t>
            </w:r>
          </w:p>
        </w:tc>
        <w:tc>
          <w:tcPr>
            <w:tcW w:type="dxa" w:w="36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Key deliverables</w:t>
            </w:r>
          </w:p>
        </w:tc>
        <w:tc>
          <w:tcPr>
            <w:tcW w:type="dxa" w:w="14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Duration</w:t>
            </w:r>
          </w:p>
        </w:tc>
      </w:tr>
      <w:tr>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1</w:t>
            </w:r>
          </w:p>
        </w:tc>
        <w:tc>
          <w:tcPr>
            <w:tcW w:type="dxa" w:w="28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Foundation</w:t>
            </w:r>
          </w:p>
        </w:tc>
        <w:tc>
          <w:tcPr>
            <w:tcW w:type="dxa" w:w="36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Go service skeleton, REST &amp; WebSocket adapters, cloud webhook publisher, basic config &amp; secrets, systemd unit, Ansible role, CI pipeline</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4 weeks</w:t>
            </w:r>
          </w:p>
        </w:tc>
      </w:tr>
      <w:tr>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2</w:t>
            </w:r>
          </w:p>
        </w:tc>
        <w:tc>
          <w:tcPr>
            <w:tcW w:type="dxa" w:w="28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Protocol coverage</w:t>
            </w:r>
          </w:p>
        </w:tc>
        <w:tc>
          <w:tcPr>
            <w:tcW w:type="dxa" w:w="36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Telnet &amp; RS-232/Serial adapters, local REST API (list/status/command), bearer token auth, alert engine, state store, unit test suite</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4 weeks</w:t>
            </w:r>
          </w:p>
        </w:tc>
      </w:tr>
      <w:tr>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3</w:t>
            </w:r>
          </w:p>
        </w:tc>
        <w:tc>
          <w:tcPr>
            <w:tcW w:type="dxa" w:w="28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AWS cloud backend</w:t>
            </w:r>
          </w:p>
        </w:tc>
        <w:tc>
          <w:tcPr>
            <w:tcW w:type="dxa" w:w="36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ALB + WAF, ECS Fargate ingest service, SQS queues, Lambda processor, RDS Aurora schema, S3 archival, SNS alerting, Secrets Manager integration</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6 weeks</w:t>
            </w:r>
          </w:p>
        </w:tc>
      </w:tr>
      <w:tr>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4</w:t>
            </w:r>
          </w:p>
        </w:tc>
        <w:tc>
          <w:tcPr>
            <w:tcW w:type="dxa" w:w="28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Operationalisation</w:t>
            </w:r>
          </w:p>
        </w:tc>
        <w:tc>
          <w:tcPr>
            <w:tcW w:type="dxa" w:w="36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Multi-site Ansible fleet automation, Grafana dashboard &amp; Prometheus alerting rules, self-update script + systemd timer, Tailscale integration, load &amp; chaos testing, documentation</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4 weeks</w:t>
            </w:r>
          </w:p>
        </w:tc>
      </w:tr>
    </w:tbl>
    <w:p>
      <w:pPr>
        <w:spacing w:after="0" w:before="0"/>
      </w:pPr>
      <w:r>
        <w:rPr>
          <w:rFonts w:ascii="Arial" w:cs="Arial" w:eastAsia="Arial" w:hAnsi="Arial"/>
          <w:sz w:val="22"/>
          <w:szCs w:val="22"/>
        </w:rPr>
        <w:t xml:space="preserve"/>
      </w:r>
    </w:p>
    <w:p>
      <w:pPr>
        <w:pStyle w:val="Heading2"/>
        <w:spacing w:after="160" w:before="300"/>
      </w:pPr>
      <w:r>
        <w:rPr>
          <w:rFonts w:ascii="Arial" w:cs="Arial" w:eastAsia="Arial" w:hAnsi="Arial"/>
          <w:b/>
          <w:bCs/>
          <w:color w:val="2E5FA3"/>
          <w:sz w:val="28"/>
          <w:szCs w:val="28"/>
        </w:rPr>
        <w:t xml:space="preserve">7.2 Level of effort — on-premises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0"/>
        <w:gridCol w:w="1440"/>
        <w:gridCol w:w="1440"/>
        <w:gridCol w:w="1440"/>
        <w:gridCol w:w="2080"/>
      </w:tblGrid>
      <w:tr>
        <w:tc>
          <w:tcPr>
            <w:tcW w:type="dxa" w:w="396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Work item</w:t>
            </w:r>
          </w:p>
        </w:tc>
        <w:tc>
          <w:tcPr>
            <w:tcW w:type="dxa" w:w="14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Phase</w:t>
            </w:r>
          </w:p>
        </w:tc>
        <w:tc>
          <w:tcPr>
            <w:tcW w:type="dxa" w:w="14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Days (Low)</w:t>
            </w:r>
          </w:p>
        </w:tc>
        <w:tc>
          <w:tcPr>
            <w:tcW w:type="dxa" w:w="14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Days (High)</w:t>
            </w:r>
          </w:p>
        </w:tc>
        <w:tc>
          <w:tcPr>
            <w:tcW w:type="dxa" w:w="208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Notes</w:t>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Go module setup, CI pipeline, linting</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GitHub Actions or similar</w:t>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Config loader, validation, env expansion</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Device interface &amp; base struct</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REST adapter + unit tests</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httptest mock server</w:t>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WebSocket adapter + unit tests</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Telnet/TCP adapter + unit tests</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RS-232/Serial adapter + unit tests</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4</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Hardware testing adds variance</w:t>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Hub (lifecycle, reconnect, polling)</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Cloud publisher (batch, retry, flush)</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Local REST API server + middleware</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4</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Auth, logging, recovery</w:t>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Alert engine + state store</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Prometheus /metrics endpoint</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Ansible role (full idempotent deploy)</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1–4</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5</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Templates, vault, smoke test</w:t>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Self-update script + systemd timer</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4</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Dockerfile + docker-compose</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Dev/test only</w:t>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Integration tests (real device sims)</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2–4</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5</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Docker-based simulators</w:t>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Documentation &amp; runbooks</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4</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spacing w:after="0"/>
            </w:pPr>
            <w:r>
              <w:rPr>
                <w:rFonts w:ascii="Arial" w:cs="Arial" w:eastAsia="Arial" w:hAnsi="Arial"/>
                <w:b/>
                <w:bCs/>
                <w:color w:val="FFFFFF"/>
                <w:sz w:val="22"/>
                <w:szCs w:val="22"/>
              </w:rPr>
              <w:t xml:space="preserve">On-premises service total</w:t>
            </w:r>
          </w:p>
        </w:tc>
        <w:tc>
          <w:tcPr>
            <w:tcW w:type="dxa" w:w="1440"/>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spacing w:after="0"/>
            </w:pPr>
            <w:r>
              <w:rPr>
                <w:rFonts w:ascii="Arial" w:cs="Arial" w:eastAsia="Arial" w:hAnsi="Arial"/>
                <w:sz w:val="22"/>
                <w:szCs w:val="22"/>
              </w:rPr>
              <w:t xml:space="preserve"/>
            </w:r>
          </w:p>
        </w:tc>
        <w:tc>
          <w:tcPr>
            <w:tcW w:type="dxa" w:w="1440"/>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spacing w:after="0"/>
            </w:pPr>
            <w:r>
              <w:rPr>
                <w:rFonts w:ascii="Arial" w:cs="Arial" w:eastAsia="Arial" w:hAnsi="Arial"/>
                <w:b/>
                <w:bCs/>
                <w:color w:val="FFFFFF"/>
                <w:sz w:val="22"/>
                <w:szCs w:val="22"/>
              </w:rPr>
              <w:t xml:space="preserve">28</w:t>
            </w:r>
          </w:p>
        </w:tc>
        <w:tc>
          <w:tcPr>
            <w:tcW w:type="dxa" w:w="1440"/>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spacing w:after="0"/>
            </w:pPr>
            <w:r>
              <w:rPr>
                <w:rFonts w:ascii="Arial" w:cs="Arial" w:eastAsia="Arial" w:hAnsi="Arial"/>
                <w:b/>
                <w:bCs/>
                <w:color w:val="FFFFFF"/>
                <w:sz w:val="22"/>
                <w:szCs w:val="22"/>
              </w:rPr>
              <w:t xml:space="preserve">44</w:t>
            </w:r>
          </w:p>
        </w:tc>
        <w:tc>
          <w:tcPr>
            <w:tcW w:type="dxa" w:w="2080"/>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spacing w:after="0"/>
            </w:pPr>
            <w:r>
              <w:rPr>
                <w:rFonts w:ascii="Arial" w:cs="Arial" w:eastAsia="Arial" w:hAnsi="Arial"/>
                <w:color w:val="FFFFFF"/>
                <w:sz w:val="22"/>
                <w:szCs w:val="22"/>
              </w:rPr>
              <w:t xml:space="preserve">Engineering days</w:t>
            </w:r>
          </w:p>
        </w:tc>
      </w:tr>
    </w:tbl>
    <w:p>
      <w:pPr>
        <w:spacing w:after="0" w:before="0"/>
      </w:pPr>
      <w:r>
        <w:rPr>
          <w:rFonts w:ascii="Arial" w:cs="Arial" w:eastAsia="Arial" w:hAnsi="Arial"/>
          <w:sz w:val="22"/>
          <w:szCs w:val="22"/>
        </w:rPr>
        <w:t xml:space="preserve"/>
      </w:r>
    </w:p>
    <w:p>
      <w:pPr>
        <w:pStyle w:val="Heading2"/>
        <w:spacing w:after="160" w:before="300"/>
      </w:pPr>
      <w:r>
        <w:rPr>
          <w:rFonts w:ascii="Arial" w:cs="Arial" w:eastAsia="Arial" w:hAnsi="Arial"/>
          <w:b/>
          <w:bCs/>
          <w:color w:val="2E5FA3"/>
          <w:sz w:val="28"/>
          <w:szCs w:val="28"/>
        </w:rPr>
        <w:t xml:space="preserve">7.3 Level of effort — AWS cloud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0"/>
        <w:gridCol w:w="1440"/>
        <w:gridCol w:w="1440"/>
        <w:gridCol w:w="1440"/>
        <w:gridCol w:w="2080"/>
      </w:tblGrid>
      <w:tr>
        <w:tc>
          <w:tcPr>
            <w:tcW w:type="dxa" w:w="396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Work item</w:t>
            </w:r>
          </w:p>
        </w:tc>
        <w:tc>
          <w:tcPr>
            <w:tcW w:type="dxa" w:w="14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Phase</w:t>
            </w:r>
          </w:p>
        </w:tc>
        <w:tc>
          <w:tcPr>
            <w:tcW w:type="dxa" w:w="14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Days (Low)</w:t>
            </w:r>
          </w:p>
        </w:tc>
        <w:tc>
          <w:tcPr>
            <w:tcW w:type="dxa" w:w="14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Days (High)</w:t>
            </w:r>
          </w:p>
        </w:tc>
        <w:tc>
          <w:tcPr>
            <w:tcW w:type="dxa" w:w="208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Notes</w:t>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VPC, subnets, security groups, NAT GW</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Terraform recommended</w:t>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ALB + ACM certificate + WAF rules</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ECS Fargate cluster + ingest service</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5</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Docker image, task definition, service</w:t>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ECS Fargate portal API service</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5</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Auth middleware, RDS integration</w:t>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SQS queues + DLQ configuration</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Lambda processor (SQS consumer)</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4</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Normalisation, RDS write, S3, SNS</w:t>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RDS Aurora PostgreSQL (schema + migrations)</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4</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Multi-AZ, parameter groups</w:t>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S3 bucket + lifecycle policy</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SNS topics + subscriptions (email, Slack, PD)</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Slack Lambda target</w:t>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Secrets Manager + IAM roles</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CloudWatch Logs + dashboards</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1</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Amazon Managed Prometheus (AMP) + Grafana</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4</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Remote_write from Alloy</w:t>
            </w:r>
          </w:p>
        </w:tc>
      </w:tr>
      <w:tr>
        <w:tc>
          <w:tcPr>
            <w:tcW w:type="dxa" w:w="396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Terraform modules + CI/CD pipeline (IaC)</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3–4</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3</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5</w:t>
            </w:r>
          </w:p>
        </w:tc>
        <w:tc>
          <w:tcPr>
            <w:tcW w:type="dxa" w:w="2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18"/>
                <w:szCs w:val="18"/>
              </w:rPr>
              <w:t xml:space="preserve">Plan/apply workflow</w:t>
            </w:r>
          </w:p>
        </w:tc>
      </w:tr>
      <w:tr>
        <w:tc>
          <w:tcPr>
            <w:tcW w:type="dxa" w:w="396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Load testing &amp; chaos engineering</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4</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2</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4</w:t>
            </w:r>
          </w:p>
        </w:tc>
        <w:tc>
          <w:tcPr>
            <w:tcW w:type="dxa" w:w="2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18"/>
                <w:szCs w:val="18"/>
              </w:rPr>
              <w:t xml:space="preserve">k6 or Locust</w:t>
            </w:r>
          </w:p>
        </w:tc>
      </w:tr>
      <w:tr>
        <w:tc>
          <w:tcPr>
            <w:tcW w:type="dxa" w:w="3960"/>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spacing w:after="0"/>
            </w:pPr>
            <w:r>
              <w:rPr>
                <w:rFonts w:ascii="Arial" w:cs="Arial" w:eastAsia="Arial" w:hAnsi="Arial"/>
                <w:b/>
                <w:bCs/>
                <w:color w:val="FFFFFF"/>
                <w:sz w:val="22"/>
                <w:szCs w:val="22"/>
              </w:rPr>
              <w:t xml:space="preserve">AWS cloud backend total</w:t>
            </w:r>
          </w:p>
        </w:tc>
        <w:tc>
          <w:tcPr>
            <w:tcW w:type="dxa" w:w="1440"/>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spacing w:after="0"/>
            </w:pPr>
            <w:r>
              <w:rPr>
                <w:rFonts w:ascii="Arial" w:cs="Arial" w:eastAsia="Arial" w:hAnsi="Arial"/>
                <w:sz w:val="22"/>
                <w:szCs w:val="22"/>
              </w:rPr>
              <w:t xml:space="preserve"/>
            </w:r>
          </w:p>
        </w:tc>
        <w:tc>
          <w:tcPr>
            <w:tcW w:type="dxa" w:w="1440"/>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spacing w:after="0"/>
            </w:pPr>
            <w:r>
              <w:rPr>
                <w:rFonts w:ascii="Arial" w:cs="Arial" w:eastAsia="Arial" w:hAnsi="Arial"/>
                <w:b/>
                <w:bCs/>
                <w:color w:val="FFFFFF"/>
                <w:sz w:val="22"/>
                <w:szCs w:val="22"/>
              </w:rPr>
              <w:t xml:space="preserve">27</w:t>
            </w:r>
          </w:p>
        </w:tc>
        <w:tc>
          <w:tcPr>
            <w:tcW w:type="dxa" w:w="1440"/>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spacing w:after="0"/>
            </w:pPr>
            <w:r>
              <w:rPr>
                <w:rFonts w:ascii="Arial" w:cs="Arial" w:eastAsia="Arial" w:hAnsi="Arial"/>
                <w:b/>
                <w:bCs/>
                <w:color w:val="FFFFFF"/>
                <w:sz w:val="22"/>
                <w:szCs w:val="22"/>
              </w:rPr>
              <w:t xml:space="preserve">44</w:t>
            </w:r>
          </w:p>
        </w:tc>
        <w:tc>
          <w:tcPr>
            <w:tcW w:type="dxa" w:w="2080"/>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spacing w:after="0"/>
            </w:pPr>
            <w:r>
              <w:rPr>
                <w:rFonts w:ascii="Arial" w:cs="Arial" w:eastAsia="Arial" w:hAnsi="Arial"/>
                <w:color w:val="FFFFFF"/>
                <w:sz w:val="22"/>
                <w:szCs w:val="22"/>
              </w:rPr>
              <w:t xml:space="preserve">Engineering days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2E5FA3" w:sz="4"/>
              <w:left w:val="single" w:color="2E5FA3" w:sz="4"/>
              <w:bottom w:val="single" w:color="BFBFBF" w:sz="1"/>
              <w:right w:val="single" w:color="BFBFBF" w:sz="1"/>
            </w:tcBorders>
            <w:shd w:fill="D6E4F0" w:val="clear"/>
            <w:tcMar>
              <w:top w:type="dxa" w:w="120"/>
              <w:left w:type="dxa" w:w="160"/>
              <w:bottom w:type="dxa" w:w="120"/>
              <w:right w:type="dxa" w:w="160"/>
            </w:tcMar>
          </w:tcPr>
          <w:p>
            <w:pPr>
              <w:spacing w:after="60"/>
            </w:pPr>
            <w:r>
              <w:rPr>
                <w:rFonts w:ascii="Arial" w:cs="Arial" w:eastAsia="Arial" w:hAnsi="Arial"/>
                <w:b/>
                <w:bCs/>
                <w:color w:val="2E5FA3"/>
                <w:sz w:val="20"/>
                <w:szCs w:val="20"/>
              </w:rPr>
              <w:t xml:space="preserve">Total estimated effort</w:t>
            </w:r>
          </w:p>
          <w:p>
            <w:pPr>
              <w:spacing w:after="0"/>
            </w:pPr>
            <w:r>
              <w:rPr>
                <w:rFonts w:ascii="Arial" w:cs="Arial" w:eastAsia="Arial" w:hAnsi="Arial"/>
                <w:sz w:val="20"/>
                <w:szCs w:val="20"/>
              </w:rPr>
              <w:t xml:space="preserve">On-premises service: 28–44 engineering days
AWS cloud backend: 27–44 engineering days
Combined total: 55–88 engineering days (~11–18 elapsed weeks at full-time equivalent)
Variance is driven primarily by: hardware availability for serial device testing, number of device types requiring custom protocol mapping, and scope of the cloud portal UI (not included above — portal UI is a separate workstream).</w:t>
            </w:r>
          </w:p>
        </w:tc>
      </w:tr>
    </w:tbl>
    <w:p>
      <w:pPr>
        <w:spacing w:after="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440"/>
        <w:gridCol w:w="1440"/>
        <w:gridCol w:w="3480"/>
      </w:tblGrid>
      <w:tr>
        <w:tc>
          <w:tcPr>
            <w:tcW w:type="dxa" w:w="30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Risk</w:t>
            </w:r>
          </w:p>
        </w:tc>
        <w:tc>
          <w:tcPr>
            <w:tcW w:type="dxa" w:w="14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Likelihood</w:t>
            </w:r>
          </w:p>
        </w:tc>
        <w:tc>
          <w:tcPr>
            <w:tcW w:type="dxa" w:w="144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Impact</w:t>
            </w:r>
          </w:p>
        </w:tc>
        <w:tc>
          <w:tcPr>
            <w:tcW w:type="dxa" w:w="348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Mitigation</w:t>
            </w:r>
          </w:p>
        </w:tc>
      </w:tr>
      <w:tr>
        <w:tc>
          <w:tcPr>
            <w:tcW w:type="dxa" w:w="30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AV device uses a proprietary protocol not covered by the four standard adapters</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color w:val="C07A00"/>
                <w:sz w:val="22"/>
                <w:szCs w:val="22"/>
              </w:rPr>
              <w:t xml:space="preserve">Medium</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color w:val="C07A00"/>
                <w:sz w:val="22"/>
                <w:szCs w:val="22"/>
              </w:rPr>
              <w:t xml:space="preserve">Medium</w:t>
            </w:r>
          </w:p>
        </w:tc>
        <w:tc>
          <w:tcPr>
            <w:tcW w:type="dxa" w:w="34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The adapter factory pattern allows new protocol drivers to be added without touching existing code. Vendor SDKs or reverse-engineered protocols can be wrapped. Budget 2–5 additional days per novel protocol.</w:t>
            </w:r>
          </w:p>
        </w:tc>
      </w:tr>
      <w:tr>
        <w:tc>
          <w:tcPr>
            <w:tcW w:type="dxa" w:w="30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RS-232/Serial testing requires physical hardware access during development</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color w:val="C00000"/>
                <w:sz w:val="22"/>
                <w:szCs w:val="22"/>
              </w:rPr>
              <w:t xml:space="preserve">High</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color w:val="1E7E34"/>
                <w:sz w:val="22"/>
                <w:szCs w:val="22"/>
              </w:rPr>
              <w:t xml:space="preserve">Low</w:t>
            </w:r>
          </w:p>
        </w:tc>
        <w:tc>
          <w:tcPr>
            <w:tcW w:type="dxa" w:w="34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Serial adapter is tested with a software serial port emulator (socat) in CI. Hardware integration testing is deferred to site acceptance testing.</w:t>
            </w:r>
          </w:p>
        </w:tc>
      </w:tr>
      <w:tr>
        <w:tc>
          <w:tcPr>
            <w:tcW w:type="dxa" w:w="30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Customer network firewall blocks outbound HTTPS to AWS</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color w:val="1E7E34"/>
                <w:sz w:val="22"/>
                <w:szCs w:val="22"/>
              </w:rPr>
              <w:t xml:space="preserve">Low</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color w:val="C00000"/>
                <w:sz w:val="22"/>
                <w:szCs w:val="22"/>
              </w:rPr>
              <w:t xml:space="preserve">High</w:t>
            </w:r>
          </w:p>
        </w:tc>
        <w:tc>
          <w:tcPr>
            <w:tcW w:type="dxa" w:w="34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Outbound HTTPS on port 443 is almost universally permitted. If blocked, Tailscale or a site-specific proxy can be used. Document network requirements clearly in the deployment guide.</w:t>
            </w:r>
          </w:p>
        </w:tc>
      </w:tr>
      <w:tr>
        <w:tc>
          <w:tcPr>
            <w:tcW w:type="dxa" w:w="30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av-bridge daemon consumes excessive memory on devices with many AV endpoints</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color w:val="1E7E34"/>
                <w:sz w:val="22"/>
                <w:szCs w:val="22"/>
              </w:rPr>
              <w:t xml:space="preserve">Low</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color w:val="C07A00"/>
                <w:sz w:val="22"/>
                <w:szCs w:val="22"/>
              </w:rPr>
              <w:t xml:space="preserve">Medium</w:t>
            </w:r>
          </w:p>
        </w:tc>
        <w:tc>
          <w:tcPr>
            <w:tcW w:type="dxa" w:w="34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Go's memory footprint is typically under 30 MB RSS for 50 concurrent device connections. Each adapter uses a fixed-size event channel buffer (128 slots). Memory profiling is part of the Phase 4 load test.</w:t>
            </w:r>
          </w:p>
        </w:tc>
      </w:tr>
      <w:tr>
        <w:tc>
          <w:tcPr>
            <w:tcW w:type="dxa" w:w="30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Self-update rollback fails, leaving site with broken binary</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color w:val="1E7E34"/>
                <w:sz w:val="22"/>
                <w:szCs w:val="22"/>
              </w:rPr>
              <w:t xml:space="preserve">Low</w:t>
            </w:r>
          </w:p>
        </w:tc>
        <w:tc>
          <w:tcPr>
            <w:tcW w:type="dxa" w:w="144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color w:val="C00000"/>
                <w:sz w:val="22"/>
                <w:szCs w:val="22"/>
              </w:rPr>
              <w:t xml:space="preserve">High</w:t>
            </w:r>
          </w:p>
        </w:tc>
        <w:tc>
          <w:tcPr>
            <w:tcW w:type="dxa" w:w="34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Update script backs up the previous binary before swapping. Health check with 60s timeout triggers automatic rollback. Cloud portal receives a notification of rollback events for manual follow-up.</w:t>
            </w:r>
          </w:p>
        </w:tc>
      </w:tr>
      <w:tr>
        <w:tc>
          <w:tcPr>
            <w:tcW w:type="dxa" w:w="30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AWS cost overrun due to SQS/Lambda volume at scale</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color w:val="1E7E34"/>
                <w:sz w:val="22"/>
                <w:szCs w:val="22"/>
              </w:rPr>
              <w:t xml:space="preserve">Low</w:t>
            </w:r>
          </w:p>
        </w:tc>
        <w:tc>
          <w:tcPr>
            <w:tcW w:type="dxa" w:w="144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color w:val="C07A00"/>
                <w:sz w:val="22"/>
                <w:szCs w:val="22"/>
              </w:rPr>
              <w:t xml:space="preserve">Medium</w:t>
            </w:r>
          </w:p>
        </w:tc>
        <w:tc>
          <w:tcPr>
            <w:tcW w:type="dxa" w:w="34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At 30s push intervals with 10 sites and 20 devices each, Lambda invocations are ~2,880/day — well within free tier. RDS is the primary cost driver; Aurora Serverless v2 scales to zero when idle.</w:t>
            </w:r>
          </w:p>
        </w:tc>
      </w:tr>
    </w:tbl>
    <w:p>
      <w:pPr>
        <w:spacing w:after="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9. Assumptions &amp; Dependencies</w:t>
      </w:r>
    </w:p>
    <w:p>
      <w:pPr>
        <w:pStyle w:val="Heading2"/>
        <w:spacing w:after="160" w:before="300"/>
      </w:pPr>
      <w:r>
        <w:rPr>
          <w:rFonts w:ascii="Arial" w:cs="Arial" w:eastAsia="Arial" w:hAnsi="Arial"/>
          <w:b/>
          <w:bCs/>
          <w:color w:val="2E5FA3"/>
          <w:sz w:val="28"/>
          <w:szCs w:val="28"/>
        </w:rPr>
        <w:t xml:space="preserve">9.1 Assumptions</w:t>
      </w:r>
    </w:p>
    <w:p>
      <w:pPr>
        <w:pStyle w:val="ListParagraph"/>
        <w:numPr>
          <w:ilvl w:val="0"/>
          <w:numId w:val="2"/>
        </w:numPr>
        <w:spacing w:after="80"/>
      </w:pPr>
      <w:r>
        <w:rPr>
          <w:rFonts w:ascii="Arial" w:cs="Arial" w:eastAsia="Arial" w:hAnsi="Arial"/>
          <w:sz w:val="22"/>
          <w:szCs w:val="22"/>
        </w:rPr>
        <w:t xml:space="preserve">Each customer site has a dedicated Linux server (Ubuntu 22.04 LTS recommended) or VM with at least 1 vCPU and 512 MB RAM available for av-bridge.</w:t>
      </w:r>
    </w:p>
    <w:p>
      <w:pPr>
        <w:pStyle w:val="ListParagraph"/>
        <w:numPr>
          <w:ilvl w:val="0"/>
          <w:numId w:val="2"/>
        </w:numPr>
        <w:spacing w:after="80"/>
      </w:pPr>
      <w:r>
        <w:rPr>
          <w:rFonts w:ascii="Arial" w:cs="Arial" w:eastAsia="Arial" w:hAnsi="Arial"/>
          <w:sz w:val="22"/>
          <w:szCs w:val="22"/>
        </w:rPr>
        <w:t xml:space="preserve">Outbound HTTPS (port 443) is permitted from the customer network to the internet.</w:t>
      </w:r>
    </w:p>
    <w:p>
      <w:pPr>
        <w:pStyle w:val="ListParagraph"/>
        <w:numPr>
          <w:ilvl w:val="0"/>
          <w:numId w:val="2"/>
        </w:numPr>
        <w:spacing w:after="80"/>
      </w:pPr>
      <w:r>
        <w:rPr>
          <w:rFonts w:ascii="Arial" w:cs="Arial" w:eastAsia="Arial" w:hAnsi="Arial"/>
          <w:sz w:val="22"/>
          <w:szCs w:val="22"/>
        </w:rPr>
        <w:t xml:space="preserve">AV devices are accessible from the av-bridge host via IP or serial connection on the local network.</w:t>
      </w:r>
    </w:p>
    <w:p>
      <w:pPr>
        <w:pStyle w:val="ListParagraph"/>
        <w:numPr>
          <w:ilvl w:val="0"/>
          <w:numId w:val="2"/>
        </w:numPr>
        <w:spacing w:after="80"/>
      </w:pPr>
      <w:r>
        <w:rPr>
          <w:rFonts w:ascii="Arial" w:cs="Arial" w:eastAsia="Arial" w:hAnsi="Arial"/>
          <w:sz w:val="22"/>
          <w:szCs w:val="22"/>
        </w:rPr>
        <w:t xml:space="preserve">AWS account and IAM permissions are available for provisioning the cloud infrastructure in eu-west-2.</w:t>
      </w:r>
    </w:p>
    <w:p>
      <w:pPr>
        <w:pStyle w:val="ListParagraph"/>
        <w:numPr>
          <w:ilvl w:val="0"/>
          <w:numId w:val="2"/>
        </w:numPr>
        <w:spacing w:after="80"/>
      </w:pPr>
      <w:r>
        <w:rPr>
          <w:rFonts w:ascii="Arial" w:cs="Arial" w:eastAsia="Arial" w:hAnsi="Arial"/>
          <w:sz w:val="22"/>
          <w:szCs w:val="22"/>
        </w:rPr>
        <w:t xml:space="preserve">Device credential management (usernames, passwords for AV devices) is the responsibility of the deploying team and is stored in ansible-vault or equivalent.</w:t>
      </w:r>
    </w:p>
    <w:p>
      <w:pPr>
        <w:pStyle w:val="ListParagraph"/>
        <w:numPr>
          <w:ilvl w:val="0"/>
          <w:numId w:val="2"/>
        </w:numPr>
        <w:spacing w:after="80"/>
      </w:pPr>
      <w:r>
        <w:rPr>
          <w:rFonts w:ascii="Arial" w:cs="Arial" w:eastAsia="Arial" w:hAnsi="Arial"/>
          <w:sz w:val="22"/>
          <w:szCs w:val="22"/>
        </w:rPr>
        <w:t xml:space="preserve">The cloud portal UI is a separate workstream and is not in scope for this document.</w:t>
      </w:r>
    </w:p>
    <w:p>
      <w:pPr>
        <w:spacing w:after="0" w:before="0"/>
      </w:pPr>
      <w:r>
        <w:rPr>
          <w:rFonts w:ascii="Arial" w:cs="Arial" w:eastAsia="Arial" w:hAnsi="Arial"/>
          <w:sz w:val="22"/>
          <w:szCs w:val="22"/>
        </w:rPr>
        <w:t xml:space="preserve"/>
      </w:r>
    </w:p>
    <w:p>
      <w:pPr>
        <w:pStyle w:val="Heading2"/>
        <w:spacing w:after="160" w:before="300"/>
      </w:pPr>
      <w:r>
        <w:rPr>
          <w:rFonts w:ascii="Arial" w:cs="Arial" w:eastAsia="Arial" w:hAnsi="Arial"/>
          <w:b/>
          <w:bCs/>
          <w:color w:val="2E5FA3"/>
          <w:sz w:val="28"/>
          <w:szCs w:val="28"/>
        </w:rPr>
        <w:t xml:space="preserve">9.2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6480"/>
      </w:tblGrid>
      <w:tr>
        <w:tc>
          <w:tcPr>
            <w:tcW w:type="dxa" w:w="288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Dependency</w:t>
            </w:r>
          </w:p>
        </w:tc>
        <w:tc>
          <w:tcPr>
            <w:tcW w:type="dxa" w:w="648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Detail</w:t>
            </w:r>
          </w:p>
        </w:tc>
      </w:tr>
      <w:tr>
        <w:tc>
          <w:tcPr>
            <w:tcW w:type="dxa" w:w="28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Go toolchain 1.22+</w:t>
            </w:r>
          </w:p>
        </w:tc>
        <w:tc>
          <w:tcPr>
            <w:tcW w:type="dxa" w:w="64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Required for building the av-bridge binary. Not required on deployment hosts — only the compiled binary is deployed.</w:t>
            </w:r>
          </w:p>
        </w:tc>
      </w:tr>
      <w:tr>
        <w:tc>
          <w:tcPr>
            <w:tcW w:type="dxa" w:w="28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Ansible 2.15+</w:t>
            </w:r>
          </w:p>
        </w:tc>
        <w:tc>
          <w:tcPr>
            <w:tcW w:type="dxa" w:w="64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Required on the control machine (developer workstation or CI server) that runs deployments. Not required on target hosts.</w:t>
            </w:r>
          </w:p>
        </w:tc>
      </w:tr>
      <w:tr>
        <w:tc>
          <w:tcPr>
            <w:tcW w:type="dxa" w:w="28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AWS CLI + Terraform</w:t>
            </w:r>
          </w:p>
        </w:tc>
        <w:tc>
          <w:tcPr>
            <w:tcW w:type="dxa" w:w="64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Required for provisioning the cloud backend. Terraform state should be stored in S3 with DynamoDB locking.</w:t>
            </w:r>
          </w:p>
        </w:tc>
      </w:tr>
      <w:tr>
        <w:tc>
          <w:tcPr>
            <w:tcW w:type="dxa" w:w="28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GitHub (or equivalent)</w:t>
            </w:r>
          </w:p>
        </w:tc>
        <w:tc>
          <w:tcPr>
            <w:tcW w:type="dxa" w:w="64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Source control and CI/CD pipeline host. Also used as the binary release registry for the self-update mechanism.</w:t>
            </w:r>
          </w:p>
        </w:tc>
      </w:tr>
      <w:tr>
        <w:tc>
          <w:tcPr>
            <w:tcW w:type="dxa" w:w="28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sz w:val="22"/>
                <w:szCs w:val="22"/>
              </w:rPr>
              <w:t xml:space="preserve">Tailscale (optional)</w:t>
            </w:r>
          </w:p>
        </w:tc>
        <w:tc>
          <w:tcPr>
            <w:tcW w:type="dxa" w:w="64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Zero-trust VPN mesh for remote access to site local APIs. Free for small fleets. Requires a Tailscale account and auth key per site.</w:t>
            </w:r>
          </w:p>
        </w:tc>
      </w:tr>
      <w:tr>
        <w:tc>
          <w:tcPr>
            <w:tcW w:type="dxa" w:w="28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sz w:val="22"/>
                <w:szCs w:val="22"/>
              </w:rPr>
              <w:t xml:space="preserve">Physical AV hardware</w:t>
            </w:r>
          </w:p>
        </w:tc>
        <w:tc>
          <w:tcPr>
            <w:tcW w:type="dxa" w:w="64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At least one device of each supported type is required for integration testing. Serial devices require a USB-to-RS232 adaptor on the development machine.</w:t>
            </w:r>
          </w:p>
        </w:tc>
      </w:tr>
    </w:tbl>
    <w:p>
      <w:pPr>
        <w:spacing w:after="0" w:before="0"/>
      </w:pPr>
      <w:r>
        <w:rPr>
          <w:rFonts w:ascii="Arial" w:cs="Arial" w:eastAsia="Arial" w:hAnsi="Arial"/>
          <w:sz w:val="22"/>
          <w:szCs w:val="22"/>
        </w:rPr>
        <w:t xml:space="preserve"/>
      </w:r>
    </w:p>
    <w:p>
      <w:pPr>
        <w:spacing w:after="0"/>
      </w:pPr>
      <w:r>
        <w:br/>
      </w:r>
    </w:p>
    <w:p>
      <w:pPr>
        <w:pStyle w:val="Heading1"/>
        <w:pBdr>
          <w:bottom w:val="single" w:color="2E5FA3" w:sz="6" w:space="4"/>
        </w:pBdr>
        <w:spacing w:before="400" w:after="200"/>
      </w:pPr>
      <w:r>
        <w:rPr>
          <w:rFonts w:ascii="Arial" w:cs="Arial" w:eastAsia="Arial" w:hAnsi="Arial"/>
          <w:b/>
          <w:bCs/>
          <w:color w:val="1F3864"/>
          <w:sz w:val="36"/>
          <w:szCs w:val="36"/>
        </w:rPr>
        <w:t xml:space="preserve">Appendix B — Vendor Device Integration</w:t>
      </w:r>
    </w:p>
    <w:p>
      <w:pPr>
        <w:spacing w:after="120"/>
      </w:pPr>
      <w:r>
        <w:rPr>
          <w:rFonts w:ascii="Arial" w:cs="Arial" w:eastAsia="Arial" w:hAnsi="Arial"/>
          <w:sz w:val="22"/>
          <w:szCs w:val="22"/>
        </w:rPr>
        <w:t xml:space="preserve">This appendix documents the integration approach, configuration fields, and representative commands for the three named device types deployed in the current estate: Biamp Tesira DSPs, Sony Bravia Professional Displays, and Poly G7500 video codecs. Each requires a vendor-specific adapter that extends the relevant base transport (Telnet or REST) to handle manufacturer authentication and control model quirks.</w:t>
      </w:r>
    </w:p>
    <w:p>
      <w:pPr>
        <w:pStyle w:val="Heading2"/>
        <w:spacing w:before="300" w:after="160"/>
      </w:pPr>
      <w:r>
        <w:rPr>
          <w:rFonts w:ascii="Arial" w:cs="Arial" w:eastAsia="Arial" w:hAnsi="Arial"/>
          <w:b/>
          <w:bCs/>
          <w:color w:val="2E5FA3"/>
          <w:sz w:val="28"/>
          <w:szCs w:val="28"/>
        </w:rPr>
        <w:t xml:space="preserve">B.1 Biamp Tesira</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2160"/>
        <w:gridCol w:w="7200"/>
      </w:tblGrid>
      <w:tr>
        <w:tc>
          <w:tcPr>
            <w:tcW w:type="dxa" w:w="2160"/>
            <w:tcBorders/>
            <w:shd w:fill="1F3864" w:val="clear"/>
            <w:tcMar>
              <w:top w:type="dxa" w:w="80"/>
              <w:start w:type="dxa" w:w="120"/>
              <w:bottom w:type="dxa" w:w="80"/>
              <w:end w:type="dxa" w:w="120"/>
            </w:tcMar>
          </w:tcPr>
          <w:p>
            <w:pPr>
              <w:spacing w:after="0"/>
            </w:pPr>
            <w:r>
              <w:rPr>
                <w:rFonts w:ascii="Arial" w:cs="Arial" w:hAnsi="Arial"/>
                <w:b/>
                <w:color w:val="FFFFFF"/>
                <w:sz w:val="22"/>
              </w:rPr>
              <w:t>Property</w:t>
            </w:r>
          </w:p>
        </w:tc>
        <w:tc>
          <w:tcPr>
            <w:tcW w:type="dxa" w:w="7200"/>
            <w:tcBorders/>
            <w:shd w:fill="1F3864" w:val="clear"/>
            <w:tcMar>
              <w:top w:type="dxa" w:w="80"/>
              <w:start w:type="dxa" w:w="120"/>
              <w:bottom w:type="dxa" w:w="80"/>
              <w:end w:type="dxa" w:w="120"/>
            </w:tcMar>
          </w:tcPr>
          <w:p>
            <w:pPr>
              <w:spacing w:after="0"/>
            </w:pPr>
            <w:r>
              <w:rPr>
                <w:rFonts w:ascii="Arial" w:cs="Arial" w:hAnsi="Arial"/>
                <w:b/>
                <w:color w:val="FFFFFF"/>
                <w:sz w:val="22"/>
              </w:rPr>
              <w:t>Detail</w:t>
            </w:r>
          </w:p>
        </w:tc>
      </w:tr>
      <w:tr>
        <w:tc>
          <w:tcPr>
            <w:tcW w:type="dxa" w:w="2160"/>
            <w:tcMar>
              <w:top w:type="dxa" w:w="80"/>
              <w:start w:type="dxa" w:w="120"/>
              <w:bottom w:type="dxa" w:w="80"/>
              <w:end w:type="dxa" w:w="120"/>
            </w:tcMar>
          </w:tcPr>
          <w:p>
            <w:pPr>
              <w:spacing w:after="0"/>
            </w:pPr>
            <w:r>
              <w:rPr>
                <w:rFonts w:ascii="Arial" w:cs="Arial" w:hAnsi="Arial"/>
                <w:b/>
                <w:sz w:val="22"/>
              </w:rPr>
              <w:t>Control protocol</w:t>
            </w:r>
          </w:p>
        </w:tc>
        <w:tc>
          <w:tcPr>
            <w:tcW w:type="dxa" w:w="7200"/>
            <w:tcMar>
              <w:top w:type="dxa" w:w="80"/>
              <w:start w:type="dxa" w:w="120"/>
              <w:bottom w:type="dxa" w:w="80"/>
              <w:end w:type="dxa" w:w="120"/>
            </w:tcMar>
          </w:tcPr>
          <w:p>
            <w:pPr>
              <w:spacing w:after="0"/>
            </w:pPr>
            <w:r>
              <w:rPr>
                <w:rFonts w:ascii="Arial" w:cs="Arial" w:hAnsi="Arial"/>
                <w:sz w:val="22"/>
              </w:rPr>
              <w:t xml:space="preserve">Tesira Text Protocol (TTP) — ASCII text commands over Telnet (TCP port 23) or SSH. RS-232 serial is also supported for devices without network connectivity.</w:t>
            </w:r>
          </w:p>
        </w:tc>
      </w:tr>
      <w:tr>
        <w:tc>
          <w:tcPr>
            <w:tcW w:type="dxa" w:w="2160"/>
            <w:tcBorders/>
            <w:shd w:fill="EBF2FA" w:val="clear"/>
            <w:tcMar>
              <w:top w:type="dxa" w:w="80"/>
              <w:start w:type="dxa" w:w="120"/>
              <w:bottom w:type="dxa" w:w="80"/>
              <w:end w:type="dxa" w:w="120"/>
            </w:tcMar>
          </w:tcPr>
          <w:p>
            <w:pPr>
              <w:spacing w:after="0"/>
            </w:pPr>
            <w:r>
              <w:rPr>
                <w:rFonts w:ascii="Arial" w:cs="Arial" w:hAnsi="Arial"/>
                <w:b/>
                <w:sz w:val="22"/>
              </w:rPr>
              <w:t>av-bridge adapter</w:t>
            </w:r>
          </w:p>
        </w:tc>
        <w:tc>
          <w:tcPr>
            <w:tcW w:type="dxa" w:w="7200"/>
            <w:tcBorders/>
            <w:shd w:fill="EBF2FA" w:val="clear"/>
            <w:tcMar>
              <w:top w:type="dxa" w:w="80"/>
              <w:start w:type="dxa" w:w="120"/>
              <w:bottom w:type="dxa" w:w="80"/>
              <w:end w:type="dxa" w:w="120"/>
            </w:tcMar>
          </w:tcPr>
          <w:p>
            <w:pPr>
              <w:spacing w:after="0"/>
            </w:pPr>
            <w:r>
              <w:rPr>
                <w:rFonts w:ascii="Arial" w:cs="Arial" w:hAnsi="Arial"/>
                <w:sz w:val="22"/>
              </w:rPr>
              <w:t xml:space="preserve">TesiraAdapter — extends the Telnet base adapter. On connect, sends TTP subscription commands for key attributes (mute state, gain level, call status). Incoming subscription notifications are emitted as device events rather than requiring continuous polling. Instance tag names must match those defined in the Tesira software project file.</w:t>
            </w:r>
          </w:p>
        </w:tc>
      </w:tr>
      <w:tr>
        <w:tc>
          <w:tcPr>
            <w:tcW w:type="dxa" w:w="2160"/>
            <w:tcMar>
              <w:top w:type="dxa" w:w="80"/>
              <w:start w:type="dxa" w:w="120"/>
              <w:bottom w:type="dxa" w:w="80"/>
              <w:end w:type="dxa" w:w="120"/>
            </w:tcMar>
          </w:tcPr>
          <w:p>
            <w:pPr>
              <w:spacing w:after="0"/>
            </w:pPr>
            <w:r>
              <w:rPr>
                <w:rFonts w:ascii="Arial" w:cs="Arial" w:hAnsi="Arial"/>
                <w:b/>
                <w:sz w:val="22"/>
              </w:rPr>
              <w:t>Authentication</w:t>
            </w:r>
          </w:p>
        </w:tc>
        <w:tc>
          <w:tcPr>
            <w:tcW w:type="dxa" w:w="7200"/>
            <w:tcMar>
              <w:top w:type="dxa" w:w="80"/>
              <w:start w:type="dxa" w:w="120"/>
              <w:bottom w:type="dxa" w:w="80"/>
              <w:end w:type="dxa" w:w="120"/>
            </w:tcMar>
          </w:tcPr>
          <w:p>
            <w:pPr>
              <w:spacing w:after="0"/>
            </w:pPr>
            <w:r>
              <w:rPr>
                <w:rFonts w:ascii="Arial" w:cs="Arial" w:hAnsi="Arial"/>
                <w:sz w:val="22"/>
              </w:rPr>
              <w:t xml:space="preserve">Username and password sent as the first two lines after TCP connection. Configure via the username and password fields in config.yaml. Telnet and SSH can be enabled/disabled per device in Tesira Device Maintenance settings.</w:t>
            </w:r>
          </w:p>
        </w:tc>
      </w:tr>
      <w:tr>
        <w:tc>
          <w:tcPr>
            <w:tcW w:type="dxa" w:w="2160"/>
            <w:tcBorders/>
            <w:shd w:fill="EBF2FA" w:val="clear"/>
            <w:tcMar>
              <w:top w:type="dxa" w:w="80"/>
              <w:start w:type="dxa" w:w="120"/>
              <w:bottom w:type="dxa" w:w="80"/>
              <w:end w:type="dxa" w:w="120"/>
            </w:tcMar>
          </w:tcPr>
          <w:p>
            <w:pPr>
              <w:spacing w:after="0"/>
            </w:pPr>
            <w:r>
              <w:rPr>
                <w:rFonts w:ascii="Arial" w:cs="Arial" w:hAnsi="Arial"/>
                <w:b/>
                <w:sz w:val="22"/>
              </w:rPr>
              <w:t>Key capability</w:t>
            </w:r>
          </w:p>
        </w:tc>
        <w:tc>
          <w:tcPr>
            <w:tcW w:type="dxa" w:w="7200"/>
            <w:tcBorders/>
            <w:shd w:fill="EBF2FA" w:val="clear"/>
            <w:tcMar>
              <w:top w:type="dxa" w:w="80"/>
              <w:start w:type="dxa" w:w="120"/>
              <w:bottom w:type="dxa" w:w="80"/>
              <w:end w:type="dxa" w:w="120"/>
            </w:tcMar>
          </w:tcPr>
          <w:p>
            <w:pPr>
              <w:spacing w:after="0"/>
            </w:pPr>
            <w:r>
              <w:rPr>
                <w:rFonts w:ascii="Arial" w:cs="Arial" w:hAnsi="Arial"/>
                <w:sz w:val="22"/>
              </w:rPr>
              <w:t xml:space="preserve">TTP subscriptions push state change notifications to av-bridge automatically (mute toggled, gain changed, call connected/disconnected). This eliminates polling latency for operational events and reduces unnecessary TCP traffic compared to a timed poll approach.</w:t>
            </w:r>
          </w:p>
        </w:tc>
      </w:tr>
      <w:tr>
        <w:tc>
          <w:tcPr>
            <w:tcW w:type="dxa" w:w="2160"/>
            <w:tcMar>
              <w:top w:type="dxa" w:w="80"/>
              <w:start w:type="dxa" w:w="120"/>
              <w:bottom w:type="dxa" w:w="80"/>
              <w:end w:type="dxa" w:w="120"/>
            </w:tcMar>
          </w:tcPr>
          <w:p>
            <w:pPr>
              <w:spacing w:after="0"/>
            </w:pPr>
            <w:r>
              <w:rPr>
                <w:rFonts w:ascii="Arial" w:cs="Arial" w:hAnsi="Arial"/>
                <w:b/>
                <w:sz w:val="22"/>
              </w:rPr>
              <w:t>Important dependency</w:t>
            </w:r>
          </w:p>
        </w:tc>
        <w:tc>
          <w:tcPr>
            <w:tcW w:type="dxa" w:w="7200"/>
            <w:tcMar>
              <w:top w:type="dxa" w:w="80"/>
              <w:start w:type="dxa" w:w="120"/>
              <w:bottom w:type="dxa" w:w="80"/>
              <w:end w:type="dxa" w:w="120"/>
            </w:tcMar>
          </w:tcPr>
          <w:p>
            <w:pPr>
              <w:spacing w:after="0"/>
            </w:pPr>
            <w:r>
              <w:rPr>
                <w:rFonts w:ascii="Arial" w:cs="Arial" w:hAnsi="Arial"/>
                <w:sz w:val="22"/>
              </w:rPr>
              <w:t xml:space="preserve">TTP commands reference DSP block names called Instance Tags, which are defined by the AV programmer when building the Tesira configuration file. These tag names are not standardised across installations. The deploying engineer must obtain the Instance Tag names for each subscribable attribute from the site’s Tesira project file or from the integrator who programmed the system.</w:t>
            </w:r>
          </w:p>
        </w:tc>
      </w:tr>
      <w:tr>
        <w:tc>
          <w:tcPr>
            <w:tcW w:type="dxa" w:w="2160"/>
            <w:tcBorders/>
            <w:shd w:fill="EBF2FA" w:val="clear"/>
            <w:tcMar>
              <w:top w:type="dxa" w:w="80"/>
              <w:start w:type="dxa" w:w="120"/>
              <w:bottom w:type="dxa" w:w="80"/>
              <w:end w:type="dxa" w:w="120"/>
            </w:tcMar>
          </w:tcPr>
          <w:p>
            <w:pPr>
              <w:spacing w:after="0"/>
            </w:pPr>
            <w:r>
              <w:rPr>
                <w:rFonts w:ascii="Arial" w:cs="Arial" w:hAnsi="Arial"/>
                <w:b/>
                <w:sz w:val="22"/>
              </w:rPr>
              <w:t>Example config</w:t>
            </w:r>
          </w:p>
        </w:tc>
        <w:tc>
          <w:tcPr>
            <w:tcW w:type="dxa" w:w="7200"/>
            <w:tcBorders/>
            <w:shd w:fill="EBF2FA" w:val="clear"/>
            <w:tcMar>
              <w:top w:type="dxa" w:w="80"/>
              <w:start w:type="dxa" w:w="120"/>
              <w:bottom w:type="dxa" w:w="80"/>
              <w:end w:type="dxa" w:w="120"/>
            </w:tcMar>
          </w:tcPr>
          <w:p>
            <w:pPr>
              <w:spacing w:after="40"/>
            </w:pPr>
            <w:r>
              <w:rPr>
                <w:rFonts w:ascii="Courier New" w:cs="Courier New" w:hAnsi="Courier New"/>
                <w:sz w:val="18"/>
              </w:rPr>
              <w:t xml:space="preserve">- id: tesira-boardroom-01</w:t>
            </w:r>
          </w:p>
          <w:p>
            <w:pPr>
              <w:spacing w:after="40"/>
            </w:pPr>
            <w:r>
              <w:rPr>
                <w:rFonts w:ascii="Courier New" w:cs="Courier New" w:hAnsi="Courier New"/>
                <w:sz w:val="18"/>
              </w:rPr>
              <w:t xml:space="preserve">  name: Boardroom Tesira FORTE</w:t>
            </w:r>
          </w:p>
          <w:p>
            <w:pPr>
              <w:spacing w:after="40"/>
            </w:pPr>
            <w:r>
              <w:rPr>
                <w:rFonts w:ascii="Courier New" w:cs="Courier New" w:hAnsi="Courier New"/>
                <w:sz w:val="18"/>
              </w:rPr>
              <w:t xml:space="preserve">  type: audio  |  protocol: tesira  |  address: 192.168.10.52:23</w:t>
            </w:r>
          </w:p>
          <w:p>
            <w:pPr>
              <w:spacing w:after="40"/>
            </w:pPr>
            <w:r>
              <w:rPr>
                <w:rFonts w:ascii="Courier New" w:cs="Courier New" w:hAnsi="Courier New"/>
                <w:sz w:val="18"/>
              </w:rPr>
              <w:t xml:space="preserve">  tags:</w:t>
            </w:r>
          </w:p>
          <w:p>
            <w:pPr>
              <w:spacing w:after="40"/>
            </w:pPr>
            <w:r>
              <w:rPr>
                <w:rFonts w:ascii="Courier New" w:cs="Courier New" w:hAnsi="Courier New"/>
                <w:sz w:val="18"/>
              </w:rPr>
              <w:t xml:space="preserve">    mute_instance_tag: MicMuteLevel1</w:t>
            </w:r>
          </w:p>
          <w:p>
            <w:pPr>
              <w:spacing w:after="0"/>
            </w:pPr>
            <w:r>
              <w:rPr>
                <w:rFonts w:ascii="Courier New" w:cs="Courier New" w:hAnsi="Courier New"/>
                <w:sz w:val="18"/>
              </w:rPr>
              <w:t xml:space="preserve">    gain_instance_tag: ProgramLevel1</w:t>
            </w:r>
          </w:p>
        </w:tc>
      </w:tr>
      <w:tr>
        <w:tc>
          <w:tcPr>
            <w:tcW w:type="dxa" w:w="2160"/>
            <w:tcMar>
              <w:top w:type="dxa" w:w="80"/>
              <w:start w:type="dxa" w:w="120"/>
              <w:bottom w:type="dxa" w:w="80"/>
              <w:end w:type="dxa" w:w="120"/>
            </w:tcMar>
          </w:tcPr>
          <w:p>
            <w:pPr>
              <w:spacing w:after="0"/>
            </w:pPr>
            <w:r>
              <w:rPr>
                <w:rFonts w:ascii="Arial" w:cs="Arial" w:hAnsi="Arial"/>
                <w:b/>
                <w:sz w:val="22"/>
              </w:rPr>
              <w:t>Example TTP commands</w:t>
            </w:r>
          </w:p>
        </w:tc>
        <w:tc>
          <w:tcPr>
            <w:tcW w:type="dxa" w:w="7200"/>
            <w:tcMar>
              <w:top w:type="dxa" w:w="80"/>
              <w:start w:type="dxa" w:w="120"/>
              <w:bottom w:type="dxa" w:w="80"/>
              <w:end w:type="dxa" w:w="120"/>
            </w:tcMar>
          </w:tcPr>
          <w:p>
            <w:pPr>
              <w:spacing w:after="40"/>
            </w:pPr>
            <w:r>
              <w:rPr>
                <w:rFonts w:ascii="Courier New" w:cs="Courier New" w:hAnsi="Courier New"/>
                <w:sz w:val="18"/>
              </w:rPr>
              <w:t xml:space="preserve">MicMuteLevel1 set mute true          # mute microphone</w:t>
            </w:r>
          </w:p>
          <w:p>
            <w:pPr>
              <w:spacing w:after="40"/>
            </w:pPr>
            <w:r>
              <w:rPr>
                <w:rFonts w:ascii="Courier New" w:cs="Courier New" w:hAnsi="Courier New"/>
                <w:sz w:val="18"/>
              </w:rPr>
              <w:t xml:space="preserve">MicMuteLevel1 set mute false         # unmute microphone</w:t>
            </w:r>
          </w:p>
          <w:p>
            <w:pPr>
              <w:spacing w:after="40"/>
            </w:pPr>
            <w:r>
              <w:rPr>
                <w:rFonts w:ascii="Courier New" w:cs="Courier New" w:hAnsi="Courier New"/>
                <w:sz w:val="18"/>
              </w:rPr>
              <w:t xml:space="preserve">ProgramLevel1 set level 1 -10.0      # set gain to -10 dBu</w:t>
            </w:r>
          </w:p>
          <w:p>
            <w:pPr>
              <w:spacing w:after="40"/>
            </w:pPr>
            <w:r>
              <w:rPr>
                <w:rFonts w:ascii="Courier New" w:cs="Courier New" w:hAnsi="Courier New"/>
                <w:sz w:val="18"/>
              </w:rPr>
              <w:t xml:space="preserve">MicMuteLevel1 subscribe mute 1 MuteStatus 500   # subscribe</w:t>
            </w:r>
          </w:p>
          <w:p>
            <w:pPr>
              <w:spacing w:after="0"/>
            </w:pPr>
            <w:r>
              <w:rPr>
                <w:rFonts w:ascii="Courier New" w:cs="Courier New" w:hAnsi="Courier New"/>
                <w:sz w:val="18"/>
              </w:rPr>
              <w:t xml:space="preserve">DEVICE get networkInfo              # poll system status</w:t>
            </w:r>
          </w:p>
        </w:tc>
      </w:tr>
    </w:tbl>
    <w:p>
      <w:pPr>
        <w:spacing w:after="0" w:before="0"/>
      </w:pPr>
      <w:r>
        <w:rPr>
          <w:rFonts w:ascii="Arial" w:cs="Arial" w:hAnsi="Arial"/>
          <w:sz w:val="22"/>
        </w:rPr>
        <w:t xml:space="preserve"/>
      </w:r>
    </w:p>
    <w:p>
      <w:pPr>
        <w:pStyle w:val="Heading2"/>
        <w:spacing w:before="300" w:after="160"/>
      </w:pPr>
      <w:r>
        <w:rPr>
          <w:rFonts w:ascii="Arial" w:cs="Arial" w:eastAsia="Arial" w:hAnsi="Arial"/>
          <w:b/>
          <w:bCs/>
          <w:color w:val="2E5FA3"/>
          <w:sz w:val="28"/>
          <w:szCs w:val="28"/>
        </w:rPr>
        <w:t xml:space="preserve">B.2 Sony Bravia Professional Displays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2160"/>
        <w:gridCol w:w="7200"/>
      </w:tblGrid>
      <w:tr>
        <w:tc>
          <w:tcPr>
            <w:tcW w:type="dxa" w:w="2160"/>
            <w:tcBorders/>
            <w:shd w:fill="1F3864" w:val="clear"/>
            <w:tcMar>
              <w:top w:type="dxa" w:w="80"/>
              <w:start w:type="dxa" w:w="120"/>
              <w:bottom w:type="dxa" w:w="80"/>
              <w:end w:type="dxa" w:w="120"/>
            </w:tcMar>
          </w:tcPr>
          <w:p>
            <w:pPr>
              <w:spacing w:after="0"/>
            </w:pPr>
            <w:r>
              <w:rPr>
                <w:rFonts w:ascii="Arial" w:cs="Arial" w:hAnsi="Arial"/>
                <w:b/>
                <w:color w:val="FFFFFF"/>
                <w:sz w:val="22"/>
              </w:rPr>
              <w:t>Property</w:t>
            </w:r>
          </w:p>
        </w:tc>
        <w:tc>
          <w:tcPr>
            <w:tcW w:type="dxa" w:w="7200"/>
            <w:tcBorders/>
            <w:shd w:fill="1F3864" w:val="clear"/>
            <w:tcMar>
              <w:top w:type="dxa" w:w="80"/>
              <w:start w:type="dxa" w:w="120"/>
              <w:bottom w:type="dxa" w:w="80"/>
              <w:end w:type="dxa" w:w="120"/>
            </w:tcMar>
          </w:tcPr>
          <w:p>
            <w:pPr>
              <w:spacing w:after="0"/>
            </w:pPr>
            <w:r>
              <w:rPr>
                <w:rFonts w:ascii="Arial" w:cs="Arial" w:hAnsi="Arial"/>
                <w:b/>
                <w:color w:val="FFFFFF"/>
                <w:sz w:val="22"/>
              </w:rPr>
              <w:t>Detail</w:t>
            </w:r>
          </w:p>
        </w:tc>
      </w:tr>
      <w:tr>
        <w:tc>
          <w:tcPr>
            <w:tcW w:type="dxa" w:w="2160"/>
            <w:tcMar>
              <w:top w:type="dxa" w:w="80"/>
              <w:start w:type="dxa" w:w="120"/>
              <w:bottom w:type="dxa" w:w="80"/>
              <w:end w:type="dxa" w:w="120"/>
            </w:tcMar>
          </w:tcPr>
          <w:p>
            <w:pPr>
              <w:spacing w:after="0"/>
            </w:pPr>
            <w:r>
              <w:rPr>
                <w:rFonts w:ascii="Arial" w:cs="Arial" w:hAnsi="Arial"/>
                <w:b/>
                <w:sz w:val="22"/>
              </w:rPr>
              <w:t>Control protocol</w:t>
            </w:r>
          </w:p>
        </w:tc>
        <w:tc>
          <w:tcPr>
            <w:tcW w:type="dxa" w:w="7200"/>
            <w:tcMar>
              <w:top w:type="dxa" w:w="80"/>
              <w:start w:type="dxa" w:w="120"/>
              <w:bottom w:type="dxa" w:w="80"/>
              <w:end w:type="dxa" w:w="120"/>
            </w:tcMar>
          </w:tcPr>
          <w:p>
            <w:pPr>
              <w:spacing w:after="0"/>
            </w:pPr>
            <w:r>
              <w:rPr>
                <w:rFonts w:ascii="Arial" w:cs="Arial" w:hAnsi="Arial"/>
                <w:sz w:val="22"/>
              </w:rPr>
              <w:t xml:space="preserve">REST API over HTTP. Commands are JSON-RPC formatted POST requests. Base URL: http://&lt;ip&gt;/sony/&lt;service&gt; — services include /sony/system (power, info), /sony/avContent (input switching), and /sony/audio (volume). The API is version-managed; the supported generation version is returned in getSystemInformation.</w:t>
            </w:r>
          </w:p>
        </w:tc>
      </w:tr>
      <w:tr>
        <w:tc>
          <w:tcPr>
            <w:tcW w:type="dxa" w:w="2160"/>
            <w:tcBorders/>
            <w:shd w:fill="EBF2FA" w:val="clear"/>
            <w:tcMar>
              <w:top w:type="dxa" w:w="80"/>
              <w:start w:type="dxa" w:w="120"/>
              <w:bottom w:type="dxa" w:w="80"/>
              <w:end w:type="dxa" w:w="120"/>
            </w:tcMar>
          </w:tcPr>
          <w:p>
            <w:pPr>
              <w:spacing w:after="0"/>
            </w:pPr>
            <w:r>
              <w:rPr>
                <w:rFonts w:ascii="Arial" w:cs="Arial" w:hAnsi="Arial"/>
                <w:b/>
                <w:sz w:val="22"/>
              </w:rPr>
              <w:t>av-bridge adapter</w:t>
            </w:r>
          </w:p>
        </w:tc>
        <w:tc>
          <w:tcPr>
            <w:tcW w:type="dxa" w:w="7200"/>
            <w:tcBorders/>
            <w:shd w:fill="EBF2FA" w:val="clear"/>
            <w:tcMar>
              <w:top w:type="dxa" w:w="80"/>
              <w:start w:type="dxa" w:w="120"/>
              <w:bottom w:type="dxa" w:w="80"/>
              <w:end w:type="dxa" w:w="120"/>
            </w:tcMar>
          </w:tcPr>
          <w:p>
            <w:pPr>
              <w:spacing w:after="0"/>
            </w:pPr>
            <w:r>
              <w:rPr>
                <w:rFonts w:ascii="Arial" w:cs="Arial" w:hAnsi="Arial"/>
                <w:sz w:val="22"/>
              </w:rPr>
              <w:t xml:space="preserve">SonyBraviaAdapter — extends the REST base adapter. Injects the X-Auth-PSK header on every request using the PSK value from config. Wraps commands in the JSON-RPC envelope automatically. The poll method calls getPowerStatus and getSystemInformation on /sony/system and maps the response to the standard Telemetry struct.</w:t>
            </w:r>
          </w:p>
        </w:tc>
      </w:tr>
      <w:tr>
        <w:tc>
          <w:tcPr>
            <w:tcW w:type="dxa" w:w="2160"/>
            <w:tcMar>
              <w:top w:type="dxa" w:w="80"/>
              <w:start w:type="dxa" w:w="120"/>
              <w:bottom w:type="dxa" w:w="80"/>
              <w:end w:type="dxa" w:w="120"/>
            </w:tcMar>
          </w:tcPr>
          <w:p>
            <w:pPr>
              <w:spacing w:after="0"/>
            </w:pPr>
            <w:r>
              <w:rPr>
                <w:rFonts w:ascii="Arial" w:cs="Arial" w:hAnsi="Arial"/>
                <w:b/>
                <w:sz w:val="22"/>
              </w:rPr>
              <w:t>Authentication</w:t>
            </w:r>
          </w:p>
        </w:tc>
        <w:tc>
          <w:tcPr>
            <w:tcW w:type="dxa" w:w="7200"/>
            <w:tcMar>
              <w:top w:type="dxa" w:w="80"/>
              <w:start w:type="dxa" w:w="120"/>
              <w:bottom w:type="dxa" w:w="80"/>
              <w:end w:type="dxa" w:w="120"/>
            </w:tcMar>
          </w:tcPr>
          <w:p>
            <w:pPr>
              <w:spacing w:after="0"/>
            </w:pPr>
            <w:r>
              <w:rPr>
                <w:rFonts w:ascii="Arial" w:cs="Arial" w:hAnsi="Arial"/>
                <w:sz w:val="22"/>
              </w:rPr>
              <w:t xml:space="preserve">Pre-Shared Key (PSK) — a user-defined string set on the display via Settings → Network → IP Control. The PSK is passed in every HTTP request as the X-Auth-PSK header. Set this in config.yaml under tags.psk. The display must also have the REST API enabled and the IP control interface unlocked.</w:t>
            </w:r>
          </w:p>
        </w:tc>
      </w:tr>
      <w:tr>
        <w:tc>
          <w:tcPr>
            <w:tcW w:type="dxa" w:w="2160"/>
            <w:tcBorders/>
            <w:shd w:fill="EBF2FA" w:val="clear"/>
            <w:tcMar>
              <w:top w:type="dxa" w:w="80"/>
              <w:start w:type="dxa" w:w="120"/>
              <w:bottom w:type="dxa" w:w="80"/>
              <w:end w:type="dxa" w:w="120"/>
            </w:tcMar>
          </w:tcPr>
          <w:p>
            <w:pPr>
              <w:spacing w:after="0"/>
            </w:pPr>
            <w:r>
              <w:rPr>
                <w:rFonts w:ascii="Arial" w:cs="Arial" w:hAnsi="Arial"/>
                <w:b/>
                <w:sz w:val="22"/>
              </w:rPr>
              <w:t>Example config</w:t>
            </w:r>
          </w:p>
        </w:tc>
        <w:tc>
          <w:tcPr>
            <w:tcW w:type="dxa" w:w="7200"/>
            <w:tcBorders/>
            <w:shd w:fill="EBF2FA" w:val="clear"/>
            <w:tcMar>
              <w:top w:type="dxa" w:w="80"/>
              <w:start w:type="dxa" w:w="120"/>
              <w:bottom w:type="dxa" w:w="80"/>
              <w:end w:type="dxa" w:w="120"/>
            </w:tcMar>
          </w:tcPr>
          <w:p>
            <w:pPr>
              <w:spacing w:after="40"/>
            </w:pPr>
            <w:r>
              <w:rPr>
                <w:rFonts w:ascii="Courier New" w:cs="Courier New" w:hAnsi="Courier New"/>
                <w:sz w:val="18"/>
              </w:rPr>
              <w:t xml:space="preserve">- id: display-boardroom-sony-01</w:t>
            </w:r>
          </w:p>
          <w:p>
            <w:pPr>
              <w:spacing w:after="40"/>
            </w:pPr>
            <w:r>
              <w:rPr>
                <w:rFonts w:ascii="Courier New" w:cs="Courier New" w:hAnsi="Courier New"/>
                <w:sz w:val="18"/>
              </w:rPr>
              <w:t xml:space="preserve">  name: Boardroom Sony Bravia  |  type: display</w:t>
            </w:r>
          </w:p>
          <w:p>
            <w:pPr>
              <w:spacing w:after="40"/>
            </w:pPr>
            <w:r>
              <w:rPr>
                <w:rFonts w:ascii="Courier New" w:cs="Courier New" w:hAnsi="Courier New"/>
                <w:sz w:val="18"/>
              </w:rPr>
              <w:t xml:space="preserve">  protocol: sony_bravia  |  address: 192.168.10.60</w:t>
            </w:r>
          </w:p>
          <w:p>
            <w:pPr>
              <w:spacing w:after="40"/>
            </w:pPr>
            <w:r>
              <w:rPr>
                <w:rFonts w:ascii="Courier New" w:cs="Courier New" w:hAnsi="Courier New"/>
                <w:sz w:val="18"/>
              </w:rPr>
              <w:t xml:space="preserve">  tags:</w:t>
            </w:r>
          </w:p>
          <w:p>
            <w:pPr>
              <w:spacing w:after="0"/>
            </w:pPr>
            <w:r>
              <w:rPr>
                <w:rFonts w:ascii="Courier New" w:cs="Courier New" w:hAnsi="Courier New"/>
                <w:sz w:val="18"/>
              </w:rPr>
              <w:t xml:space="preserve">    psk: "${SONY_DISPLAY_PSK}"</w:t>
            </w:r>
          </w:p>
        </w:tc>
      </w:tr>
      <w:tr>
        <w:tc>
          <w:tcPr>
            <w:tcW w:type="dxa" w:w="2160"/>
            <w:tcMar>
              <w:top w:type="dxa" w:w="80"/>
              <w:start w:type="dxa" w:w="120"/>
              <w:bottom w:type="dxa" w:w="80"/>
              <w:end w:type="dxa" w:w="120"/>
            </w:tcMar>
          </w:tcPr>
          <w:p>
            <w:pPr>
              <w:spacing w:after="0"/>
            </w:pPr>
            <w:r>
              <w:rPr>
                <w:rFonts w:ascii="Arial" w:cs="Arial" w:hAnsi="Arial"/>
                <w:b/>
                <w:sz w:val="22"/>
              </w:rPr>
              <w:t>Example REST calls</w:t>
            </w:r>
          </w:p>
        </w:tc>
        <w:tc>
          <w:tcPr>
            <w:tcW w:type="dxa" w:w="7200"/>
            <w:tcMar>
              <w:top w:type="dxa" w:w="80"/>
              <w:start w:type="dxa" w:w="120"/>
              <w:bottom w:type="dxa" w:w="80"/>
              <w:end w:type="dxa" w:w="120"/>
            </w:tcMar>
          </w:tcPr>
          <w:p>
            <w:pPr>
              <w:spacing w:after="40"/>
            </w:pPr>
            <w:r>
              <w:rPr>
                <w:rFonts w:ascii="Courier New" w:cs="Courier New" w:hAnsi="Courier New"/>
                <w:sz w:val="18"/>
              </w:rPr>
              <w:t xml:space="preserve">POST /sony/system   {"method":"getPowerStatus",...}    # poll</w:t>
            </w:r>
          </w:p>
          <w:p>
            <w:pPr>
              <w:spacing w:after="40"/>
            </w:pPr>
            <w:r>
              <w:rPr>
                <w:rFonts w:ascii="Courier New" w:cs="Courier New" w:hAnsi="Courier New"/>
                <w:sz w:val="18"/>
              </w:rPr>
              <w:t xml:space="preserve">POST /sony/system   {"method":"setPowerStatus","params":[{"status":"active"}]}</w:t>
            </w:r>
          </w:p>
          <w:p>
            <w:pPr>
              <w:spacing w:after="40"/>
            </w:pPr>
            <w:r>
              <w:rPr>
                <w:rFonts w:ascii="Courier New" w:cs="Courier New" w:hAnsi="Courier New"/>
                <w:sz w:val="18"/>
              </w:rPr>
              <w:t xml:space="preserve">POST /sony/avContent {"method":"setPlayContent","params":[{"uri":"extInput:hdmi?port=1"}]}</w:t>
            </w:r>
          </w:p>
          <w:p>
            <w:pPr>
              <w:spacing w:after="0"/>
            </w:pPr>
            <w:r>
              <w:rPr>
                <w:rFonts w:ascii="Courier New" w:cs="Courier New" w:hAnsi="Courier New"/>
                <w:sz w:val="18"/>
              </w:rPr>
              <w:t xml:space="preserve">POST /sony/system   {"method":"getSystemInformation",...}  # version/model</w:t>
            </w:r>
          </w:p>
        </w:tc>
      </w:tr>
      <w:tr>
        <w:tc>
          <w:tcPr>
            <w:tcW w:type="dxa" w:w="2160"/>
            <w:tcBorders/>
            <w:shd w:fill="EBF2FA" w:val="clear"/>
            <w:tcMar>
              <w:top w:type="dxa" w:w="80"/>
              <w:start w:type="dxa" w:w="120"/>
              <w:bottom w:type="dxa" w:w="80"/>
              <w:end w:type="dxa" w:w="120"/>
            </w:tcMar>
          </w:tcPr>
          <w:p>
            <w:pPr>
              <w:spacing w:after="0"/>
            </w:pPr>
            <w:r>
              <w:rPr>
                <w:rFonts w:ascii="Arial" w:cs="Arial" w:hAnsi="Arial"/>
                <w:b/>
                <w:sz w:val="22"/>
              </w:rPr>
              <w:t>Note</w:t>
            </w:r>
          </w:p>
        </w:tc>
        <w:tc>
          <w:tcPr>
            <w:tcW w:type="dxa" w:w="7200"/>
            <w:tcBorders/>
            <w:shd w:fill="EBF2FA" w:val="clear"/>
            <w:tcMar>
              <w:top w:type="dxa" w:w="80"/>
              <w:start w:type="dxa" w:w="120"/>
              <w:bottom w:type="dxa" w:w="80"/>
              <w:end w:type="dxa" w:w="120"/>
            </w:tcMar>
          </w:tcPr>
          <w:p>
            <w:pPr>
              <w:spacing w:after="0"/>
            </w:pPr>
            <w:r>
              <w:rPr>
                <w:rFonts w:ascii="Arial" w:cs="Arial" w:hAnsi="Arial"/>
                <w:sz w:val="22"/>
              </w:rPr>
              <w:t xml:space="preserve">Sony launched a Cloud API for Bravia Professional Displays in January 2025, enabling direct cloud-to-display management without an on-premises gateway. This is worth evaluating for future deployments, though it introduces a dependency on Sony’s cloud infrastructure rather than your own AWS stack. For the current architecture, the local REST API via av-bridge remains the recommended approach.</w:t>
            </w:r>
          </w:p>
        </w:tc>
      </w:tr>
    </w:tbl>
    <w:p>
      <w:pPr>
        <w:spacing w:after="0" w:before="0"/>
      </w:pPr>
      <w:r>
        <w:rPr>
          <w:rFonts w:ascii="Arial" w:cs="Arial" w:hAnsi="Arial"/>
          <w:sz w:val="22"/>
        </w:rPr>
        <w:t xml:space="preserve"/>
      </w:r>
    </w:p>
    <w:p>
      <w:pPr>
        <w:pStyle w:val="Heading2"/>
        <w:spacing w:before="300" w:after="160"/>
      </w:pPr>
      <w:r>
        <w:rPr>
          <w:rFonts w:ascii="Arial" w:cs="Arial" w:eastAsia="Arial" w:hAnsi="Arial"/>
          <w:b/>
          <w:bCs/>
          <w:color w:val="2E5FA3"/>
          <w:sz w:val="28"/>
          <w:szCs w:val="28"/>
        </w:rPr>
        <w:t xml:space="preserve">B.3 Poly G7500</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2160"/>
        <w:gridCol w:w="7200"/>
      </w:tblGrid>
      <w:tr>
        <w:tc>
          <w:tcPr>
            <w:tcW w:type="dxa" w:w="2160"/>
            <w:tcBorders/>
            <w:shd w:fill="1F3864" w:val="clear"/>
            <w:tcMar>
              <w:top w:type="dxa" w:w="80"/>
              <w:start w:type="dxa" w:w="120"/>
              <w:bottom w:type="dxa" w:w="80"/>
              <w:end w:type="dxa" w:w="120"/>
            </w:tcMar>
          </w:tcPr>
          <w:p>
            <w:pPr>
              <w:spacing w:after="0"/>
            </w:pPr>
            <w:r>
              <w:rPr>
                <w:rFonts w:ascii="Arial" w:cs="Arial" w:hAnsi="Arial"/>
                <w:b/>
                <w:color w:val="FFFFFF"/>
                <w:sz w:val="22"/>
              </w:rPr>
              <w:t>Property</w:t>
            </w:r>
          </w:p>
        </w:tc>
        <w:tc>
          <w:tcPr>
            <w:tcW w:type="dxa" w:w="7200"/>
            <w:tcBorders/>
            <w:shd w:fill="1F3864" w:val="clear"/>
            <w:tcMar>
              <w:top w:type="dxa" w:w="80"/>
              <w:start w:type="dxa" w:w="120"/>
              <w:bottom w:type="dxa" w:w="80"/>
              <w:end w:type="dxa" w:w="120"/>
            </w:tcMar>
          </w:tcPr>
          <w:p>
            <w:pPr>
              <w:spacing w:after="0"/>
            </w:pPr>
            <w:r>
              <w:rPr>
                <w:rFonts w:ascii="Arial" w:cs="Arial" w:hAnsi="Arial"/>
                <w:b/>
                <w:color w:val="FFFFFF"/>
                <w:sz w:val="22"/>
              </w:rPr>
              <w:t>Detail</w:t>
            </w:r>
          </w:p>
        </w:tc>
      </w:tr>
      <w:tr>
        <w:tc>
          <w:tcPr>
            <w:tcW w:type="dxa" w:w="2160"/>
            <w:tcMar>
              <w:top w:type="dxa" w:w="80"/>
              <w:start w:type="dxa" w:w="120"/>
              <w:bottom w:type="dxa" w:w="80"/>
              <w:end w:type="dxa" w:w="120"/>
            </w:tcMar>
          </w:tcPr>
          <w:p>
            <w:pPr>
              <w:spacing w:after="0"/>
            </w:pPr>
            <w:r>
              <w:rPr>
                <w:rFonts w:ascii="Arial" w:cs="Arial" w:hAnsi="Arial"/>
                <w:b/>
                <w:sz w:val="22"/>
              </w:rPr>
              <w:t>Control protocol</w:t>
            </w:r>
          </w:p>
        </w:tc>
        <w:tc>
          <w:tcPr>
            <w:tcW w:type="dxa" w:w="7200"/>
            <w:tcMar>
              <w:top w:type="dxa" w:w="80"/>
              <w:start w:type="dxa" w:w="120"/>
              <w:bottom w:type="dxa" w:w="80"/>
              <w:end w:type="dxa" w:w="120"/>
            </w:tcMar>
          </w:tcPr>
          <w:p>
            <w:pPr>
              <w:spacing w:after="0"/>
            </w:pPr>
            <w:r>
              <w:rPr>
                <w:rFonts w:ascii="Arial" w:cs="Arial" w:hAnsi="Arial"/>
                <w:sz w:val="22"/>
              </w:rPr>
              <w:t xml:space="preserve">Poly VideoOS REST API — always enabled, HTTPS only, all request and response bodies are JSON. The G7500 also supports a command-line API over SSH or RS-232, which is simpler but offers less capability than the REST API.</w:t>
            </w:r>
          </w:p>
        </w:tc>
      </w:tr>
      <w:tr>
        <w:tc>
          <w:tcPr>
            <w:tcW w:type="dxa" w:w="2160"/>
            <w:tcBorders/>
            <w:shd w:fill="EBF2FA" w:val="clear"/>
            <w:tcMar>
              <w:top w:type="dxa" w:w="80"/>
              <w:start w:type="dxa" w:w="120"/>
              <w:bottom w:type="dxa" w:w="80"/>
              <w:end w:type="dxa" w:w="120"/>
            </w:tcMar>
          </w:tcPr>
          <w:p>
            <w:pPr>
              <w:spacing w:after="0"/>
            </w:pPr>
            <w:r>
              <w:rPr>
                <w:rFonts w:ascii="Arial" w:cs="Arial" w:hAnsi="Arial"/>
                <w:b/>
                <w:sz w:val="22"/>
              </w:rPr>
              <w:t>av-bridge adapter</w:t>
            </w:r>
          </w:p>
        </w:tc>
        <w:tc>
          <w:tcPr>
            <w:tcW w:type="dxa" w:w="7200"/>
            <w:tcBorders/>
            <w:shd w:fill="EBF2FA" w:val="clear"/>
            <w:tcMar>
              <w:top w:type="dxa" w:w="80"/>
              <w:start w:type="dxa" w:w="120"/>
              <w:bottom w:type="dxa" w:w="80"/>
              <w:end w:type="dxa" w:w="120"/>
            </w:tcMar>
          </w:tcPr>
          <w:p>
            <w:pPr>
              <w:spacing w:after="0"/>
            </w:pPr>
            <w:r>
              <w:rPr>
                <w:rFonts w:ascii="Arial" w:cs="Arial" w:hAnsi="Arial"/>
                <w:sz w:val="22"/>
              </w:rPr>
              <w:t xml:space="preserve">PolyG7500Adapter — extends the REST base adapter with session lifecycle management. On Connect: POST to /rest/session with admin credentials to receive a session cookie and X-XSRF-Token header value. All subsequent requests carry both the cookie and the XSRF token. On 401 response: transparently re-authenticates and retries. Session refresh is triggered proactively before expiry.</w:t>
            </w:r>
          </w:p>
        </w:tc>
      </w:tr>
      <w:tr>
        <w:tc>
          <w:tcPr>
            <w:tcW w:type="dxa" w:w="2160"/>
            <w:tcMar>
              <w:top w:type="dxa" w:w="80"/>
              <w:start w:type="dxa" w:w="120"/>
              <w:bottom w:type="dxa" w:w="80"/>
              <w:end w:type="dxa" w:w="120"/>
            </w:tcMar>
          </w:tcPr>
          <w:p>
            <w:pPr>
              <w:spacing w:after="0"/>
            </w:pPr>
            <w:r>
              <w:rPr>
                <w:rFonts w:ascii="Arial" w:cs="Arial" w:hAnsi="Arial"/>
                <w:b/>
                <w:sz w:val="22"/>
              </w:rPr>
              <w:t>Authentication</w:t>
            </w:r>
          </w:p>
        </w:tc>
        <w:tc>
          <w:tcPr>
            <w:tcW w:type="dxa" w:w="7200"/>
            <w:tcMar>
              <w:top w:type="dxa" w:w="80"/>
              <w:start w:type="dxa" w:w="120"/>
              <w:bottom w:type="dxa" w:w="80"/>
              <w:end w:type="dxa" w:w="120"/>
            </w:tcMar>
          </w:tcPr>
          <w:p>
            <w:pPr>
              <w:spacing w:after="0"/>
            </w:pPr>
            <w:r>
              <w:rPr>
                <w:rFonts w:ascii="Arial" w:cs="Arial" w:hAnsi="Arial"/>
                <w:sz w:val="22"/>
              </w:rPr>
              <w:t xml:space="preserve">Session-based: login via POST /rest/session with JSON body containing username and password. The response sets a session cookie and returns an X-XSRF-Token value. From PolyOS 4.6.2 onwards, the XSRF token is mandatory on all mutating requests to prevent CSRF attacks. Administrator credentials are required — the REST API is never disabled but access requires auth.</w:t>
            </w:r>
          </w:p>
        </w:tc>
      </w:tr>
      <w:tr>
        <w:tc>
          <w:tcPr>
            <w:tcW w:type="dxa" w:w="2160"/>
            <w:tcBorders/>
            <w:shd w:fill="EBF2FA" w:val="clear"/>
            <w:tcMar>
              <w:top w:type="dxa" w:w="80"/>
              <w:start w:type="dxa" w:w="120"/>
              <w:bottom w:type="dxa" w:w="80"/>
              <w:end w:type="dxa" w:w="120"/>
            </w:tcMar>
          </w:tcPr>
          <w:p>
            <w:pPr>
              <w:spacing w:after="0"/>
            </w:pPr>
            <w:r>
              <w:rPr>
                <w:rFonts w:ascii="Arial" w:cs="Arial" w:hAnsi="Arial"/>
                <w:b/>
                <w:sz w:val="22"/>
              </w:rPr>
              <w:t>TLS note</w:t>
            </w:r>
          </w:p>
        </w:tc>
        <w:tc>
          <w:tcPr>
            <w:tcW w:type="dxa" w:w="7200"/>
            <w:tcBorders/>
            <w:shd w:fill="EBF2FA" w:val="clear"/>
            <w:tcMar>
              <w:top w:type="dxa" w:w="80"/>
              <w:start w:type="dxa" w:w="120"/>
              <w:bottom w:type="dxa" w:w="80"/>
              <w:end w:type="dxa" w:w="120"/>
            </w:tcMar>
          </w:tcPr>
          <w:p>
            <w:pPr>
              <w:spacing w:after="0"/>
            </w:pPr>
            <w:r>
              <w:rPr>
                <w:rFonts w:ascii="Arial" w:cs="Arial" w:hAnsi="Arial"/>
                <w:sz w:val="22"/>
              </w:rPr>
              <w:t xml:space="preserve">The G7500 presents a self-signed certificate by default. The adapter must be configured with tls_skip_verify: true per device, or the device’s certificate must be imported into the av-bridge trust store. For production deployments, replacing the default certificate with one signed by your internal CA is recommended.</w:t>
            </w:r>
          </w:p>
        </w:tc>
      </w:tr>
      <w:tr>
        <w:tc>
          <w:tcPr>
            <w:tcW w:type="dxa" w:w="2160"/>
            <w:tcMar>
              <w:top w:type="dxa" w:w="80"/>
              <w:start w:type="dxa" w:w="120"/>
              <w:bottom w:type="dxa" w:w="80"/>
              <w:end w:type="dxa" w:w="120"/>
            </w:tcMar>
          </w:tcPr>
          <w:p>
            <w:pPr>
              <w:spacing w:after="0"/>
            </w:pPr>
            <w:r>
              <w:rPr>
                <w:rFonts w:ascii="Arial" w:cs="Arial" w:hAnsi="Arial"/>
                <w:b/>
                <w:sz w:val="22"/>
              </w:rPr>
              <w:t>Example config</w:t>
            </w:r>
          </w:p>
        </w:tc>
        <w:tc>
          <w:tcPr>
            <w:tcW w:type="dxa" w:w="7200"/>
            <w:tcMar>
              <w:top w:type="dxa" w:w="80"/>
              <w:start w:type="dxa" w:w="120"/>
              <w:bottom w:type="dxa" w:w="80"/>
              <w:end w:type="dxa" w:w="120"/>
            </w:tcMar>
          </w:tcPr>
          <w:p>
            <w:pPr>
              <w:spacing w:after="40"/>
            </w:pPr>
            <w:r>
              <w:rPr>
                <w:rFonts w:ascii="Courier New" w:cs="Courier New" w:hAnsi="Courier New"/>
                <w:sz w:val="18"/>
              </w:rPr>
              <w:t xml:space="preserve">- id: vc-boardroom-poly-g7500</w:t>
            </w:r>
          </w:p>
          <w:p>
            <w:pPr>
              <w:spacing w:after="40"/>
            </w:pPr>
            <w:r>
              <w:rPr>
                <w:rFonts w:ascii="Courier New" w:cs="Courier New" w:hAnsi="Courier New"/>
                <w:sz w:val="18"/>
              </w:rPr>
              <w:t xml:space="preserve">  name: Boardroom Poly G7500  |  type: conferencing</w:t>
            </w:r>
          </w:p>
          <w:p>
            <w:pPr>
              <w:spacing w:after="40"/>
            </w:pPr>
            <w:r>
              <w:rPr>
                <w:rFonts w:ascii="Courier New" w:cs="Courier New" w:hAnsi="Courier New"/>
                <w:sz w:val="18"/>
              </w:rPr>
              <w:t xml:space="preserve">  protocol: poly_g7500  |  address: 192.168.10.70</w:t>
            </w:r>
          </w:p>
          <w:p>
            <w:pPr>
              <w:spacing w:after="40"/>
            </w:pPr>
            <w:r>
              <w:rPr>
                <w:rFonts w:ascii="Courier New" w:cs="Courier New" w:hAnsi="Courier New"/>
                <w:sz w:val="18"/>
              </w:rPr>
              <w:t xml:space="preserve">  username: admin</w:t>
            </w:r>
          </w:p>
          <w:p>
            <w:pPr>
              <w:spacing w:after="40"/>
            </w:pPr>
            <w:r>
              <w:rPr>
                <w:rFonts w:ascii="Courier New" w:cs="Courier New" w:hAnsi="Courier New"/>
                <w:sz w:val="18"/>
              </w:rPr>
              <w:t xml:space="preserve">  password: "${POLY_G7500_PASSWORD}"</w:t>
            </w:r>
          </w:p>
          <w:p>
            <w:pPr>
              <w:spacing w:after="0"/>
            </w:pPr>
            <w:r>
              <w:rPr>
                <w:rFonts w:ascii="Courier New" w:cs="Courier New" w:hAnsi="Courier New"/>
                <w:sz w:val="18"/>
              </w:rPr>
              <w:t xml:space="preserve">  tags:  tls_skip_verify: "true"  |  make: Poly  |  model: G7500</w:t>
            </w:r>
          </w:p>
        </w:tc>
      </w:tr>
      <w:tr>
        <w:tc>
          <w:tcPr>
            <w:tcW w:type="dxa" w:w="2160"/>
            <w:tcBorders/>
            <w:shd w:fill="EBF2FA" w:val="clear"/>
            <w:tcMar>
              <w:top w:type="dxa" w:w="80"/>
              <w:start w:type="dxa" w:w="120"/>
              <w:bottom w:type="dxa" w:w="80"/>
              <w:end w:type="dxa" w:w="120"/>
            </w:tcMar>
          </w:tcPr>
          <w:p>
            <w:pPr>
              <w:spacing w:after="0"/>
            </w:pPr>
            <w:r>
              <w:rPr>
                <w:rFonts w:ascii="Arial" w:cs="Arial" w:hAnsi="Arial"/>
                <w:b/>
                <w:sz w:val="22"/>
              </w:rPr>
              <w:t>Example REST calls</w:t>
            </w:r>
          </w:p>
        </w:tc>
        <w:tc>
          <w:tcPr>
            <w:tcW w:type="dxa" w:w="7200"/>
            <w:tcBorders/>
            <w:shd w:fill="EBF2FA" w:val="clear"/>
            <w:tcMar>
              <w:top w:type="dxa" w:w="80"/>
              <w:start w:type="dxa" w:w="120"/>
              <w:bottom w:type="dxa" w:w="80"/>
              <w:end w:type="dxa" w:w="120"/>
            </w:tcMar>
          </w:tcPr>
          <w:p>
            <w:pPr>
              <w:spacing w:after="40"/>
            </w:pPr>
            <w:r>
              <w:rPr>
                <w:rFonts w:ascii="Courier New" w:cs="Courier New" w:hAnsi="Courier New"/>
                <w:sz w:val="18"/>
              </w:rPr>
              <w:t xml:space="preserve">POST /rest/session  {"user":"admin","password":"..."}    # login</w:t>
            </w:r>
          </w:p>
          <w:p>
            <w:pPr>
              <w:spacing w:after="40"/>
            </w:pPr>
            <w:r>
              <w:rPr>
                <w:rFonts w:ascii="Courier New" w:cs="Courier New" w:hAnsi="Courier New"/>
                <w:sz w:val="18"/>
              </w:rPr>
              <w:t xml:space="preserve">GET  /rest/system/info                                   # poll / status</w:t>
            </w:r>
          </w:p>
          <w:p>
            <w:pPr>
              <w:spacing w:after="40"/>
            </w:pPr>
            <w:r>
              <w:rPr>
                <w:rFonts w:ascii="Courier New" w:cs="Courier New" w:hAnsi="Courier New"/>
                <w:sz w:val="18"/>
              </w:rPr>
              <w:t xml:space="preserve">GET  /rest/calls                                         # active call status</w:t>
            </w:r>
          </w:p>
          <w:p>
            <w:pPr>
              <w:spacing w:after="40"/>
            </w:pPr>
            <w:r>
              <w:rPr>
                <w:rFonts w:ascii="Courier New" w:cs="Courier New" w:hAnsi="Courier New"/>
                <w:sz w:val="18"/>
              </w:rPr>
              <w:t xml:space="preserve">POST /rest/calls    {"address":"sip:room@example.com"}   # dial</w:t>
            </w:r>
          </w:p>
          <w:p>
            <w:pPr>
              <w:spacing w:after="40"/>
            </w:pPr>
            <w:r>
              <w:rPr>
                <w:rFonts w:ascii="Courier New" w:cs="Courier New" w:hAnsi="Courier New"/>
                <w:sz w:val="18"/>
              </w:rPr>
              <w:t xml:space="preserve">DELETE /rest/calls/{callId}                              # hangup</w:t>
            </w:r>
          </w:p>
          <w:p>
            <w:pPr>
              <w:spacing w:after="0"/>
            </w:pPr>
            <w:r>
              <w:rPr>
                <w:rFonts w:ascii="Courier New" w:cs="Courier New" w:hAnsi="Courier New"/>
                <w:sz w:val="18"/>
              </w:rPr>
              <w:t xml:space="preserve">POST /rest/mute     {"near":true}                        # mute near end</w:t>
            </w:r>
          </w:p>
        </w:tc>
      </w:tr>
    </w:tbl>
    <w:p>
      <w:pPr>
        <w:spacing w:after="0" w:before="0"/>
      </w:pPr>
      <w:r>
        <w:rPr>
          <w:rFonts w:ascii="Arial" w:cs="Arial" w:hAnsi="Arial"/>
          <w:sz w:val="22"/>
        </w:rPr>
        <w:t xml:space="preserve"/>
      </w:r>
    </w:p>
    <w:p>
      <w:pPr>
        <w:pStyle w:val="Heading2"/>
        <w:spacing w:before="300" w:after="160"/>
      </w:pPr>
      <w:r>
        <w:rPr>
          <w:rFonts w:ascii="Arial" w:cs="Arial" w:eastAsia="Arial" w:hAnsi="Arial"/>
          <w:b/>
          <w:bCs/>
          <w:color w:val="2E5FA3"/>
          <w:sz w:val="28"/>
          <w:szCs w:val="28"/>
        </w:rPr>
        <w:t xml:space="preserve">B.4 Adapter implementation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2160"/>
        <w:gridCol w:w="1440"/>
        <w:gridCol w:w="1800"/>
        <w:gridCol w:w="1440"/>
        <w:gridCol w:w="2520"/>
      </w:tblGrid>
      <w:tr>
        <w:tc>
          <w:tcPr>
            <w:tcW w:type="dxa" w:w="2160"/>
            <w:tcBorders/>
            <w:shd w:fill="1F3864" w:val="clear"/>
            <w:tcMar>
              <w:top w:type="dxa" w:w="80"/>
              <w:start w:type="dxa" w:w="120"/>
              <w:bottom w:type="dxa" w:w="80"/>
              <w:end w:type="dxa" w:w="120"/>
            </w:tcMar>
          </w:tcPr>
          <w:p>
            <w:pPr>
              <w:spacing w:after="0"/>
            </w:pPr>
            <w:r>
              <w:rPr>
                <w:rFonts w:ascii="Arial" w:cs="Arial" w:hAnsi="Arial"/>
                <w:b/>
                <w:color w:val="FFFFFF"/>
                <w:sz w:val="22"/>
              </w:rPr>
              <w:t>Device</w:t>
            </w:r>
          </w:p>
        </w:tc>
        <w:tc>
          <w:tcPr>
            <w:tcW w:type="dxa" w:w="1440"/>
            <w:tcBorders/>
            <w:shd w:fill="1F3864" w:val="clear"/>
            <w:tcMar>
              <w:top w:type="dxa" w:w="80"/>
              <w:start w:type="dxa" w:w="120"/>
              <w:bottom w:type="dxa" w:w="80"/>
              <w:end w:type="dxa" w:w="120"/>
            </w:tcMar>
          </w:tcPr>
          <w:p>
            <w:pPr>
              <w:spacing w:after="0"/>
            </w:pPr>
            <w:r>
              <w:rPr>
                <w:rFonts w:ascii="Arial" w:cs="Arial" w:hAnsi="Arial"/>
                <w:b/>
                <w:color w:val="FFFFFF"/>
                <w:sz w:val="22"/>
              </w:rPr>
              <w:t>Base transport</w:t>
            </w:r>
          </w:p>
        </w:tc>
        <w:tc>
          <w:tcPr>
            <w:tcW w:type="dxa" w:w="1800"/>
            <w:tcBorders/>
            <w:shd w:fill="1F3864" w:val="clear"/>
            <w:tcMar>
              <w:top w:type="dxa" w:w="80"/>
              <w:start w:type="dxa" w:w="120"/>
              <w:bottom w:type="dxa" w:w="80"/>
              <w:end w:type="dxa" w:w="120"/>
            </w:tcMar>
          </w:tcPr>
          <w:p>
            <w:pPr>
              <w:spacing w:after="0"/>
            </w:pPr>
            <w:r>
              <w:rPr>
                <w:rFonts w:ascii="Arial" w:cs="Arial" w:hAnsi="Arial"/>
                <w:b/>
                <w:color w:val="FFFFFF"/>
                <w:sz w:val="22"/>
              </w:rPr>
              <w:t>Adapter name</w:t>
            </w:r>
          </w:p>
        </w:tc>
        <w:tc>
          <w:tcPr>
            <w:tcW w:type="dxa" w:w="1440"/>
            <w:tcBorders/>
            <w:shd w:fill="1F3864" w:val="clear"/>
            <w:tcMar>
              <w:top w:type="dxa" w:w="80"/>
              <w:start w:type="dxa" w:w="120"/>
              <w:bottom w:type="dxa" w:w="80"/>
              <w:end w:type="dxa" w:w="120"/>
            </w:tcMar>
          </w:tcPr>
          <w:p>
            <w:pPr>
              <w:spacing w:after="0"/>
            </w:pPr>
            <w:r>
              <w:rPr>
                <w:rFonts w:ascii="Arial" w:cs="Arial" w:hAnsi="Arial"/>
                <w:b/>
                <w:color w:val="FFFFFF"/>
                <w:sz w:val="22"/>
              </w:rPr>
              <w:t>Effort</w:t>
            </w:r>
          </w:p>
        </w:tc>
        <w:tc>
          <w:tcPr>
            <w:tcW w:type="dxa" w:w="2520"/>
            <w:tcBorders/>
            <w:shd w:fill="1F3864" w:val="clear"/>
            <w:tcMar>
              <w:top w:type="dxa" w:w="80"/>
              <w:start w:type="dxa" w:w="120"/>
              <w:bottom w:type="dxa" w:w="80"/>
              <w:end w:type="dxa" w:w="120"/>
            </w:tcMar>
          </w:tcPr>
          <w:p>
            <w:pPr>
              <w:spacing w:after="0"/>
            </w:pPr>
            <w:r>
              <w:rPr>
                <w:rFonts w:ascii="Arial" w:cs="Arial" w:hAnsi="Arial"/>
                <w:b/>
                <w:color w:val="FFFFFF"/>
                <w:sz w:val="22"/>
              </w:rPr>
              <w:t>Key complexity</w:t>
            </w:r>
          </w:p>
        </w:tc>
      </w:tr>
      <w:tr>
        <w:tc>
          <w:tcPr>
            <w:tcW w:type="dxa" w:w="2160"/>
            <w:tcMar>
              <w:top w:type="dxa" w:w="80"/>
              <w:start w:type="dxa" w:w="120"/>
              <w:bottom w:type="dxa" w:w="80"/>
              <w:end w:type="dxa" w:w="120"/>
            </w:tcMar>
          </w:tcPr>
          <w:p>
            <w:pPr>
              <w:spacing w:after="0"/>
            </w:pPr>
            <w:r>
              <w:rPr>
                <w:rFonts w:ascii="Arial" w:cs="Arial" w:hAnsi="Arial"/>
                <w:b/>
                <w:sz w:val="22"/>
              </w:rPr>
              <w:t>Biamp Tesira</w:t>
            </w:r>
          </w:p>
        </w:tc>
        <w:tc>
          <w:tcPr>
            <w:tcW w:type="dxa" w:w="1440"/>
            <w:tcMar>
              <w:top w:type="dxa" w:w="80"/>
              <w:start w:type="dxa" w:w="120"/>
              <w:bottom w:type="dxa" w:w="80"/>
              <w:end w:type="dxa" w:w="120"/>
            </w:tcMar>
          </w:tcPr>
          <w:p>
            <w:pPr>
              <w:spacing w:after="0"/>
            </w:pPr>
            <w:r>
              <w:rPr>
                <w:rFonts w:ascii="Arial" w:cs="Arial" w:hAnsi="Arial"/>
                <w:sz w:val="22"/>
              </w:rPr>
              <w:t>Telnet / TCP</w:t>
            </w:r>
          </w:p>
        </w:tc>
        <w:tc>
          <w:tcPr>
            <w:tcW w:type="dxa" w:w="1800"/>
            <w:tcMar>
              <w:top w:type="dxa" w:w="80"/>
              <w:start w:type="dxa" w:w="120"/>
              <w:bottom w:type="dxa" w:w="80"/>
              <w:end w:type="dxa" w:w="120"/>
            </w:tcMar>
          </w:tcPr>
          <w:p>
            <w:pPr>
              <w:spacing w:after="0"/>
            </w:pPr>
            <w:r>
              <w:rPr>
                <w:rFonts w:ascii="Courier New" w:cs="Courier New" w:hAnsi="Courier New"/>
                <w:sz w:val="20"/>
              </w:rPr>
              <w:t>TesiraAdapter</w:t>
            </w:r>
          </w:p>
        </w:tc>
        <w:tc>
          <w:tcPr>
            <w:tcW w:type="dxa" w:w="1440"/>
            <w:tcMar>
              <w:top w:type="dxa" w:w="80"/>
              <w:start w:type="dxa" w:w="120"/>
              <w:bottom w:type="dxa" w:w="80"/>
              <w:end w:type="dxa" w:w="120"/>
            </w:tcMar>
          </w:tcPr>
          <w:p>
            <w:pPr>
              <w:spacing w:after="0"/>
            </w:pPr>
            <w:r>
              <w:rPr>
                <w:rFonts w:ascii="Arial" w:cs="Arial" w:hAnsi="Arial"/>
                <w:sz w:val="22"/>
              </w:rPr>
              <w:t>3–5 days</w:t>
            </w:r>
          </w:p>
        </w:tc>
        <w:tc>
          <w:tcPr>
            <w:tcW w:type="dxa" w:w="2520"/>
            <w:tcMar>
              <w:top w:type="dxa" w:w="80"/>
              <w:start w:type="dxa" w:w="120"/>
              <w:bottom w:type="dxa" w:w="80"/>
              <w:end w:type="dxa" w:w="120"/>
            </w:tcMar>
          </w:tcPr>
          <w:p>
            <w:pPr>
              <w:spacing w:after="0"/>
            </w:pPr>
            <w:r>
              <w:rPr>
                <w:rFonts w:ascii="Arial" w:cs="Arial" w:hAnsi="Arial"/>
                <w:sz w:val="22"/>
              </w:rPr>
              <w:t>TTP subscription model; Instance Tag dependency</w:t>
            </w:r>
          </w:p>
        </w:tc>
      </w:tr>
      <w:tr>
        <w:tc>
          <w:tcPr>
            <w:tcW w:type="dxa" w:w="2160"/>
            <w:tcBorders/>
            <w:shd w:fill="EBF2FA" w:val="clear"/>
            <w:tcMar>
              <w:top w:type="dxa" w:w="80"/>
              <w:start w:type="dxa" w:w="120"/>
              <w:bottom w:type="dxa" w:w="80"/>
              <w:end w:type="dxa" w:w="120"/>
            </w:tcMar>
          </w:tcPr>
          <w:p>
            <w:pPr>
              <w:spacing w:after="0"/>
            </w:pPr>
            <w:r>
              <w:rPr>
                <w:rFonts w:ascii="Arial" w:cs="Arial" w:hAnsi="Arial"/>
                <w:b/>
                <w:sz w:val="22"/>
              </w:rPr>
              <w:t>Sony Bravia Professional</w:t>
            </w:r>
          </w:p>
        </w:tc>
        <w:tc>
          <w:tcPr>
            <w:tcW w:type="dxa" w:w="1440"/>
            <w:tcBorders/>
            <w:shd w:fill="EBF2FA" w:val="clear"/>
            <w:tcMar>
              <w:top w:type="dxa" w:w="80"/>
              <w:start w:type="dxa" w:w="120"/>
              <w:bottom w:type="dxa" w:w="80"/>
              <w:end w:type="dxa" w:w="120"/>
            </w:tcMar>
          </w:tcPr>
          <w:p>
            <w:pPr>
              <w:spacing w:after="0"/>
            </w:pPr>
            <w:r>
              <w:rPr>
                <w:rFonts w:ascii="Arial" w:cs="Arial" w:hAnsi="Arial"/>
                <w:sz w:val="22"/>
              </w:rPr>
              <w:t>REST / HTTP</w:t>
            </w:r>
          </w:p>
        </w:tc>
        <w:tc>
          <w:tcPr>
            <w:tcW w:type="dxa" w:w="1800"/>
            <w:tcBorders/>
            <w:shd w:fill="EBF2FA" w:val="clear"/>
            <w:tcMar>
              <w:top w:type="dxa" w:w="80"/>
              <w:start w:type="dxa" w:w="120"/>
              <w:bottom w:type="dxa" w:w="80"/>
              <w:end w:type="dxa" w:w="120"/>
            </w:tcMar>
          </w:tcPr>
          <w:p>
            <w:pPr>
              <w:spacing w:after="0"/>
            </w:pPr>
            <w:r>
              <w:rPr>
                <w:rFonts w:ascii="Courier New" w:cs="Courier New" w:hAnsi="Courier New"/>
                <w:sz w:val="20"/>
              </w:rPr>
              <w:t>SonyBraviaAdapter</w:t>
            </w:r>
          </w:p>
        </w:tc>
        <w:tc>
          <w:tcPr>
            <w:tcW w:type="dxa" w:w="1440"/>
            <w:tcBorders/>
            <w:shd w:fill="EBF2FA" w:val="clear"/>
            <w:tcMar>
              <w:top w:type="dxa" w:w="80"/>
              <w:start w:type="dxa" w:w="120"/>
              <w:bottom w:type="dxa" w:w="80"/>
              <w:end w:type="dxa" w:w="120"/>
            </w:tcMar>
          </w:tcPr>
          <w:p>
            <w:pPr>
              <w:spacing w:after="0"/>
            </w:pPr>
            <w:r>
              <w:rPr>
                <w:rFonts w:ascii="Arial" w:cs="Arial" w:hAnsi="Arial"/>
                <w:sz w:val="22"/>
              </w:rPr>
              <w:t>2–3 days</w:t>
            </w:r>
          </w:p>
        </w:tc>
        <w:tc>
          <w:tcPr>
            <w:tcW w:type="dxa" w:w="2520"/>
            <w:tcBorders/>
            <w:shd w:fill="EBF2FA" w:val="clear"/>
            <w:tcMar>
              <w:top w:type="dxa" w:w="80"/>
              <w:start w:type="dxa" w:w="120"/>
              <w:bottom w:type="dxa" w:w="80"/>
              <w:end w:type="dxa" w:w="120"/>
            </w:tcMar>
          </w:tcPr>
          <w:p>
            <w:pPr>
              <w:spacing w:after="0"/>
            </w:pPr>
            <w:r>
              <w:rPr>
                <w:rFonts w:ascii="Arial" w:cs="Arial" w:hAnsi="Arial"/>
                <w:sz w:val="22"/>
              </w:rPr>
              <w:t>PSK header injection; JSON-RPC envelope wrapping</w:t>
            </w:r>
          </w:p>
        </w:tc>
      </w:tr>
      <w:tr>
        <w:tc>
          <w:tcPr>
            <w:tcW w:type="dxa" w:w="2160"/>
            <w:tcMar>
              <w:top w:type="dxa" w:w="80"/>
              <w:start w:type="dxa" w:w="120"/>
              <w:bottom w:type="dxa" w:w="80"/>
              <w:end w:type="dxa" w:w="120"/>
            </w:tcMar>
          </w:tcPr>
          <w:p>
            <w:pPr>
              <w:spacing w:after="0"/>
            </w:pPr>
            <w:r>
              <w:rPr>
                <w:rFonts w:ascii="Arial" w:cs="Arial" w:hAnsi="Arial"/>
                <w:b/>
                <w:sz w:val="22"/>
              </w:rPr>
              <w:t>Poly G7500</w:t>
            </w:r>
          </w:p>
        </w:tc>
        <w:tc>
          <w:tcPr>
            <w:tcW w:type="dxa" w:w="1440"/>
            <w:tcMar>
              <w:top w:type="dxa" w:w="80"/>
              <w:start w:type="dxa" w:w="120"/>
              <w:bottom w:type="dxa" w:w="80"/>
              <w:end w:type="dxa" w:w="120"/>
            </w:tcMar>
          </w:tcPr>
          <w:p>
            <w:pPr>
              <w:spacing w:after="0"/>
            </w:pPr>
            <w:r>
              <w:rPr>
                <w:rFonts w:ascii="Arial" w:cs="Arial" w:hAnsi="Arial"/>
                <w:sz w:val="22"/>
              </w:rPr>
              <w:t>REST / HTTPS</w:t>
            </w:r>
          </w:p>
        </w:tc>
        <w:tc>
          <w:tcPr>
            <w:tcW w:type="dxa" w:w="1800"/>
            <w:tcMar>
              <w:top w:type="dxa" w:w="80"/>
              <w:start w:type="dxa" w:w="120"/>
              <w:bottom w:type="dxa" w:w="80"/>
              <w:end w:type="dxa" w:w="120"/>
            </w:tcMar>
          </w:tcPr>
          <w:p>
            <w:pPr>
              <w:spacing w:after="0"/>
            </w:pPr>
            <w:r>
              <w:rPr>
                <w:rFonts w:ascii="Courier New" w:cs="Courier New" w:hAnsi="Courier New"/>
                <w:sz w:val="20"/>
              </w:rPr>
              <w:t>PolyG7500Adapter</w:t>
            </w:r>
          </w:p>
        </w:tc>
        <w:tc>
          <w:tcPr>
            <w:tcW w:type="dxa" w:w="1440"/>
            <w:tcMar>
              <w:top w:type="dxa" w:w="80"/>
              <w:start w:type="dxa" w:w="120"/>
              <w:bottom w:type="dxa" w:w="80"/>
              <w:end w:type="dxa" w:w="120"/>
            </w:tcMar>
          </w:tcPr>
          <w:p>
            <w:pPr>
              <w:spacing w:after="0"/>
            </w:pPr>
            <w:r>
              <w:rPr>
                <w:rFonts w:ascii="Arial" w:cs="Arial" w:hAnsi="Arial"/>
                <w:sz w:val="22"/>
              </w:rPr>
              <w:t>3–5 days</w:t>
            </w:r>
          </w:p>
        </w:tc>
        <w:tc>
          <w:tcPr>
            <w:tcW w:type="dxa" w:w="2520"/>
            <w:tcMar>
              <w:top w:type="dxa" w:w="80"/>
              <w:start w:type="dxa" w:w="120"/>
              <w:bottom w:type="dxa" w:w="80"/>
              <w:end w:type="dxa" w:w="120"/>
            </w:tcMar>
          </w:tcPr>
          <w:p>
            <w:pPr>
              <w:spacing w:after="0"/>
            </w:pPr>
            <w:r>
              <w:rPr>
                <w:rFonts w:ascii="Arial" w:cs="Arial" w:hAnsi="Arial"/>
                <w:sz w:val="22"/>
              </w:rPr>
              <w:t>Session + XSRF lifecycle; self-signed cert handling</w:t>
            </w:r>
          </w:p>
        </w:tc>
      </w:tr>
    </w:tbl>
    <w:p>
      <w:pPr>
        <w:spacing w:after="0" w:before="0"/>
      </w:pPr>
      <w:r>
        <w:rPr>
          <w:rFonts w:ascii="Arial" w:cs="Arial" w:hAnsi="Arial"/>
          <w:sz w:val="22"/>
        </w:rPr>
        <w:t xml:space="preserve"/>
      </w:r>
    </w:p>
    <w:p>
      <w:pPr>
        <w:pStyle w:val="Heading1"/>
        <w:pBdr>
          <w:bottom w:val="single" w:color="2E5FA3" w:sz="6" w:space="4"/>
        </w:pBdr>
        <w:spacing w:after="200" w:before="400"/>
      </w:pPr>
      <w:r>
        <w:rPr>
          <w:rFonts w:ascii="Arial" w:cs="Arial" w:eastAsia="Arial" w:hAnsi="Arial"/>
          <w:b/>
          <w:bCs/>
          <w:color w:val="1F3864"/>
          <w:sz w:val="36"/>
          <w:szCs w:val="36"/>
        </w:rPr>
        <w:t xml:space="preserve">10. Appendix — API Reference</w:t>
      </w:r>
    </w:p>
    <w:p>
      <w:pPr>
        <w:pStyle w:val="Heading2"/>
        <w:spacing w:after="160" w:before="300"/>
      </w:pPr>
      <w:r>
        <w:rPr>
          <w:rFonts w:ascii="Arial" w:cs="Arial" w:eastAsia="Arial" w:hAnsi="Arial"/>
          <w:b/>
          <w:bCs/>
          <w:color w:val="2E5FA3"/>
          <w:sz w:val="28"/>
          <w:szCs w:val="28"/>
        </w:rPr>
        <w:t xml:space="preserve">10.1 Local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2880"/>
        <w:gridCol w:w="5400"/>
      </w:tblGrid>
      <w:tr>
        <w:tc>
          <w:tcPr>
            <w:tcW w:type="dxa" w:w="108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Method</w:t>
            </w:r>
          </w:p>
        </w:tc>
        <w:tc>
          <w:tcPr>
            <w:tcW w:type="dxa" w:w="288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Path</w:t>
            </w:r>
          </w:p>
        </w:tc>
        <w:tc>
          <w:tcPr>
            <w:tcW w:type="dxa" w:w="5400"/>
            <w:gridSpan w:val="1"/>
            <w:tcBorders>
              <w:top w:val="single" w:color="BFBFBF" w:sz="1"/>
              <w:left w:val="single" w:color="BFBFBF" w:sz="1"/>
              <w:bottom w:val="single" w:color="BFBFBF" w:sz="1"/>
              <w:right w:val="single" w:color="BFBFBF" w:sz="1"/>
            </w:tcBorders>
            <w:shd w:fill="1F3864" w:val="clear"/>
            <w:tcMar>
              <w:top w:type="dxa" w:w="80"/>
              <w:start w:type="dxa" w:w="120"/>
              <w:bottom w:type="dxa" w:w="80"/>
              <w:end w:type="dxa" w:w="120"/>
            </w:tcMar>
          </w:tcPr>
          <w:p>
            <w:pPr>
              <w:jc w:val="left"/>
            </w:pPr>
            <w:r>
              <w:rPr>
                <w:rFonts w:ascii="Arial" w:cs="Arial" w:eastAsia="Arial" w:hAnsi="Arial"/>
                <w:b/>
                <w:bCs/>
                <w:color w:val="FFFFFF"/>
                <w:sz w:val="22"/>
                <w:szCs w:val="22"/>
              </w:rPr>
              <w:t xml:space="preserve">Description</w:t>
            </w:r>
          </w:p>
        </w:tc>
      </w:tr>
      <w:tr>
        <w:tc>
          <w:tcPr>
            <w:tcW w:type="dxa" w:w="1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color w:val="2E5FA3"/>
                <w:sz w:val="22"/>
                <w:szCs w:val="22"/>
              </w:rPr>
              <w:t xml:space="preserve">GET</w:t>
            </w:r>
          </w:p>
        </w:tc>
        <w:tc>
          <w:tcPr>
            <w:tcW w:type="dxa" w:w="28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Courier New" w:cs="Courier New" w:eastAsia="Courier New" w:hAnsi="Courier New"/>
                <w:sz w:val="20"/>
                <w:szCs w:val="20"/>
              </w:rPr>
              <w:t xml:space="preserve">/healthz</w:t>
            </w:r>
          </w:p>
        </w:tc>
        <w:tc>
          <w:tcPr>
            <w:tcW w:type="dxa" w:w="5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Health check. Always unauthenticated. Returns { "status": "ok" }.</w:t>
            </w:r>
          </w:p>
        </w:tc>
      </w:tr>
      <w:tr>
        <w:tc>
          <w:tcPr>
            <w:tcW w:type="dxa" w:w="1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color w:val="2E5FA3"/>
                <w:sz w:val="22"/>
                <w:szCs w:val="22"/>
              </w:rPr>
              <w:t xml:space="preserve">GET</w:t>
            </w:r>
          </w:p>
        </w:tc>
        <w:tc>
          <w:tcPr>
            <w:tcW w:type="dxa" w:w="28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Courier New" w:cs="Courier New" w:eastAsia="Courier New" w:hAnsi="Courier New"/>
                <w:sz w:val="20"/>
                <w:szCs w:val="20"/>
              </w:rPr>
              <w:t xml:space="preserve">/metrics</w:t>
            </w:r>
          </w:p>
        </w:tc>
        <w:tc>
          <w:tcPr>
            <w:tcW w:type="dxa" w:w="5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Prometheus-compatible text metrics. Returns per-device online/offline/degraded gauges and fleet totals.</w:t>
            </w:r>
          </w:p>
        </w:tc>
      </w:tr>
      <w:tr>
        <w:tc>
          <w:tcPr>
            <w:tcW w:type="dxa" w:w="1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color w:val="2E5FA3"/>
                <w:sz w:val="22"/>
                <w:szCs w:val="22"/>
              </w:rPr>
              <w:t xml:space="preserve">GET</w:t>
            </w:r>
          </w:p>
        </w:tc>
        <w:tc>
          <w:tcPr>
            <w:tcW w:type="dxa" w:w="28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Courier New" w:cs="Courier New" w:eastAsia="Courier New" w:hAnsi="Courier New"/>
                <w:sz w:val="20"/>
                <w:szCs w:val="20"/>
              </w:rPr>
              <w:t xml:space="preserve">/api/v1/status</w:t>
            </w:r>
          </w:p>
        </w:tc>
        <w:tc>
          <w:tcPr>
            <w:tcW w:type="dxa" w:w="5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Hub summary. Returns total, online, offline, and degraded device counts.</w:t>
            </w:r>
          </w:p>
        </w:tc>
      </w:tr>
      <w:tr>
        <w:tc>
          <w:tcPr>
            <w:tcW w:type="dxa" w:w="1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color w:val="2E5FA3"/>
                <w:sz w:val="22"/>
                <w:szCs w:val="22"/>
              </w:rPr>
              <w:t xml:space="preserve">GET</w:t>
            </w:r>
          </w:p>
        </w:tc>
        <w:tc>
          <w:tcPr>
            <w:tcW w:type="dxa" w:w="28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Courier New" w:cs="Courier New" w:eastAsia="Courier New" w:hAnsi="Courier New"/>
                <w:sz w:val="20"/>
                <w:szCs w:val="20"/>
              </w:rPr>
              <w:t xml:space="preserve">/api/v1/devices</w:t>
            </w:r>
          </w:p>
        </w:tc>
        <w:tc>
          <w:tcPr>
            <w:tcW w:type="dxa" w:w="5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List all configured devices with current status, type, protocol, and location.</w:t>
            </w:r>
          </w:p>
        </w:tc>
      </w:tr>
      <w:tr>
        <w:tc>
          <w:tcPr>
            <w:tcW w:type="dxa" w:w="1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color w:val="2E5FA3"/>
                <w:sz w:val="22"/>
                <w:szCs w:val="22"/>
              </w:rPr>
              <w:t xml:space="preserve">GET</w:t>
            </w:r>
          </w:p>
        </w:tc>
        <w:tc>
          <w:tcPr>
            <w:tcW w:type="dxa" w:w="28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Courier New" w:cs="Courier New" w:eastAsia="Courier New" w:hAnsi="Courier New"/>
                <w:sz w:val="20"/>
                <w:szCs w:val="20"/>
              </w:rPr>
              <w:t xml:space="preserve">/api/v1/devices/{id}</w:t>
            </w:r>
          </w:p>
        </w:tc>
        <w:tc>
          <w:tcPr>
            <w:tcW w:type="dxa" w:w="5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Get a specific device including available command names.</w:t>
            </w:r>
          </w:p>
        </w:tc>
      </w:tr>
      <w:tr>
        <w:tc>
          <w:tcPr>
            <w:tcW w:type="dxa" w:w="1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color w:val="2E5FA3"/>
                <w:sz w:val="22"/>
                <w:szCs w:val="22"/>
              </w:rPr>
              <w:t xml:space="preserve">GET</w:t>
            </w:r>
          </w:p>
        </w:tc>
        <w:tc>
          <w:tcPr>
            <w:tcW w:type="dxa" w:w="28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Courier New" w:cs="Courier New" w:eastAsia="Courier New" w:hAnsi="Courier New"/>
                <w:sz w:val="20"/>
                <w:szCs w:val="20"/>
              </w:rPr>
              <w:t xml:space="preserve">/api/v1/devices/{id}/telemetry</w:t>
            </w:r>
          </w:p>
        </w:tc>
        <w:tc>
          <w:tcPr>
            <w:tcW w:type="dxa" w:w="5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Poll the device on demand and return fresh telemetry.</w:t>
            </w:r>
          </w:p>
        </w:tc>
      </w:tr>
      <w:tr>
        <w:tc>
          <w:tcPr>
            <w:tcW w:type="dxa" w:w="1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color w:val="2E5FA3"/>
                <w:sz w:val="22"/>
                <w:szCs w:val="22"/>
              </w:rPr>
              <w:t xml:space="preserve">POST</w:t>
            </w:r>
          </w:p>
        </w:tc>
        <w:tc>
          <w:tcPr>
            <w:tcW w:type="dxa" w:w="28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Courier New" w:cs="Courier New" w:eastAsia="Courier New" w:hAnsi="Courier New"/>
                <w:sz w:val="20"/>
                <w:szCs w:val="20"/>
              </w:rPr>
              <w:t xml:space="preserve">/api/v1/devices/{id}/command</w:t>
            </w:r>
          </w:p>
        </w:tc>
        <w:tc>
          <w:tcPr>
            <w:tcW w:type="dxa" w:w="5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Send a named command to a device. Body: { "name": "power_on", "args": {} }.</w:t>
            </w:r>
          </w:p>
        </w:tc>
      </w:tr>
      <w:tr>
        <w:tc>
          <w:tcPr>
            <w:tcW w:type="dxa" w:w="10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b/>
                <w:bCs/>
                <w:color w:val="2E5FA3"/>
                <w:sz w:val="22"/>
                <w:szCs w:val="22"/>
              </w:rPr>
              <w:t xml:space="preserve">POST</w:t>
            </w:r>
          </w:p>
        </w:tc>
        <w:tc>
          <w:tcPr>
            <w:tcW w:type="dxa" w:w="288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Courier New" w:cs="Courier New" w:eastAsia="Courier New" w:hAnsi="Courier New"/>
                <w:sz w:val="20"/>
                <w:szCs w:val="20"/>
              </w:rPr>
              <w:t xml:space="preserve">/api/v1/devices/{id}/reconnect</w:t>
            </w:r>
          </w:p>
        </w:tc>
        <w:tc>
          <w:tcPr>
            <w:tcW w:type="dxa" w:w="5400"/>
            <w:tcBorders>
              <w:top w:val="single" w:color="BFBFBF" w:sz="1"/>
              <w:left w:val="single" w:color="BFBFBF" w:sz="1"/>
              <w:bottom w:val="single" w:color="BFBFBF" w:sz="1"/>
              <w:right w:val="single" w:color="BFBFBF" w:sz="1"/>
            </w:tcBorders>
            <w:shd w:fill="EBF2FA" w:val="clear"/>
            <w:tcMar>
              <w:top w:type="dxa" w:w="80"/>
              <w:start w:type="dxa" w:w="120"/>
              <w:bottom w:type="dxa" w:w="80"/>
              <w:end w:type="dxa" w:w="120"/>
            </w:tcMar>
          </w:tcPr>
          <w:p>
            <w:pPr>
              <w:spacing w:after="0"/>
            </w:pPr>
            <w:r>
              <w:rPr>
                <w:rFonts w:ascii="Arial" w:cs="Arial" w:eastAsia="Arial" w:hAnsi="Arial"/>
                <w:sz w:val="22"/>
                <w:szCs w:val="22"/>
              </w:rPr>
              <w:t xml:space="preserve">Force disconnect and reconnect a specific device.</w:t>
            </w:r>
          </w:p>
        </w:tc>
      </w:tr>
      <w:tr>
        <w:tc>
          <w:tcPr>
            <w:tcW w:type="dxa" w:w="10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b/>
                <w:bCs/>
                <w:color w:val="2E5FA3"/>
                <w:sz w:val="22"/>
                <w:szCs w:val="22"/>
              </w:rPr>
              <w:t xml:space="preserve">GET</w:t>
            </w:r>
          </w:p>
        </w:tc>
        <w:tc>
          <w:tcPr>
            <w:tcW w:type="dxa" w:w="288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Courier New" w:cs="Courier New" w:eastAsia="Courier New" w:hAnsi="Courier New"/>
                <w:sz w:val="20"/>
                <w:szCs w:val="20"/>
              </w:rPr>
              <w:t xml:space="preserve">/ws/events</w:t>
            </w:r>
          </w:p>
        </w:tc>
        <w:tc>
          <w:tcPr>
            <w:tcW w:type="dxa" w:w="5400"/>
            <w:tcBorders>
              <w:top w:val="single" w:color="BFBFBF" w:sz="1"/>
              <w:left w:val="single" w:color="BFBFBF" w:sz="1"/>
              <w:bottom w:val="single" w:color="BFBFBF" w:sz="1"/>
              <w:right w:val="single" w:color="BFBFBF" w:sz="1"/>
            </w:tcBorders>
            <w:tcMar>
              <w:top w:type="dxa" w:w="80"/>
              <w:start w:type="dxa" w:w="120"/>
              <w:bottom w:type="dxa" w:w="80"/>
              <w:end w:type="dxa" w:w="120"/>
            </w:tcMar>
          </w:tcPr>
          <w:p>
            <w:pPr>
              <w:spacing w:after="0"/>
            </w:pPr>
            <w:r>
              <w:rPr>
                <w:rFonts w:ascii="Arial" w:cs="Arial" w:eastAsia="Arial" w:hAnsi="Arial"/>
                <w:sz w:val="22"/>
                <w:szCs w:val="22"/>
              </w:rPr>
              <w:t xml:space="preserve">WebSocket. Streams all device events in real-time. Accepts ?token= query param for auth.</w:t>
            </w:r>
          </w:p>
        </w:tc>
      </w:tr>
    </w:tbl>
    <w:p>
      <w:pPr>
        <w:spacing w:after="0" w:before="0"/>
      </w:pPr>
      <w:r>
        <w:rPr>
          <w:rFonts w:ascii="Arial" w:cs="Arial" w:eastAsia="Arial" w:hAnsi="Arial"/>
          <w:sz w:val="22"/>
          <w:szCs w:val="22"/>
        </w:rPr>
        <w:t xml:space="preserve"/>
      </w:r>
    </w:p>
    <w:p>
      <w:pPr>
        <w:pStyle w:val="Heading2"/>
        <w:spacing w:after="160" w:before="300"/>
      </w:pPr>
      <w:r>
        <w:rPr>
          <w:rFonts w:ascii="Arial" w:cs="Arial" w:eastAsia="Arial" w:hAnsi="Arial"/>
          <w:b/>
          <w:bCs/>
          <w:color w:val="2E5FA3"/>
          <w:sz w:val="28"/>
          <w:szCs w:val="28"/>
        </w:rPr>
        <w:t xml:space="preserve">10.2 Cloud webhook payload schema</w:t>
      </w:r>
    </w:p>
    <w:p>
      <w:pPr>
        <w:spacing w:after="120"/>
      </w:pPr>
      <w:r>
        <w:rPr>
          <w:rFonts w:ascii="Arial" w:cs="Arial" w:eastAsia="Arial" w:hAnsi="Arial"/>
          <w:sz w:val="22"/>
          <w:szCs w:val="22"/>
        </w:rPr>
        <w:t xml:space="preserve">AV Bridge posts the following JSON structure to the configured webhook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4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  "source":    "av-bridge",</w:t>
            </w:r>
          </w:p>
          <w:p>
            <w:pPr>
              <w:spacing w:after="40"/>
            </w:pPr>
            <w:r>
              <w:rPr>
                <w:rFonts w:ascii="Courier New" w:cs="Courier New" w:eastAsia="Courier New" w:hAnsi="Courier New"/>
                <w:sz w:val="18"/>
                <w:szCs w:val="18"/>
              </w:rPr>
              <w:t xml:space="preserve">  "timestamp": "2025-01-15T10:30:00Z",</w:t>
            </w:r>
          </w:p>
          <w:p>
            <w:pPr>
              <w:spacing w:after="40"/>
            </w:pPr>
            <w:r>
              <w:rPr>
                <w:rFonts w:ascii="Courier New" w:cs="Courier New" w:eastAsia="Courier New" w:hAnsi="Courier New"/>
                <w:sz w:val="18"/>
                <w:szCs w:val="18"/>
              </w:rPr>
              <w:t xml:space="preserve">  "telemetry": [</w:t>
            </w:r>
          </w:p>
          <w:p>
            <w:pPr>
              <w:spacing w:after="40"/>
            </w:pPr>
            <w:r>
              <w:rPr>
                <w:rFonts w:ascii="Courier New" w:cs="Courier New" w:eastAsia="Courier New" w:hAnsi="Courier New"/>
                <w:sz w:val="18"/>
                <w:szCs w:val="18"/>
              </w:rPr>
              <w:t xml:space="preserve">    { "device_id": "display-lobby-01", "status": "online",</w:t>
            </w:r>
          </w:p>
          <w:p>
            <w:pPr>
              <w:spacing w:after="40"/>
            </w:pPr>
            <w:r>
              <w:rPr>
                <w:rFonts w:ascii="Courier New" w:cs="Courier New" w:eastAsia="Courier New" w:hAnsi="Courier New"/>
                <w:sz w:val="18"/>
                <w:szCs w:val="18"/>
              </w:rPr>
              <w:t xml:space="preserve">      "metrics": { "http_status": 200, "response_ms": 12 }, ... }</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"events": [</w:t>
            </w:r>
          </w:p>
          <w:p>
            <w:pPr>
              <w:spacing w:after="40"/>
            </w:pPr>
            <w:r>
              <w:rPr>
                <w:rFonts w:ascii="Courier New" w:cs="Courier New" w:eastAsia="Courier New" w:hAnsi="Courier New"/>
                <w:sz w:val="18"/>
                <w:szCs w:val="18"/>
              </w:rPr>
              <w:t xml:space="preserve">    { "device_id": "vc-boardroom-01", "event_type": "alert:device_offline",</w:t>
            </w:r>
          </w:p>
          <w:p>
            <w:pPr>
              <w:spacing w:after="40"/>
            </w:pPr>
            <w:r>
              <w:rPr>
                <w:rFonts w:ascii="Courier New" w:cs="Courier New" w:eastAsia="Courier New" w:hAnsi="Courier New"/>
                <w:sz w:val="18"/>
                <w:szCs w:val="18"/>
              </w:rPr>
              <w:t xml:space="preserve">      "payload": { "severity": "critical", "message": "..." }, ... }</w:t>
            </w:r>
          </w:p>
          <w:p>
            <w:pPr>
              <w:spacing w:after="4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240"/>
        <w:jc w:val="center"/>
      </w:pPr>
      <w:r>
        <w:rPr>
          <w:rFonts w:ascii="Arial" w:cs="Arial" w:eastAsia="Arial" w:hAnsi="Arial"/>
          <w:i/>
          <w:iCs/>
          <w:color w:val="BFBFBF"/>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0" w:before="80"/>
    </w:pPr>
    <w:r>
      <w:rPr>
        <w:rFonts w:ascii="Arial" w:cs="Arial" w:eastAsia="Arial" w:hAnsi="Arial"/>
        <w:i/>
        <w:iCs/>
        <w:color w:val="BFBFBF"/>
        <w:sz w:val="16"/>
        <w:szCs w:val="16"/>
      </w:rPr>
      <w:t xml:space="preserve">CONFIDENTIAL — For internal and technical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360"/>
      </w:tabs>
      <w:spacing w:after="0"/>
    </w:pPr>
    <w:r>
      <w:rPr>
        <w:rFonts w:ascii="Arial" w:cs="Arial" w:eastAsia="Arial" w:hAnsi="Arial"/>
        <w:color w:val="BFBFBF"/>
        <w:sz w:val="18"/>
        <w:szCs w:val="18"/>
      </w:rPr>
      <w:t xml:space="preserve">AV Bridge — Solution Architecture &amp; Delivery Plan</w:t>
    </w:r>
    <w:r>
      <w:rPr>
        <w:rFonts w:ascii="Arial" w:cs="Arial" w:eastAsia="Arial" w:hAnsi="Arial"/>
        <w:color w:val="BFBFBF"/>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network-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2026-04-24T09:26:05.816Z</dcterms:created>
  <dcterms:modified xsi:type="dcterms:W3CDTF">2026-04-24T09:26:05.817Z</dcterms:modified>
</cp:coreProperties>
</file>

<file path=docProps/custom.xml><?xml version="1.0" encoding="utf-8"?>
<Properties xmlns="http://schemas.openxmlformats.org/officeDocument/2006/custom-properties" xmlns:vt="http://schemas.openxmlformats.org/officeDocument/2006/docPropsVTypes"/>
</file>