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Arial" w:hAnsi="Arial"/>
          <w:b/>
          <w:i w:val="0"/>
          <w:color w:val="000000"/>
          <w:sz w:val="24"/>
        </w:rPr>
        <w:t>DEEP LEARNING</w:t>
      </w:r>
    </w:p>
    <w:p>
      <w:pPr>
        <w:pStyle w:val="Title"/>
        <w:jc w:val="center"/>
      </w:pPr>
      <w:r>
        <w:t>Laboratorio 7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8"/>
        </w:rPr>
        <w:t>Forecasting de temperatura de aceite con LSTM y Transformer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Autor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Diego López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Carné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23747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Curso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Deep Learning CC3092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Sección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Fecha de entrega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27 de septiembre de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Decisiones de diseño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El pipeline evita fuga de información y usa la misma configuración experimental para comparar las arquitecturas.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Normalización: z_t = (x_t - μ)/σ con μ y σ calculados solo sobre entrenamiento.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Predicción relativa a x_t: la red recibe X - x_t y aprende y - x_t debido al cambio de nivel entre train y validación o prueba.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Pérdida MSE, optimizador Adam, 20 épocas, batch size 64 y learning rate 10^-3.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Ejecución en CPU y semilla 42 para PyTorch y NumPy.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Un modelo independiente por horizonte H en {24, 48}; ambos son directos y producen una sola salida.</w:t>
      </w:r>
    </w:p>
    <w:p>
      <w:pPr>
        <w:pStyle w:val="Heading1"/>
        <w:keepNext/>
        <w:spacing w:before="240" w:after="100"/>
      </w:pPr>
      <w:r>
        <w:t>Task 1 Preprocesamiento y autocorrelación</w:t>
      </w:r>
    </w:p>
    <w:p>
      <w:pPr>
        <w:pStyle w:val="Heading2"/>
        <w:keepNext/>
        <w:spacing w:before="160" w:after="100"/>
      </w:pPr>
      <w:r>
        <w:t>1 1 Normalización split temporal y ventanas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Se descargaron 17,420 observaciones de ETTh1 sin valores NaN. OT se normalizó con estadísticas exclusivas de entrenamiento y se dividió temporalmente 60/20/20 en bloques contiguos sin mezcla aleatoria.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Estadística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μ de train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17.2925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σ de train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8.5137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Split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Pasos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Media normalizada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Desv estándar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Train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10,452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+0.000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1.000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Validación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3,484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-1.206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0.516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Prueba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3,484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-1.124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0.405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Cada ejemplo usa X^(t) = (x_(t-L+1), ..., x_t) y objetivo y^(t) = x_(t+H). Para una serie de largo T, N = T - L - H + 1.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H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Split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Shape de X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Shape de 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Train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(10,333, 96)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(10,333,)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Validación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(3,365, 96)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(3,365,)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Prueba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(3,365, 96)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(3,365,)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Train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(10,309, 96)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(10,309,)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Validación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(3,341, 96)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(3,341,)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Prueba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(3,341, 96)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(3,341,)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1 2 Función de autocorrelación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ACF se calculó manualmente sobre train para los lags 0 a 96. La banda de confianza al 95% es ±0.0192 y toda la ACF observada queda muy por encima.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a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140" w:line="269" w:lineRule="auto"/>
        <w:ind w:left="346" w:hanging="202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Figura 1  ACF de OT normalizada en entrenamiento con banda de confianza al 95 por ciento</w:t>
      </w:r>
    </w:p>
    <w:p>
      <w:pPr>
        <w:pStyle w:val="Heading3"/>
        <w:keepNext/>
        <w:spacing w:before="160" w:after="100"/>
      </w:pPr>
      <w:r>
        <w:t>1 2 a Segundo pico más alto e interpretación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El valor más alto después de lag 0 es lag 1 con ρ(1)=0.9923, pero no es un pico local. El pico local más alto es lag 22 con ρ=0.9262, prácticamente empatado con lag 24 con ρ(24)=0.9250; después aparecen lag 47 con 0.8770 y lag 72 con 0.8572.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ρ(12)=0.9250, ρ(22)=0.9262 y ρ(24)=0.9250 forman una zona casi plana, con diferencias menores que 0.002.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secuencia de máximos 22, 47 y 72 respalda una periodicidad cercana a un día sobre una componente lenta y persistente.</w:t>
      </w:r>
    </w:p>
    <w:p>
      <w:pPr>
        <w:pStyle w:val="Heading3"/>
        <w:keepNext/>
        <w:spacing w:before="160" w:after="100"/>
      </w:pPr>
      <w:r>
        <w:t>1 2 b Adecuación de L igual a 96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L=96 es apropiado porque cubre cuatro ciclos diarios completos. Incluso ρ(96)=0.8489, muy por encima de ±0.0192, por lo que la historia sigue siendo informativa.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Una ventana menor que 24 perdería el ciclo diario completo y L=48 conservaría solo dos ciclos.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De lag 47 a lag 96 la ACF apenas cae de 0.8770 a 0.8489, por lo que una ventana mayor agregaría información redundante y aumentaría el costo.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Explorar L=168 podría probar el ciclo semanal, pero la ACF disponible hasta 96 no aporta evidencia para justificarlo.</w:t>
      </w:r>
    </w:p>
    <w:p>
      <w:pPr>
        <w:pStyle w:val="Heading3"/>
        <w:keepNext/>
        <w:spacing w:before="160" w:after="100"/>
      </w:pPr>
      <w:r>
        <w:t>Verificación Task 1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Task 1: CORRECTO (ACF lag24=0.9250, naive_mae=0.2009)</w:t>
      </w:r>
    </w:p>
    <w:p>
      <w:pPr>
        <w:pStyle w:val="Heading1"/>
        <w:keepNext/>
        <w:spacing w:before="240" w:after="100"/>
      </w:pPr>
      <w:r>
        <w:t>Task 2 LSTM</w:t>
      </w:r>
    </w:p>
    <w:p>
      <w:pPr>
        <w:pStyle w:val="Heading2"/>
        <w:keepNext/>
        <w:spacing w:before="160" w:after="100"/>
      </w:pPr>
      <w:r>
        <w:t>2 1 LSTMForecaster manual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celda LSTM procesa manualmente cada paso, apila las cuatro compuertas y usa el último estado oculto para producir una predicción escalar many-to-one.</w:t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6217920" cy="436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st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6035040" cy="42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st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100"/>
      </w:pPr>
      <w:r>
        <w:t>2 2 Entrenamiento y evaluación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Se entrenó un LSTM distinto por horizonte con d_h=32. Validación y prueba están aproximadamente 1.2 desviaciones por debajo de train y tienen cerca de la mitad de variabilidad, por lo que se entrenó sobre diferencias respecto de x_t.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MSE se eligió por tratarse de regresión continua, penalizar con más fuerza los errores grandes, ofrecer un gradiente suave y ser coherente con el RMSE. El MAE se conserva como métrica interpretable en °C.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Modelo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H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MAE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RMSE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Ratio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MAE °C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RMSE °C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0.2040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0.2694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1.015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1.736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2.294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0.2601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0.3331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0.993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2.214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2.836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Naive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0.2009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0.2689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1.000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1.710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2.289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Naive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0.2620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0.3380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1.000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2.231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2.878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El LSTM queda prácticamente empatado con naive: en H=24 su MAE es ligeramente peor y en H=48 lo mejora apenas. Las pérdidas se estabilizan muy pronto.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lstm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140" w:line="269" w:lineRule="auto"/>
        <w:ind w:left="346" w:hanging="202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Figura 2  Curvas de pérdida MSE de entrenamiento del LSTM para H igual a 24 y H igual a 48</w:t>
      </w:r>
    </w:p>
    <w:p>
      <w:pPr>
        <w:pStyle w:val="Heading3"/>
        <w:keepNext/>
        <w:spacing w:before="160" w:after="100"/>
      </w:pPr>
      <w:r>
        <w:t>Verificación Task 2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Task 2: CORRECTO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LSTM H=24: MAE=0.2040, ratio=1.015</w:t>
      </w:r>
    </w:p>
    <w:p>
      <w:pPr>
        <w:pStyle w:val="Heading1"/>
        <w:keepNext/>
        <w:spacing w:before="240" w:after="100"/>
      </w:pPr>
      <w:r>
        <w:t>Task 3 Transformer</w:t>
      </w:r>
    </w:p>
    <w:p>
      <w:pPr>
        <w:pStyle w:val="Heading2"/>
        <w:keepNext/>
        <w:spacing w:before="160" w:after="100"/>
      </w:pPr>
      <w:r>
        <w:t>3 1 Positional encoding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Cada valor escalar se proyecta a R^(d_model) con una capa lineal y luego se suma un positional encoding sinusoidal no aprendible. El tensor tiene shape (96, 32) y requires_grad=False.</w:t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6217920" cy="503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3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100"/>
      </w:pPr>
      <w:r>
        <w:t>3 2 Multi head self attention LayerNorm y FFN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El encoder implementa manualmente dos cabezas de atención. Tras cada subcapa se aplica conexión residual y normalización; la salida se toma de la posición 0, usada como CLS aunque corresponde al dato más antiguo de la ventana.</w:t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6217920" cy="622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6217920" cy="578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4297680" cy="4526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f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5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100"/>
      </w:pPr>
      <w:r>
        <w:t>3 3 Entrenamiento evaluación y mapas de atención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Se entrenó un Transformer por horizonte con d_model=32, dos cabezas, d_ff=64 y las mismas condiciones del LSTM.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Modelo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H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MAE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RMSE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Ratio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MAE °C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RMSE °C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Transformer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0.2066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0.2589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1.029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1.759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2.204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Transformer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0.2413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0.3160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0.921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2.055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2.690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Naive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0.2009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0.2689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1.000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1.710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2.289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Naive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0.2620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0.3380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1.000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2.231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2.878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Los mapas promedian cinco ventanas de validación y dos cabezas. Para H=24 se usaron [0, 841, 1682, 2523, 3364] y para H=48 se usaron [0, 835, 1670, 2505, 3340].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5371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heatma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140" w:line="269" w:lineRule="auto"/>
        <w:ind w:left="346" w:hanging="202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Figura 3  Mapas de atención promedio para H igual a 24 y H igual a 48</w:t>
      </w:r>
    </w:p>
    <w:p>
      <w:pPr>
        <w:pStyle w:val="Heading3"/>
        <w:keepNext/>
        <w:spacing w:before="160" w:after="100"/>
      </w:pPr>
      <w:r>
        <w:t>3 3 d Posiciones con mayor atención desde CLS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atención desde CLS se concentra en bandas lejanas. Las franjas verticales indican que distintas queries tienden a mirar las mismas keys.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H=24: lags 77-81, con máximos en lag 80 (0.1095) y 79 (0.1033); segunda banda en 45-49, con lag 47=0.0473 y lag 48=0.0452.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H=48: lags 70-74, con lag 73=0.0598 y lag 72=0.0584; también lag 79=0.0458 y lags 45-48 alrededor de 0.03-0.035.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El peso uniforme sería 1/96=0.0104; lag 1 recibe 0.0002 en H=24 y 0.0013 en H=48.</w:t>
      </w:r>
    </w:p>
    <w:p>
      <w:pPr>
        <w:pStyle w:val="Heading3"/>
        <w:keepNext/>
        <w:spacing w:before="160" w:after="100"/>
      </w:pPr>
      <w:r>
        <w:t>Verificación Task 3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Task 3: CORRECTO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attn_w shape: torch.Size([4, 2, 96, 96])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row sums OK: 1.0000 a 1.0000</w:t>
      </w:r>
    </w:p>
    <w:p>
      <w:pPr>
        <w:pStyle w:val="Heading1"/>
        <w:keepNext/>
        <w:spacing w:before="240" w:after="100"/>
      </w:pPr>
      <w:r>
        <w:t>Task 4 Comparación e interpretación</w:t>
      </w:r>
    </w:p>
    <w:p>
      <w:pPr>
        <w:pStyle w:val="Heading2"/>
        <w:keepNext/>
        <w:spacing w:before="160" w:after="100"/>
      </w:pPr>
      <w:r>
        <w:t>4 1 ACF frente a atención</w:t>
      </w:r>
    </w:p>
    <w:p>
      <w:pPr>
        <w:pStyle w:val="Heading3"/>
        <w:keepNext/>
        <w:spacing w:before="160" w:after="100"/>
      </w:pPr>
      <w:r>
        <w:t>4 1 a Coincidencia de los lags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Los lags de mayor atención coinciden solo parcialmente con los picos de la ACF. La ACF es máxima en lags cortos y decae, mientras la atención privilegia bandas lejanas.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Lag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ACF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Atención H=24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Atención H=48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0.9923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0.0002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0.0013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 pico ACF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0.9262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0.0016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0.0018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0.9250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0.0104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0.0032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47 pico ACF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0.8770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0.0473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0.0339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0.8763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0.0452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0.0298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72 pico ACF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0.8572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0.0079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0.0584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0.8361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0.1033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0.0458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0.8334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0.1095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fuera del top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correlación de Spearman para lags 1-96 es -0.209 en H=24 y -0.323 en H=48. La coincidencia aparece en lag 47/48 para ambos y en lag 72 para H=48; la banda 78-81 de H=24 no es un pico de la ACF.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ACF mide redundancia lineal, mientras el modelo minimiza el MSE del cambio y busca información complementaria. Al centrar en x_t, los valores recientes aportan poco; los lags 48 y 72 corresponden a una hora comparable con el objetivo.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6676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acf_aten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140" w:line="269" w:lineRule="auto"/>
        <w:ind w:left="346" w:hanging="202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Figura 4  Perfil de ACF frente a atención desde CLS para H igual a 24 y H igual a 48</w:t>
      </w:r>
    </w:p>
    <w:p>
      <w:pPr>
        <w:pStyle w:val="Heading3"/>
        <w:keepNext/>
        <w:spacing w:before="160" w:after="100"/>
      </w:pPr>
      <w:r>
        <w:t>4 1 b Dependencias no lineales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ACF asigna un valor lineal y estacionario a cada lag. Los scores de atención dependen de proyecciones aprendidas y pueden variar con el contenido, el régimen y la hora del día.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El coeficiente de variación medio entre ejemplos es 0.597 para H=24 y 0.606 para H=48.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En H=48 el lag de máxima atención cambia por ejemplo: [72, 73, 80, 79, 67].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En H=24 el máximo permanece en 79-80, pero cambian los picos secundarios en torno a 23-28, 45-47 y 68.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evidencia de dependencia condicionada por contenido existe, aunque es moderada porque solo se observaron cinco ejemplos y el componente posicional es fuerte.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668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atencion_ejempl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140" w:line="269" w:lineRule="auto"/>
        <w:ind w:left="346" w:hanging="202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Figura 5  Atención desde CLS por ejemplo de validación para H igual a 24 y H igual a 48</w:t>
      </w:r>
    </w:p>
    <w:p>
      <w:pPr>
        <w:pStyle w:val="Heading2"/>
        <w:keepNext/>
        <w:spacing w:before="160" w:after="100"/>
      </w:pPr>
      <w:r>
        <w:t>4 2 Comparación LSTM Transformer y naive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tabla reúne todas las métricas de validación en escala normalizada y en grados Celsius.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4"/>
              </w:rPr>
              <w:t>Modelo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4"/>
              </w:rPr>
              <w:t>Horizonte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4"/>
              </w:rPr>
              <w:t>MAE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4"/>
              </w:rPr>
              <w:t>RMSE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4"/>
              </w:rPr>
              <w:t>Ratio vs naive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4"/>
              </w:rPr>
              <w:t>MAE °C</w:t>
            </w:r>
          </w:p>
        </w:tc>
        <w:tc>
          <w:tcPr>
            <w:tcW w:type="dxa" w:w="11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4"/>
              </w:rPr>
              <w:t>RMSE °C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LSTM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24 h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0.2040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0.2694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1.015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1.736</w:t>
            </w:r>
          </w:p>
        </w:tc>
        <w:tc>
          <w:tcPr>
            <w:tcW w:type="dxa" w:w="11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2.294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LSTM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48 h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0.2601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0.3331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0.993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2.214</w:t>
            </w:r>
          </w:p>
        </w:tc>
        <w:tc>
          <w:tcPr>
            <w:tcW w:type="dxa" w:w="11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2.836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Transformer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24 h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0.2066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0.2589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1.029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1.759</w:t>
            </w:r>
          </w:p>
        </w:tc>
        <w:tc>
          <w:tcPr>
            <w:tcW w:type="dxa" w:w="11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2.204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Transformer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48 h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0.2413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0.3160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0.921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2.055</w:t>
            </w:r>
          </w:p>
        </w:tc>
        <w:tc>
          <w:tcPr>
            <w:tcW w:type="dxa" w:w="11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2.690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Naive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24 h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0.2009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0.2689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1.710</w:t>
            </w:r>
          </w:p>
        </w:tc>
        <w:tc>
          <w:tcPr>
            <w:tcW w:type="dxa" w:w="11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2.289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Naive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48 h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0.2620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0.3380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2.231</w:t>
            </w:r>
          </w:p>
        </w:tc>
        <w:tc>
          <w:tcPr>
            <w:tcW w:type="dxa" w:w="11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2.878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4 2 a Aumento del error con el horizonte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En predicción iterativa, e_(t+h) ≈ ε_(t+h) + J e_(t+h-1). Con ρ(1)=0.99, J≈1 y la acumulación sería casi lineal.</w:t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5669280" cy="9626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i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2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Los modelos implementados son directos de una sola salida: se entrena un modelo separado para cada H y ninguno realimenta predicciones. El error aumenta por la incertidumbre intrínseca del futuro lejano.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Para un predictor lineal basado solo en x_t, 1-ρ(H)^2 vale 0.1445 en H=24 y 0.2320 en H=48, un factor de 1.61.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Modelo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MSE H=24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MSE H=48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Factor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Naive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0.2689² = 0.0723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0.3380² = 0.1142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1.58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LSTM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0.0726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0.1110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1.53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Transformer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0.0670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0.0999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1.49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4 2 b Flujo del gradiente</w:t>
      </w:r>
    </w:p>
    <w:p>
      <w:pPr>
        <w:pStyle w:val="ListBullet"/>
        <w:keepNext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En H=48 el Transformer supera al LSTM: MAE 0.2413 frente a 0.2601 y RMSE 0.3160 frente a 0.3331. En H=24 no lo supera en MAE, aunque sí en RMSE.</w:t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5760720" cy="11075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rad_lst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En el LSTM, el gradiente hacia lags 48-80 atraviesa decenas de factores y puede decaer geométricamente.</w:t>
      </w:r>
    </w:p>
    <w:p>
      <w:pPr>
        <w:pStyle w:val="ListBullet"/>
        <w:spacing w:after="100"/>
        <w:ind w:left="346" w:hanging="202"/>
      </w:pPr>
      <w:r>
        <w:drawing>
          <wp:inline xmlns:a="http://schemas.openxmlformats.org/drawingml/2006/main" xmlns:pic="http://schemas.openxmlformats.org/drawingml/2006/picture">
            <wp:extent cx="3291840" cy="1097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rad_tr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En el Transformer existe un camino de longitud 1 desde cualquier posición atendida hasta la salida. Esto facilita aprender de los lags 45-48 y 70-74.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La loss H=48 del LSTM queda aproximadamente entre 0.218 y 0.235, mientras la del Transformer baja de 0.1907 a 0.1794.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Uso de IA generativa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Por cada task se debe colocar el prompt exacto utilizado y explicar por qué funcionó.</w:t>
      </w:r>
    </w:p>
    <w:p>
      <w:pPr>
        <w:pStyle w:val="Heading2"/>
        <w:keepNext/>
        <w:spacing w:before="160" w:after="100"/>
      </w:pPr>
      <w:r>
        <w:t>Task 1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Prompt exacto: [COMPLETAR POR EL USUARIO]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Por qué funcionó: [COMPLETAR POR EL USUARIO]</w:t>
      </w:r>
    </w:p>
    <w:p>
      <w:pPr>
        <w:pStyle w:val="Heading2"/>
        <w:keepNext/>
        <w:spacing w:before="160" w:after="100"/>
      </w:pPr>
      <w:r>
        <w:t>Task 2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Prompt exacto: [COMPLETAR POR EL USUARIO]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Por qué funcionó: [COMPLETAR POR EL USUARIO]</w:t>
      </w:r>
    </w:p>
    <w:p>
      <w:pPr>
        <w:pStyle w:val="Heading2"/>
        <w:keepNext/>
        <w:spacing w:before="160" w:after="100"/>
      </w:pPr>
      <w:r>
        <w:t>Task 3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Prompt exacto: [COMPLETAR POR EL USUARIO]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Por qué funcionó: [COMPLETAR POR EL USUARIO]</w:t>
      </w:r>
    </w:p>
    <w:p>
      <w:pPr>
        <w:pStyle w:val="Heading2"/>
        <w:keepNext/>
        <w:spacing w:before="160" w:after="100"/>
      </w:pPr>
      <w:r>
        <w:t>Task 4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Consolas" w:hAnsi="Consolas"/>
          <w:b w:val="0"/>
          <w:i w:val="0"/>
          <w:color w:val="000000"/>
          <w:sz w:val="17"/>
        </w:rPr>
        <w:t>Prompt exacto: [COMPLETAR POR EL USUARIO]</w:t>
      </w:r>
    </w:p>
    <w:p>
      <w:pPr>
        <w:pStyle w:val="ListBullet"/>
        <w:keepNext w:val="0"/>
        <w:spacing w:after="80" w:line="269" w:lineRule="auto"/>
        <w:ind w:left="346" w:hanging="202"/>
      </w:pPr>
      <w:r>
        <w:rPr>
          <w:rFonts w:ascii="Arial" w:hAnsi="Arial"/>
          <w:b w:val="0"/>
          <w:i w:val="0"/>
          <w:color w:val="000000"/>
          <w:sz w:val="19"/>
        </w:rPr>
        <w:t>Por qué funcionó: [COMPLETAR POR EL USUARIO]</w:t>
      </w:r>
    </w:p>
    <w:sectPr w:rsidR="00FC693F" w:rsidRPr="0006063C" w:rsidSect="00034616">
      <w:footerReference w:type="default" r:id="rId9"/>
      <w:pgSz w:w="12240" w:h="15840"/>
      <w:pgMar w:top="979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000000"/>
        <w:sz w:val="15"/>
      </w:rPr>
      <w:t>Diego López 23747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7 Respuestas</dc:title>
  <dc:subject>Deep Learning CC3092 Sección 20</dc:subject>
  <dc:creator>Diego López 23747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