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9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X479cb6ee3b1ff514e68c94e5bc0380386ce69d8"/>
    <w:p>
      <w:pPr>
        <w:pStyle w:val="Heading1"/>
      </w:pPr>
      <w:r>
        <w:t xml:space="preserve">JTAG Enumeration for Security Research on the Zynq UltraScale+ MPSoC</w:t>
      </w:r>
    </w:p>
    <w:bookmarkStart w:id="10" w:name="introduction"/>
    <w:p>
      <w:pPr>
        <w:pStyle w:val="Heading2"/>
      </w:pPr>
      <w:r>
        <w:t xml:space="preserve">1. Introduction</w:t>
      </w:r>
    </w:p>
    <w:bookmarkStart w:id="9" w:name="why-jtag-enumeration-matters"/>
    <w:p>
      <w:pPr>
        <w:pStyle w:val="Heading3"/>
      </w:pPr>
      <w:r>
        <w:t xml:space="preserve">1.1 Why JTAG enumeration matters</w:t>
      </w:r>
    </w:p>
    <w:p>
      <w:pPr>
        <w:pStyle w:val="FirstParagraph"/>
      </w:pPr>
      <w:r>
        <w:t xml:space="preserve">JTAG is the most privileged hardware-level debug interface on a modern</w:t>
      </w:r>
      <w:r>
        <w:t xml:space="preserve"> </w:t>
      </w:r>
      <w:r>
        <w:t xml:space="preserve">SoC. On an unhardened device, it provides:</w:t>
      </w:r>
    </w:p>
    <w:p>
      <w:pPr>
        <w:pStyle w:val="Compact"/>
        <w:numPr>
          <w:ilvl w:val="0"/>
          <w:numId w:val="1001"/>
        </w:numPr>
      </w:pPr>
      <w:r>
        <w:t xml:space="preserve">Read/write access to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memory location the SoC can address</w:t>
      </w:r>
    </w:p>
    <w:p>
      <w:pPr>
        <w:pStyle w:val="Compact"/>
        <w:numPr>
          <w:ilvl w:val="0"/>
          <w:numId w:val="1001"/>
        </w:numPr>
      </w:pPr>
      <w:r>
        <w:t xml:space="preserve">Halt and step control of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CPU (APU, RPU, PMU)</w:t>
      </w:r>
    </w:p>
    <w:p>
      <w:pPr>
        <w:pStyle w:val="Compact"/>
        <w:numPr>
          <w:ilvl w:val="0"/>
          <w:numId w:val="1001"/>
        </w:numPr>
      </w:pPr>
      <w:r>
        <w:t xml:space="preserve">Direct access to the security control unit’s registers</w:t>
      </w:r>
    </w:p>
    <w:p>
      <w:pPr>
        <w:pStyle w:val="Compact"/>
        <w:numPr>
          <w:ilvl w:val="0"/>
          <w:numId w:val="1001"/>
        </w:numPr>
      </w:pPr>
      <w:r>
        <w:t xml:space="preserve">Read access to eFUSE shadow registers including device fingerprint, secure-boot policy, and PPK hashes</w:t>
      </w:r>
    </w:p>
    <w:p>
      <w:pPr>
        <w:pStyle w:val="Compact"/>
        <w:numPr>
          <w:ilvl w:val="0"/>
          <w:numId w:val="1001"/>
        </w:numPr>
      </w:pPr>
      <w:r>
        <w:t xml:space="preserve">The ability to release CPUs from reset and execute arbitrary code at</w:t>
      </w:r>
      <w:r>
        <w:t xml:space="preserve"> </w:t>
      </w:r>
      <w:r>
        <w:rPr>
          <w:b/>
          <w:bCs/>
        </w:rPr>
        <w:t xml:space="preserve">EL3</w:t>
      </w:r>
      <w:r>
        <w:t xml:space="preserve"> </w:t>
      </w:r>
      <w:r>
        <w:t xml:space="preserve">— the highest ARMv8 privilege level, above any OS, hypervisor,</w:t>
      </w:r>
      <w:r>
        <w:t xml:space="preserve"> </w:t>
      </w:r>
      <w:r>
        <w:t xml:space="preserve">or TrustZone monitor</w:t>
      </w:r>
    </w:p>
    <w:p>
      <w:pPr>
        <w:pStyle w:val="FirstParagraph"/>
      </w:pPr>
      <w:r>
        <w:t xml:space="preserve">For an attacker with physical access, JTAG bypasses the operating system</w:t>
      </w:r>
      <w:r>
        <w:t xml:space="preserve"> </w:t>
      </w:r>
      <w:r>
        <w:t xml:space="preserve">entirely. For a defender, JTAG state is what the silicon actually</w:t>
      </w:r>
      <w:r>
        <w:t xml:space="preserve"> </w:t>
      </w:r>
      <w:r>
        <w:t xml:space="preserve">enforces — software-level hardening is irrelevant if the JTAG hardware</w:t>
      </w:r>
      <w:r>
        <w:t xml:space="preserve"> </w:t>
      </w:r>
      <w:r>
        <w:t xml:space="preserve">gates are wide open.</w:t>
      </w:r>
    </w:p>
    <w:p>
      <w:pPr>
        <w:pStyle w:val="BodyText"/>
      </w:pPr>
      <w:r>
        <w:t xml:space="preserve">The first question on any new device is:</w:t>
      </w:r>
      <w:r>
        <w:t xml:space="preserve"> </w:t>
      </w:r>
      <w:r>
        <w:rPr>
          <w:b/>
          <w:bCs/>
        </w:rPr>
        <w:t xml:space="preserve">what is the silicon actually</w:t>
      </w:r>
      <w:r>
        <w:rPr>
          <w:b/>
          <w:bCs/>
        </w:rPr>
        <w:t xml:space="preserve"> </w:t>
      </w:r>
      <w:r>
        <w:rPr>
          <w:b/>
          <w:bCs/>
        </w:rPr>
        <w:t xml:space="preserve">gating, and what is it leaving open?</w:t>
      </w:r>
      <w:r>
        <w:t xml:space="preserve"> </w:t>
      </w:r>
      <w:r>
        <w:t xml:space="preserve">Answering it requires reading and</w:t>
      </w:r>
      <w:r>
        <w:t xml:space="preserve"> </w:t>
      </w:r>
      <w:r>
        <w:t xml:space="preserve">decoding roughly eighty registers across seventeen functional sections —</w:t>
      </w:r>
      <w:r>
        <w:t xml:space="preserve"> </w:t>
      </w:r>
      <w:r>
        <w:t xml:space="preserve">the security spine plus power, clocks, resets, A53 state, code-execution</w:t>
      </w:r>
      <w:r>
        <w:t xml:space="preserve"> </w:t>
      </w:r>
      <w:r>
        <w:t xml:space="preserve">discovery, debug topology, memory map probes, peripheral and memory</w:t>
      </w:r>
      <w:r>
        <w:t xml:space="preserve"> </w:t>
      </w:r>
      <w:r>
        <w:t xml:space="preserve">protection units, RPU configuration, IPC fabric, and FPGA configuration</w:t>
      </w:r>
      <w:r>
        <w:t xml:space="preserve"> </w:t>
      </w:r>
      <w:r>
        <w:t xml:space="preserve">status — plus tracking the live state of every domain that could be a</w:t>
      </w:r>
      <w:r>
        <w:t xml:space="preserve"> </w:t>
      </w:r>
      <w:r>
        <w:t xml:space="preserve">debug-relevant target. Doing this by hand is slow and error-prone. The</w:t>
      </w:r>
      <w:r>
        <w:t xml:space="preserve"> </w:t>
      </w:r>
      <w:r>
        <w:t xml:space="preserve">enumeration tool described in Volumes 2 and 3 does it in ten seconds</w:t>
      </w:r>
      <w:r>
        <w:t xml:space="preserve"> </w:t>
      </w:r>
      <w:r>
        <w:t xml:space="preserve">and produces a structured, diffable report.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8" w:name="background"/>
    <w:p>
      <w:pPr>
        <w:pStyle w:val="Heading2"/>
      </w:pPr>
      <w:r>
        <w:t xml:space="preserve">2. Background</w:t>
      </w:r>
    </w:p>
    <w:p>
      <w:pPr>
        <w:pStyle w:val="FirstParagraph"/>
      </w:pPr>
      <w:r>
        <w:t xml:space="preserve">AMD’s Zynq UltraScale+ MPSoC is the platform every step of this</w:t>
      </w:r>
      <w:r>
        <w:t xml:space="preserve"> </w:t>
      </w:r>
      <w:r>
        <w:t xml:space="preserve">workflow targets. The subsections below cover its high-level</w:t>
      </w:r>
      <w:r>
        <w:t xml:space="preserve"> </w:t>
      </w:r>
      <w:r>
        <w:t xml:space="preserve">architecture, variant landscape, boot model, JTAG security gates,</w:t>
      </w:r>
      <w:r>
        <w:t xml:space="preserve"> </w:t>
      </w:r>
      <w:r>
        <w:t xml:space="preserve">and memory layout — in the order needed to understand what</w:t>
      </w:r>
      <w:r>
        <w:t xml:space="preserve"> </w:t>
      </w:r>
      <w:r>
        <w:t xml:space="preserve">enumeration produces.</w:t>
      </w:r>
    </w:p>
    <w:bookmarkStart w:id="14" w:name="the-zynqmp-soc-at-a-glance"/>
    <w:p>
      <w:pPr>
        <w:pStyle w:val="Heading3"/>
      </w:pPr>
      <w:r>
        <w:t xml:space="preserve">2.1 The ZynqMP SoC at a glance</w:t>
      </w:r>
    </w:p>
    <w:p>
      <w:pPr>
        <w:pStyle w:val="FirstParagraph"/>
      </w:pPr>
      <w:r>
        <w:t xml:space="preserve">The Zynq UltraScale+ MPSoC is a multi-die system-on-chip combining</w:t>
      </w:r>
      <w:r>
        <w:t xml:space="preserve"> </w:t>
      </w:r>
      <w:r>
        <w:t xml:space="preserve">several processor subsystems with FPGA fabric:</w:t>
      </w:r>
    </w:p>
    <w:p>
      <w:pPr>
        <w:pStyle w:val="CaptionedFigure"/>
      </w:pPr>
      <w:r>
        <w:drawing>
          <wp:inline>
            <wp:extent cx="5334000" cy="2184312"/>
            <wp:effectExtent b="0" l="0" r="0" t="0"/>
            <wp:docPr descr="ZynqMP subsystem overview showing LPD, FPD, and PL domains" title="" id="12" name="Picture"/>
            <a:graphic>
              <a:graphicData uri="http://schemas.openxmlformats.org/drawingml/2006/picture">
                <pic:pic>
                  <pic:nvPicPr>
                    <pic:cNvPr descr="figures/01-zynqmp-block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4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ZynqMP subsystem overview showing LPD, FPD, and PL domains</w:t>
      </w:r>
    </w:p>
    <w:p>
      <w:pPr>
        <w:pStyle w:val="BodyText"/>
      </w:pPr>
      <w:r>
        <w:t xml:space="preserve">Two power domains govern everything: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LPD</w:t>
      </w:r>
      <w:r>
        <w:t xml:space="preserve"> </w:t>
      </w:r>
      <w:r>
        <w:t xml:space="preserve">— Low-Power Domain. Always-on. Contains the RPU, PMU, CSU,</w:t>
      </w:r>
      <w:r>
        <w:t xml:space="preserve"> </w:t>
      </w:r>
      <w:r>
        <w:t xml:space="preserve">OCM (on-chip SRAM), most peripherals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FPD</w:t>
      </w:r>
      <w:r>
        <w:t xml:space="preserve"> </w:t>
      </w:r>
      <w:r>
        <w:t xml:space="preserve">— Full-Power Domain. Can be gated off. Contains the APU,</w:t>
      </w:r>
      <w:r>
        <w:t xml:space="preserve"> </w:t>
      </w:r>
      <w:r>
        <w:t xml:space="preserve">DDR controller, GPU, VCU, PCIe, SATA, USB3, DisplayPort, GIC</w:t>
      </w:r>
    </w:p>
    <w:p>
      <w:pPr>
        <w:pStyle w:val="FirstParagraph"/>
      </w:pPr>
      <w:r>
        <w:t xml:space="preserve">A device booted</w:t>
      </w:r>
      <w:r>
        <w:t xml:space="preserve"> </w:t>
      </w:r>
      <w:r>
        <w:t xml:space="preserve">“JTAG-idle”</w:t>
      </w:r>
      <w:r>
        <w:t xml:space="preserve"> </w:t>
      </w:r>
      <w:r>
        <w:t xml:space="preserve">with the FPD off can still service JTAG</w:t>
      </w:r>
      <w:r>
        <w:t xml:space="preserve"> </w:t>
      </w:r>
      <w:r>
        <w:t xml:space="preserve">debug because the LPD remains powered.</w:t>
      </w:r>
    </w:p>
    <w:bookmarkEnd w:id="14"/>
    <w:bookmarkStart w:id="18" w:name="boot-model"/>
    <w:p>
      <w:pPr>
        <w:pStyle w:val="Heading3"/>
      </w:pPr>
      <w:r>
        <w:t xml:space="preserve">2.2 Boot model</w:t>
      </w:r>
    </w:p>
    <w:p>
      <w:pPr>
        <w:pStyle w:val="FirstParagraph"/>
      </w:pPr>
      <w:r>
        <w:t xml:space="preserve">The ZynqMP boot sequence is multi-stage:</w:t>
      </w:r>
    </w:p>
    <w:p>
      <w:pPr>
        <w:pStyle w:val="CaptionedFigure"/>
      </w:pPr>
      <w:r>
        <w:drawing>
          <wp:inline>
            <wp:extent cx="5334000" cy="9447138"/>
            <wp:effectExtent b="0" l="0" r="0" t="0"/>
            <wp:docPr descr="ZynqMP boot flow from PS_POR_B through Linux kernel load" title="" id="16" name="Picture"/>
            <a:graphic>
              <a:graphicData uri="http://schemas.openxmlformats.org/drawingml/2006/picture">
                <pic:pic>
                  <pic:nvPicPr>
                    <pic:cNvPr descr="figures/03-boot-flow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47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ZynqMP boot flow from PS_POR_B through Linux kernel load</w:t>
      </w:r>
    </w:p>
    <w:p>
      <w:pPr>
        <w:pStyle w:val="BodyText"/>
      </w:pPr>
      <w:r>
        <w:rPr>
          <w:b/>
          <w:bCs/>
        </w:rPr>
        <w:t xml:space="preserve">The JTAG-idle state is the cleanest baseline</w:t>
      </w:r>
      <w:r>
        <w:t xml:space="preserve"> </w:t>
      </w:r>
      <w:r>
        <w:t xml:space="preserve">for enumeration:</w:t>
      </w:r>
      <w:r>
        <w:t xml:space="preserve"> </w:t>
      </w:r>
      <w:r>
        <w:t xml:space="preserve">APUs are in reset, no FSBL has run, no secrets have been loaded into</w:t>
      </w:r>
      <w:r>
        <w:t xml:space="preserve"> </w:t>
      </w:r>
      <w:r>
        <w:t xml:space="preserve">peripherals, no peripheral interrupts are active. Most of this paper’s</w:t>
      </w:r>
      <w:r>
        <w:t xml:space="preserve"> </w:t>
      </w:r>
      <w:r>
        <w:t xml:space="preserve">sample data comes from a ZCU102 in JTAG idle.</w:t>
      </w:r>
    </w:p>
    <w:p>
      <w:pPr>
        <w:pStyle w:val="BodyText"/>
      </w:pPr>
      <w:r>
        <w:t xml:space="preserve">A device booted from SD/QSPI/eMMC produces a much richer enumeration</w:t>
      </w:r>
      <w:r>
        <w:t xml:space="preserve"> </w:t>
      </w:r>
      <w:r>
        <w:t xml:space="preserve">report because FSBL has run, DDR is initialized, PMU firmware is</w:t>
      </w:r>
      <w:r>
        <w:t xml:space="preserve"> </w:t>
      </w:r>
      <w:r>
        <w:t xml:space="preserve">running, peripherals are alive, and U-Boot or Linux may be visible in</w:t>
      </w:r>
      <w:r>
        <w:t xml:space="preserve"> </w:t>
      </w:r>
      <w:r>
        <w:t xml:space="preserve">memory. The two report types diff against each other to reveal what</w:t>
      </w:r>
      <w:r>
        <w:t xml:space="preserve"> </w:t>
      </w:r>
      <w:r>
        <w:t xml:space="preserve">the FSBL chain actually did.</w:t>
      </w:r>
    </w:p>
    <w:bookmarkEnd w:id="18"/>
    <w:bookmarkStart w:id="26" w:name="jtag-security-architecture"/>
    <w:p>
      <w:pPr>
        <w:pStyle w:val="Heading3"/>
      </w:pPr>
      <w:r>
        <w:t xml:space="preserve">2.3 JTAG security architecture</w:t>
      </w:r>
    </w:p>
    <w:p>
      <w:pPr>
        <w:pStyle w:val="FirstParagraph"/>
      </w:pPr>
      <w:r>
        <w:t xml:space="preserve">This is the part that drives most of the rest of the series.</w:t>
      </w:r>
    </w:p>
    <w:bookmarkStart w:id="22" w:name="jtag-chain-composition"/>
    <w:p>
      <w:pPr>
        <w:pStyle w:val="Heading4"/>
      </w:pPr>
      <w:r>
        <w:t xml:space="preserve">JTAG chain composition</w:t>
      </w:r>
    </w:p>
    <w:p>
      <w:pPr>
        <w:pStyle w:val="FirstParagraph"/>
      </w:pPr>
      <w:r>
        <w:t xml:space="preserve">The ZynqMP exposes two TAPs in series on the JTAG chain:</w:t>
      </w:r>
    </w:p>
    <w:p>
      <w:pPr>
        <w:pStyle w:val="CaptionedFigure"/>
      </w:pPr>
      <w:r>
        <w:drawing>
          <wp:inline>
            <wp:extent cx="5334000" cy="2142883"/>
            <wp:effectExtent b="0" l="0" r="0" t="0"/>
            <wp:docPr descr="JTAG chain composition: PS-TAP + ARM CoreSight DAP with Access Ports" title="" id="20" name="Picture"/>
            <a:graphic>
              <a:graphicData uri="http://schemas.openxmlformats.org/drawingml/2006/picture">
                <pic:pic>
                  <pic:nvPicPr>
                    <pic:cNvPr descr="figures/02-jtag-chain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2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JTAG chain composition: PS-TAP + ARM CoreSight DAP with Access Ports</w:t>
      </w:r>
    </w:p>
    <w:p>
      <w:pPr>
        <w:pStyle w:val="BodyText"/>
      </w:pPr>
      <w:r>
        <w:t xml:space="preserve">The PS-TAP is Xilinx-proprietary; the ARM DAP is the standard</w:t>
      </w:r>
      <w:r>
        <w:t xml:space="preserve"> </w:t>
      </w:r>
      <w:r>
        <w:t xml:space="preserve">CoreSight ARM debug-access port. Both must be reachable for full</w:t>
      </w:r>
      <w:r>
        <w:t xml:space="preserve"> </w:t>
      </w:r>
      <w:r>
        <w:t xml:space="preserve">enumeration.</w:t>
      </w:r>
    </w:p>
    <w:bookmarkEnd w:id="22"/>
    <w:bookmarkStart w:id="23" w:name="the-csu-secure-stream-switch-sss"/>
    <w:p>
      <w:pPr>
        <w:pStyle w:val="Heading4"/>
      </w:pPr>
      <w:r>
        <w:t xml:space="preserve">The CSU Secure Stream Switch (SSS)</w:t>
      </w:r>
    </w:p>
    <w:p>
      <w:pPr>
        <w:pStyle w:val="FirstParagraph"/>
      </w:pPr>
      <w:r>
        <w:t xml:space="preserve">The CSU implements a multi-input multi-output stream switch that</w:t>
      </w:r>
      <w:r>
        <w:t xml:space="preserve"> </w:t>
      </w:r>
      <w:r>
        <w:t xml:space="preserve">gates which JTAG paths can talk to which security-sensitive blocks.</w:t>
      </w:r>
      <w:r>
        <w:t xml:space="preserve"> </w:t>
      </w:r>
      <w:r>
        <w:t xml:space="preserve">Three SSS paths matter for JTAG enumeration:</w:t>
      </w:r>
    </w:p>
    <w:p>
      <w:pPr>
        <w:pStyle w:val="SourceCode"/>
      </w:pPr>
      <w:r>
        <w:rPr>
          <w:rStyle w:val="VerbatimChar"/>
        </w:rPr>
        <w:t xml:space="preserve">JTAG ── ┬─► SSS_DAP_SEC ──► ARM DAP (APU, RPU debug)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├─► SSS_PLTAP_SEC ──► PL TAP (FPGA fabric JTAG)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└─► SSS_PMU_SEC ──► PMU (firmware execution control)</w:t>
      </w:r>
    </w:p>
    <w:p>
      <w:pPr>
        <w:pStyle w:val="FirstParagraph"/>
      </w:pPr>
      <w:r>
        <w:t xml:space="preserve">Each path’s gate is controlled by a</w:t>
      </w:r>
      <w:r>
        <w:t xml:space="preserve"> </w:t>
      </w:r>
      <w:r>
        <w:rPr>
          <w:b/>
          <w:bCs/>
        </w:rPr>
        <w:t xml:space="preserve">3-bit magic value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CSU.JTAG_SEC</w:t>
      </w:r>
      <w:r>
        <w:t xml:space="preserve"> </w:t>
      </w:r>
      <w:r>
        <w:t xml:space="preserve">(at</w:t>
      </w:r>
      <w:r>
        <w:t xml:space="preserve"> </w:t>
      </w:r>
      <w:r>
        <w:rPr>
          <w:rStyle w:val="VerbatimChar"/>
        </w:rPr>
        <w:t xml:space="preserve">0xFFCA0038</w:t>
      </w:r>
      <w:r>
        <w:t xml:space="preserve">). Open requires</w:t>
      </w:r>
      <w:r>
        <w:t xml:space="preserve"> </w:t>
      </w:r>
      <w:r>
        <w:rPr>
          <w:rStyle w:val="VerbatimChar"/>
        </w:rPr>
        <w:t xml:space="preserve">0b111</w:t>
      </w:r>
      <w:r>
        <w:t xml:space="preserve">; any other</w:t>
      </w:r>
      <w:r>
        <w:t xml:space="preserve"> </w:t>
      </w:r>
      <w:r>
        <w:t xml:space="preserve">value gates the path. The 3-bit design is anti-glitch — a single bit</w:t>
      </w:r>
      <w:r>
        <w:t xml:space="preserve"> </w:t>
      </w:r>
      <w:r>
        <w:t xml:space="preserve">flip from fault injection cannot unlock a gated path.</w:t>
      </w:r>
    </w:p>
    <w:bookmarkEnd w:id="23"/>
    <w:bookmarkStart w:id="24" w:name="Xccd09562f6ad266402edf12ab47187ac1dfe734"/>
    <w:p>
      <w:pPr>
        <w:pStyle w:val="Heading4"/>
      </w:pPr>
      <w:r>
        <w:t xml:space="preserve">Per-cluster debug authorization (JTAG_DAP_CFG)</w:t>
      </w:r>
    </w:p>
    <w:p>
      <w:pPr>
        <w:pStyle w:val="FirstParagraph"/>
      </w:pPr>
      <w:r>
        <w:t xml:space="preserve">A second register</w:t>
      </w:r>
      <w:r>
        <w:t xml:space="preserve"> </w:t>
      </w:r>
      <w:r>
        <w:rPr>
          <w:rStyle w:val="VerbatimChar"/>
        </w:rPr>
        <w:t xml:space="preserve">CSU.JTAG_DAP_CFG</w:t>
      </w:r>
      <w:r>
        <w:t xml:space="preserve"> </w:t>
      </w:r>
      <w:r>
        <w:t xml:space="preserve">(at</w:t>
      </w:r>
      <w:r>
        <w:t xml:space="preserve"> </w:t>
      </w:r>
      <w:r>
        <w:rPr>
          <w:rStyle w:val="VerbatimChar"/>
        </w:rPr>
        <w:t xml:space="preserve">0xFFCA003C</w:t>
      </w:r>
      <w:r>
        <w:t xml:space="preserve">) controls what</w:t>
      </w:r>
      <w:r>
        <w:t xml:space="preserve"> </w:t>
      </w:r>
      <w:r>
        <w:t xml:space="preserve">the ARM DAP itself can do, with six 1-bit gates: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SSSS_APU_DBGEN</w:t>
            </w:r>
          </w:p>
        </w:tc>
        <w:tc>
          <w:tcPr/>
          <w:p>
            <w:pPr>
              <w:pStyle w:val="Compact"/>
            </w:pPr>
            <w:r>
              <w:t xml:space="preserve">APU halt/step/breakpoint allowed (non-secure world)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SSSS_APU_NIDEN</w:t>
            </w:r>
          </w:p>
        </w:tc>
        <w:tc>
          <w:tcPr/>
          <w:p>
            <w:pPr>
              <w:pStyle w:val="Compact"/>
            </w:pPr>
            <w:r>
              <w:t xml:space="preserve">APU non-invasive trace (ETM, etc.) 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SSSS_APU_SPIDEN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APU SECURE-world debug allowed (EL3/TrustZone)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SSSS_APU_SPNIDEN</w:t>
            </w:r>
          </w:p>
        </w:tc>
        <w:tc>
          <w:tcPr/>
          <w:p>
            <w:pPr>
              <w:pStyle w:val="Compact"/>
            </w:pPr>
            <w:r>
              <w:t xml:space="preserve">APU secure-world trace 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SSSS_RPU_DBGEN</w:t>
            </w:r>
          </w:p>
        </w:tc>
        <w:tc>
          <w:tcPr/>
          <w:p>
            <w:pPr>
              <w:pStyle w:val="Compact"/>
            </w:pPr>
            <w:r>
              <w:t xml:space="preserve">RPU (R5) debug 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SSSS_RPU_NIDEN</w:t>
            </w:r>
          </w:p>
        </w:tc>
        <w:tc>
          <w:tcPr/>
          <w:p>
            <w:pPr>
              <w:pStyle w:val="Compact"/>
            </w:pPr>
            <w:r>
              <w:t xml:space="preserve">RPU trace allowed</w:t>
            </w:r>
          </w:p>
        </w:tc>
      </w:tr>
    </w:tbl>
    <w:p>
      <w:pPr>
        <w:pStyle w:val="BodyText"/>
      </w:pPr>
      <w:r>
        <w:t xml:space="preserve">These are</w:t>
      </w:r>
      <w:r>
        <w:t xml:space="preserve"> </w:t>
      </w:r>
      <w:r>
        <w:rPr>
          <w:b/>
          <w:bCs/>
        </w:rPr>
        <w:t xml:space="preserve">cluster-wide</w:t>
      </w:r>
      <w:r>
        <w:t xml:space="preserve">, not per-core. SPIDEN is the bit that</w:t>
      </w:r>
      <w:r>
        <w:t xml:space="preserve"> </w:t>
      </w:r>
      <w:r>
        <w:t xml:space="preserve">defines whether the device’s secure-world is attackable via JTAG.</w:t>
      </w:r>
    </w:p>
    <w:bookmarkEnd w:id="24"/>
    <w:bookmarkStart w:id="25" w:name="efuse-secure-boot-policy"/>
    <w:p>
      <w:pPr>
        <w:pStyle w:val="Heading4"/>
      </w:pPr>
      <w:r>
        <w:t xml:space="preserve">eFUSE secure-boot policy</w:t>
      </w:r>
    </w:p>
    <w:p>
      <w:pPr>
        <w:pStyle w:val="FirstParagraph"/>
      </w:pPr>
      <w:r>
        <w:t xml:space="preserve">Finally, the one-way fuses in</w:t>
      </w:r>
      <w:r>
        <w:t xml:space="preserve"> </w:t>
      </w:r>
      <w:r>
        <w:rPr>
          <w:rStyle w:val="VerbatimChar"/>
        </w:rPr>
        <w:t xml:space="preserve">EFUSE.SEC_CTRL</w:t>
      </w:r>
      <w:r>
        <w:t xml:space="preserve"> </w:t>
      </w:r>
      <w:r>
        <w:t xml:space="preserve">(at</w:t>
      </w:r>
      <w:r>
        <w:t xml:space="preserve"> </w:t>
      </w:r>
      <w:r>
        <w:rPr>
          <w:rStyle w:val="VerbatimChar"/>
        </w:rPr>
        <w:t xml:space="preserve">0xFFCC1058</w:t>
      </w:r>
      <w:r>
        <w:t xml:space="preserve">)</w:t>
      </w:r>
      <w:r>
        <w:t xml:space="preserve"> </w:t>
      </w:r>
      <w:r>
        <w:t xml:space="preserve">control the silicon’s secure-boot policy at hardware level: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Bit(s)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Effect when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AES_RDLK</w:t>
            </w:r>
          </w:p>
        </w:tc>
        <w:tc>
          <w:tcPr/>
          <w:p>
            <w:pPr>
              <w:pStyle w:val="Compact"/>
            </w:pPr>
            <w:r>
              <w:t xml:space="preserve">AES key in eFUSE cannot be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AES_WRLK</w:t>
            </w:r>
          </w:p>
        </w:tc>
        <w:tc>
          <w:tcPr/>
          <w:p>
            <w:pPr>
              <w:pStyle w:val="Compact"/>
            </w:pPr>
            <w:r>
              <w:t xml:space="preserve">AES key in eFUSE cannot be 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ENC_ONLY</w:t>
            </w:r>
          </w:p>
        </w:tc>
        <w:tc>
          <w:tcPr/>
          <w:p>
            <w:pPr>
              <w:pStyle w:val="Compact"/>
            </w:pPr>
            <w:r>
              <w:t xml:space="preserve">Boot image MUST be encrypted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BBRAM_DIS</w:t>
            </w:r>
          </w:p>
        </w:tc>
        <w:tc>
          <w:tcPr/>
          <w:p>
            <w:pPr>
              <w:pStyle w:val="Compact"/>
            </w:pPr>
            <w:r>
              <w:t xml:space="preserve">BBRAM disabled as key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JTAG_DIS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JTAG disable — irreversible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SEC_LOCK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Lock SEC_CTRL itself — no further fuses settable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[25:11]</w:t>
            </w:r>
          </w:p>
        </w:tc>
        <w:tc>
          <w:tcPr/>
          <w:p>
            <w:pPr>
              <w:pStyle w:val="Compact"/>
            </w:pPr>
            <w:r>
              <w:t xml:space="preserve">RSA_EN</w:t>
            </w:r>
          </w:p>
        </w:tc>
        <w:tc>
          <w:tcPr/>
          <w:p>
            <w:pPr>
              <w:pStyle w:val="Compact"/>
            </w:pPr>
            <w:r>
              <w:t xml:space="preserve">15-bit magic field requiring specific value to enforce RSA-signed 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PPK0_WRLK</w:t>
            </w:r>
          </w:p>
        </w:tc>
        <w:tc>
          <w:tcPr/>
          <w:p>
            <w:pPr>
              <w:pStyle w:val="Compact"/>
            </w:pPr>
            <w:r>
              <w:t xml:space="preserve">Primary Public Key 0 hash write-locked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[28:27]</w:t>
            </w:r>
          </w:p>
        </w:tc>
        <w:tc>
          <w:tcPr/>
          <w:p>
            <w:pPr>
              <w:pStyle w:val="Compact"/>
            </w:pPr>
            <w:r>
              <w:t xml:space="preserve">PPK0_INVLD</w:t>
            </w:r>
          </w:p>
        </w:tc>
        <w:tc>
          <w:tcPr/>
          <w:p>
            <w:pPr>
              <w:pStyle w:val="Compact"/>
            </w:pPr>
            <w:r>
              <w:t xml:space="preserve">2-bit magic field; invalidates PPK0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PPK1_WRLK</w:t>
            </w:r>
          </w:p>
        </w:tc>
        <w:tc>
          <w:tcPr/>
          <w:p>
            <w:pPr>
              <w:pStyle w:val="Compact"/>
            </w:pPr>
            <w:r>
              <w:t xml:space="preserve">PPK1 hash write-locked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[31:30]</w:t>
            </w:r>
          </w:p>
        </w:tc>
        <w:tc>
          <w:tcPr/>
          <w:p>
            <w:pPr>
              <w:pStyle w:val="Compact"/>
            </w:pPr>
            <w:r>
              <w:t xml:space="preserve">PPK1_INVLD</w:t>
            </w:r>
          </w:p>
        </w:tc>
        <w:tc>
          <w:tcPr/>
          <w:p>
            <w:pPr>
              <w:pStyle w:val="Compact"/>
            </w:pPr>
            <w:r>
              <w:t xml:space="preserve">2-bit magic field; invalidates PPK1</w:t>
            </w:r>
          </w:p>
        </w:tc>
      </w:tr>
    </w:tbl>
    <w:p>
      <w:pPr>
        <w:pStyle w:val="BodyText"/>
      </w:pPr>
      <w:r>
        <w:t xml:space="preserve">Two fields use magic-value patterns (RSA_EN, PPK_INVLD) rather than</w:t>
      </w:r>
      <w:r>
        <w:t xml:space="preserve"> </w:t>
      </w:r>
      <w:r>
        <w:t xml:space="preserve">single-bit enables — the same anti-glitch defense as the JTAG_SEC</w:t>
      </w:r>
      <w:r>
        <w:t xml:space="preserve"> </w:t>
      </w:r>
      <w:r>
        <w:t xml:space="preserve">gates. A successful glitch attack on a single bit cannot enable RSA</w:t>
      </w:r>
      <w:r>
        <w:t xml:space="preserve"> </w:t>
      </w:r>
      <w:r>
        <w:t xml:space="preserve">bypass or invalidate a PPK.</w:t>
      </w:r>
    </w:p>
    <w:p>
      <w:pPr>
        <w:pStyle w:val="BodyText"/>
      </w:pPr>
      <w:r>
        <w:t xml:space="preserve">These three register groups —</w:t>
      </w:r>
      <w:r>
        <w:t xml:space="preserve"> </w:t>
      </w:r>
      <w:r>
        <w:rPr>
          <w:rStyle w:val="VerbatimChar"/>
        </w:rPr>
        <w:t xml:space="preserve">JTAG_SEC</w:t>
      </w:r>
      <w:r>
        <w:t xml:space="preserve">,</w:t>
      </w:r>
      <w:r>
        <w:t xml:space="preserve"> </w:t>
      </w:r>
      <w:r>
        <w:rPr>
          <w:rStyle w:val="VerbatimChar"/>
        </w:rPr>
        <w:t xml:space="preserve">JTAG_DAP_CFG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EFUSE.SEC_CTRL</w:t>
      </w:r>
      <w:r>
        <w:t xml:space="preserve"> </w:t>
      </w:r>
      <w:r>
        <w:t xml:space="preserve">— define essentially the entire JTAG-visible security</w:t>
      </w:r>
      <w:r>
        <w:t xml:space="preserve"> </w:t>
      </w:r>
      <w:r>
        <w:t xml:space="preserve">policy of the device. Reading them is the heart of the enumeration</w:t>
      </w:r>
      <w:r>
        <w:t xml:space="preserve"> </w:t>
      </w:r>
      <w:r>
        <w:t xml:space="preserve">workflow described in Volume 2.</w:t>
      </w:r>
    </w:p>
    <w:bookmarkEnd w:id="25"/>
    <w:bookmarkEnd w:id="26"/>
    <w:bookmarkStart w:id="27" w:name="memory-layout-overview"/>
    <w:p>
      <w:pPr>
        <w:pStyle w:val="Heading3"/>
      </w:pPr>
      <w:r>
        <w:t xml:space="preserve">2.4 Memory layout overview</w:t>
      </w:r>
    </w:p>
    <w:p>
      <w:pPr>
        <w:pStyle w:val="FirstParagraph"/>
      </w:pPr>
      <w:r>
        <w:t xml:space="preserve">ZynqMP’s address space (identical across MPSoC variants):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0x00000000 - 0x7FFFFFFF</w:t>
            </w:r>
          </w:p>
        </w:tc>
        <w:tc>
          <w:tcPr/>
          <w:p>
            <w:pPr>
              <w:pStyle w:val="Compact"/>
            </w:pPr>
            <w:r>
              <w:t xml:space="preserve">DDR (lower 2 GB)</w:t>
            </w:r>
          </w:p>
        </w:tc>
        <w:tc>
          <w:tcPr/>
          <w:p>
            <w:pPr>
              <w:pStyle w:val="Compact"/>
            </w:pPr>
            <w:r>
              <w:t xml:space="preserve">Main system DRAM. Only accessible after DDR controller init by FSBL.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0xC0000000 - 0xFCFFFFFF</w:t>
            </w:r>
          </w:p>
        </w:tc>
        <w:tc>
          <w:tcPr/>
          <w:p>
            <w:pPr>
              <w:pStyle w:val="Compact"/>
            </w:pPr>
            <w:r>
              <w:t xml:space="preserve">PL aperture / PCIe</w:t>
            </w:r>
          </w:p>
        </w:tc>
        <w:tc>
          <w:tcPr/>
          <w:p>
            <w:pPr>
              <w:pStyle w:val="Compact"/>
            </w:pPr>
            <w:r>
              <w:t xml:space="preserve">Programmable Logic and PCIe BARs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0xFD000000 - 0xFD0FFFFF</w:t>
            </w:r>
          </w:p>
        </w:tc>
        <w:tc>
          <w:tcPr/>
          <w:p>
            <w:pPr>
              <w:pStyle w:val="Compact"/>
            </w:pPr>
            <w:r>
              <w:t xml:space="preserve">DDR controller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0xFD1A0000 - 0xFD1AFFFF</w:t>
            </w:r>
          </w:p>
        </w:tc>
        <w:tc>
          <w:tcPr/>
          <w:p>
            <w:pPr>
              <w:pStyle w:val="Compact"/>
            </w:pPr>
            <w:r>
              <w:t xml:space="preserve">CRF_APB</w:t>
            </w:r>
          </w:p>
        </w:tc>
        <w:tc>
          <w:tcPr/>
          <w:p>
            <w:pPr>
              <w:pStyle w:val="Compact"/>
            </w:pPr>
            <w:r>
              <w:t xml:space="preserve">FPD Clock/Reset (APLL/DPLL/VPLL, RST_FPD_*)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0xFD400000 - 0xFD4FFFFF</w:t>
            </w:r>
          </w:p>
        </w:tc>
        <w:tc>
          <w:tcPr/>
          <w:p>
            <w:pPr>
              <w:pStyle w:val="Compact"/>
            </w:pPr>
            <w:r>
              <w:t xml:space="preserve">SERDES</w:t>
            </w:r>
          </w:p>
        </w:tc>
        <w:tc>
          <w:tcPr/>
          <w:p>
            <w:pPr>
              <w:pStyle w:val="Compact"/>
            </w:pPr>
            <w:r>
              <w:t xml:space="preserve">Gigabit transceivers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0xFD5C0000 - 0xFD5CFFFF</w:t>
            </w:r>
          </w:p>
        </w:tc>
        <w:tc>
          <w:tcPr/>
          <w:p>
            <w:pPr>
              <w:pStyle w:val="Compact"/>
            </w:pPr>
            <w:r>
              <w:t xml:space="preserve">APU registers</w:t>
            </w:r>
          </w:p>
        </w:tc>
        <w:tc>
          <w:tcPr/>
          <w:p>
            <w:pPr>
              <w:pStyle w:val="Compact"/>
            </w:pPr>
            <w:r>
              <w:t xml:space="preserve">RVBARADDR0-3 reset vectors. APU power/reset.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0xFD800000 - 0xFD9FFFFF</w:t>
            </w:r>
          </w:p>
        </w:tc>
        <w:tc>
          <w:tcPr/>
          <w:p>
            <w:pPr>
              <w:pStyle w:val="Compact"/>
            </w:pPr>
            <w:r>
              <w:t xml:space="preserve">GPU (Mali-400)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0xFE000000 - 0xFE00FFFF</w:t>
            </w:r>
          </w:p>
        </w:tc>
        <w:tc>
          <w:tcPr/>
          <w:p>
            <w:pPr>
              <w:pStyle w:val="Compact"/>
            </w:pPr>
            <w:r>
              <w:t xml:space="preserve">GIC distributor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0xFE100000 - 0xFE1FFFFF</w:t>
            </w:r>
          </w:p>
        </w:tc>
        <w:tc>
          <w:tcPr/>
          <w:p>
            <w:pPr>
              <w:pStyle w:val="Compact"/>
            </w:pPr>
            <w:r>
              <w:t xml:space="preserve">VCU (video codec)</w:t>
            </w:r>
          </w:p>
        </w:tc>
        <w:tc>
          <w:tcPr/>
          <w:p>
            <w:pPr>
              <w:pStyle w:val="Compact"/>
            </w:pPr>
            <w:r>
              <w:t xml:space="preserve">EV variants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0xFF000000 - 0xFF0FFFFF</w:t>
            </w:r>
          </w:p>
        </w:tc>
        <w:tc>
          <w:tcPr/>
          <w:p>
            <w:pPr>
              <w:pStyle w:val="Compact"/>
            </w:pPr>
            <w:r>
              <w:t xml:space="preserve">PS UARTs, I2C, SPI, GPIO, QSPI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0xFF160000 - 0xFF17FFFF</w:t>
            </w:r>
          </w:p>
        </w:tc>
        <w:tc>
          <w:tcPr/>
          <w:p>
            <w:pPr>
              <w:pStyle w:val="Compact"/>
            </w:pPr>
            <w:r>
              <w:t xml:space="preserve">SDIO0/1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0xFF300000 - 0xFF33FFFF</w:t>
            </w:r>
          </w:p>
        </w:tc>
        <w:tc>
          <w:tcPr/>
          <w:p>
            <w:pPr>
              <w:pStyle w:val="Compact"/>
            </w:pPr>
            <w:r>
              <w:t xml:space="preserve">IPI mailboxes</w:t>
            </w:r>
          </w:p>
        </w:tc>
        <w:tc>
          <w:tcPr/>
          <w:p>
            <w:pPr>
              <w:pStyle w:val="Compact"/>
            </w:pPr>
            <w:r>
              <w:t xml:space="preserve">PMU↔APU↔RPU communication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0xFF410000 - 0xFF41FFFF</w:t>
            </w:r>
          </w:p>
        </w:tc>
        <w:tc>
          <w:tcPr/>
          <w:p>
            <w:pPr>
              <w:pStyle w:val="Compact"/>
            </w:pPr>
            <w:r>
              <w:t xml:space="preserve">LPD_SLCR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0xFF5E0000 - 0xFF5EFFFF</w:t>
            </w:r>
          </w:p>
        </w:tc>
        <w:tc>
          <w:tcPr/>
          <w:p>
            <w:pPr>
              <w:pStyle w:val="Compact"/>
            </w:pPr>
            <w:r>
              <w:t xml:space="preserve">CRL_APB</w:t>
            </w:r>
          </w:p>
        </w:tc>
        <w:tc>
          <w:tcPr/>
          <w:p>
            <w:pPr>
              <w:pStyle w:val="Compact"/>
            </w:pPr>
            <w:r>
              <w:t xml:space="preserve">LPD Clock/Reset (IOPLL/RPLL, BOOT_MODE, RST_LPD_*)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0xFF9A0000 - 0xFF9AFFFF</w:t>
            </w:r>
          </w:p>
        </w:tc>
        <w:tc>
          <w:tcPr/>
          <w:p>
            <w:pPr>
              <w:pStyle w:val="Compact"/>
            </w:pPr>
            <w:r>
              <w:t xml:space="preserve">RPU configuration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0xFFC80000 - 0xFFCBFFFF</w:t>
            </w:r>
          </w:p>
        </w:tc>
        <w:tc>
          <w:tcPr/>
          <w:p>
            <w:pPr>
              <w:pStyle w:val="Compact"/>
            </w:pPr>
            <w:r>
              <w:t xml:space="preserve">CSUDMA + CSU</w:t>
            </w:r>
          </w:p>
        </w:tc>
        <w:tc>
          <w:tcPr/>
          <w:p>
            <w:pPr>
              <w:pStyle w:val="Compact"/>
            </w:pPr>
            <w:r>
              <w:t xml:space="preserve">CSU at</w:t>
            </w:r>
            <w:r>
              <w:t xml:space="preserve"> </w:t>
            </w:r>
            <w:r>
              <w:rPr>
                <w:rStyle w:val="VerbatimChar"/>
              </w:rPr>
              <w:t xml:space="preserve">0xFFCA0000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0xFFCC0000 - 0xFFCCFFFF</w:t>
            </w:r>
          </w:p>
        </w:tc>
        <w:tc>
          <w:tcPr/>
          <w:p>
            <w:pPr>
              <w:pStyle w:val="Compact"/>
            </w:pPr>
            <w:r>
              <w:t xml:space="preserve">eFUSE controller</w:t>
            </w:r>
          </w:p>
        </w:tc>
        <w:tc>
          <w:tcPr/>
          <w:p>
            <w:pPr>
              <w:pStyle w:val="Compact"/>
            </w:pPr>
            <w:r>
              <w:t xml:space="preserve">DNA, SEC_CTRL, PPK hashes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0xFFCD0000 - 0xFFCDFFFF</w:t>
            </w:r>
          </w:p>
        </w:tc>
        <w:tc>
          <w:tcPr/>
          <w:p>
            <w:pPr>
              <w:pStyle w:val="Compact"/>
            </w:pPr>
            <w:r>
              <w:t xml:space="preserve">BBRAM</w:t>
            </w:r>
          </w:p>
        </w:tc>
        <w:tc>
          <w:tcPr/>
          <w:p>
            <w:pPr>
              <w:pStyle w:val="Compact"/>
            </w:pPr>
            <w:r>
              <w:t xml:space="preserve">Battery-Backed RAM (AES key storage)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0xFFCE0000 - 0xFFCEFFFF</w:t>
            </w:r>
          </w:p>
        </w:tc>
        <w:tc>
          <w:tcPr/>
          <w:p>
            <w:pPr>
              <w:pStyle w:val="Compact"/>
            </w:pPr>
            <w:r>
              <w:t xml:space="preserve">RSA core</w:t>
            </w:r>
          </w:p>
        </w:tc>
        <w:tc>
          <w:tcPr/>
          <w:p>
            <w:pPr>
              <w:pStyle w:val="Compact"/>
            </w:pPr>
            <w:r>
              <w:t xml:space="preserve">Hardware RSA-2048/4096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0xFFD80000 - 0xFFD8FFFF</w:t>
            </w:r>
          </w:p>
        </w:tc>
        <w:tc>
          <w:tcPr/>
          <w:p>
            <w:pPr>
              <w:pStyle w:val="Compact"/>
            </w:pPr>
            <w:r>
              <w:t xml:space="preserve">PMU_GLOBAL</w:t>
            </w:r>
          </w:p>
        </w:tc>
        <w:tc>
          <w:tcPr/>
          <w:p>
            <w:pPr>
              <w:pStyle w:val="Compact"/>
            </w:pPr>
            <w:r>
              <w:t xml:space="preserve">Power/reset of every domain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0xFFDC0000 - 0xFFDDFFFF</w:t>
            </w:r>
          </w:p>
        </w:tc>
        <w:tc>
          <w:tcPr/>
          <w:p>
            <w:pPr>
              <w:pStyle w:val="Compact"/>
            </w:pPr>
            <w:r>
              <w:t xml:space="preserve">PMU RAM (LMB)</w:t>
            </w:r>
          </w:p>
        </w:tc>
        <w:tc>
          <w:tcPr/>
          <w:p>
            <w:pPr>
              <w:pStyle w:val="Compact"/>
            </w:pPr>
            <w:r>
              <w:t xml:space="preserve">PMU firmware runs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0xFFE00000 - 0xFFE3FFFF</w:t>
            </w:r>
          </w:p>
        </w:tc>
        <w:tc>
          <w:tcPr/>
          <w:p>
            <w:pPr>
              <w:pStyle w:val="Compact"/>
            </w:pPr>
            <w:r>
              <w:t xml:space="preserve">RPU TCM</w:t>
            </w:r>
          </w:p>
        </w:tc>
        <w:tc>
          <w:tcPr/>
          <w:p>
            <w:pPr>
              <w:pStyle w:val="Compact"/>
            </w:pPr>
            <w:r>
              <w:t xml:space="preserve">Tightly-Coupled Memory for R5 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0xFFFC0000 - 0xFFFFFFFF</w:t>
            </w:r>
          </w:p>
        </w:tc>
        <w:tc>
          <w:tcPr/>
          <w:p>
            <w:pPr>
              <w:pStyle w:val="Compact"/>
            </w:pPr>
            <w:r>
              <w:t xml:space="preserve">OCM (4×64 KB SRAM)</w:t>
            </w:r>
          </w:p>
        </w:tc>
        <w:tc>
          <w:tcPr/>
          <w:p>
            <w:pPr>
              <w:pStyle w:val="Compact"/>
            </w:pPr>
            <w:r>
              <w:t xml:space="preserve">Default FSBL/ATF load region</w:t>
            </w:r>
          </w:p>
        </w:tc>
      </w:tr>
    </w:tbl>
    <w:p>
      <w:pPr>
        <w:pStyle w:val="BodyText"/>
      </w:pPr>
      <w:r>
        <w:t xml:space="preserve">This layout is identical across ZCU102/104/106, Ultra96, custom</w:t>
      </w:r>
      <w:r>
        <w:t xml:space="preserve"> </w:t>
      </w:r>
      <w:r>
        <w:t xml:space="preserve">ZynqMP boards, and RFSoCs — the variant-specific differences (VCU,</w:t>
      </w:r>
      <w:r>
        <w:t xml:space="preserve"> </w:t>
      </w:r>
      <w:r>
        <w:t xml:space="preserve">RF tiles, GPU presence) are bonded selections within these address</w:t>
      </w:r>
      <w:r>
        <w:t xml:space="preserve"> </w:t>
      </w:r>
      <w:r>
        <w:t xml:space="preserve">ranges, not different memory maps.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2026-06-08T14:37:13Z</dcterms:created>
  <dcterms:modified xsi:type="dcterms:W3CDTF">2026-06-08T14:37:13Z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False</vt:lpwstr>
  </property>
</Properties>
</file>